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87EDA0">
      <w:pPr>
        <w:rPr>
          <w:rFonts w:eastAsia="仿宋_GB2312"/>
          <w:color w:val="000000" w:themeColor="text1"/>
          <w:sz w:val="36"/>
          <w:szCs w:val="36"/>
          <w14:textFill>
            <w14:solidFill>
              <w14:schemeClr w14:val="tx1"/>
            </w14:solidFill>
          </w14:textFill>
        </w:rPr>
      </w:pPr>
      <w:bookmarkStart w:id="0" w:name="_Hlk57883707"/>
    </w:p>
    <w:p w14:paraId="6600EA87">
      <w:pPr>
        <w:rPr>
          <w:rFonts w:hint="eastAsia" w:eastAsia="仿宋_GB2312"/>
          <w:color w:val="000000" w:themeColor="text1"/>
          <w:sz w:val="36"/>
          <w:szCs w:val="36"/>
          <w14:textFill>
            <w14:solidFill>
              <w14:schemeClr w14:val="tx1"/>
            </w14:solidFill>
          </w14:textFill>
        </w:rPr>
      </w:pPr>
    </w:p>
    <w:p w14:paraId="63B40AB5">
      <w:pPr>
        <w:rPr>
          <w:rFonts w:eastAsia="仿宋_GB2312"/>
          <w:color w:val="000000" w:themeColor="text1"/>
          <w:sz w:val="36"/>
          <w:szCs w:val="36"/>
          <w14:textFill>
            <w14:solidFill>
              <w14:schemeClr w14:val="tx1"/>
            </w14:solidFill>
          </w14:textFill>
        </w:rPr>
      </w:pPr>
    </w:p>
    <w:p w14:paraId="0D0BBE10">
      <w:pPr>
        <w:rPr>
          <w:rFonts w:eastAsia="仿宋_GB2312"/>
          <w:color w:val="000000" w:themeColor="text1"/>
          <w:sz w:val="36"/>
          <w:szCs w:val="36"/>
          <w14:textFill>
            <w14:solidFill>
              <w14:schemeClr w14:val="tx1"/>
            </w14:solidFill>
          </w14:textFill>
        </w:rPr>
      </w:pPr>
    </w:p>
    <w:p w14:paraId="16872C67">
      <w:pPr>
        <w:rPr>
          <w:rFonts w:eastAsia="仿宋_GB2312"/>
          <w:color w:val="000000" w:themeColor="text1"/>
          <w:sz w:val="36"/>
          <w:szCs w:val="36"/>
          <w14:textFill>
            <w14:solidFill>
              <w14:schemeClr w14:val="tx1"/>
            </w14:solidFill>
          </w14:textFill>
        </w:rPr>
      </w:pPr>
    </w:p>
    <w:bookmarkEnd w:id="0"/>
    <w:p w14:paraId="5ABF34EC">
      <w:pPr>
        <w:adjustRightInd w:val="0"/>
        <w:snapToGrid w:val="0"/>
        <w:jc w:val="center"/>
        <w:rPr>
          <w:rFonts w:eastAsia="方正小标宋_GBK"/>
          <w:bCs/>
          <w:color w:val="000000" w:themeColor="text1"/>
          <w:sz w:val="72"/>
          <w:szCs w:val="72"/>
          <w14:textFill>
            <w14:solidFill>
              <w14:schemeClr w14:val="tx1"/>
            </w14:solidFill>
          </w14:textFill>
        </w:rPr>
      </w:pPr>
      <w:r>
        <w:rPr>
          <w:rFonts w:eastAsia="方正小标宋_GBK"/>
          <w:bCs/>
          <w:color w:val="000000" w:themeColor="text1"/>
          <w:sz w:val="72"/>
          <w:szCs w:val="72"/>
          <w14:textFill>
            <w14:solidFill>
              <w14:schemeClr w14:val="tx1"/>
            </w14:solidFill>
          </w14:textFill>
        </w:rPr>
        <w:t>建设项目环境影响报告表</w:t>
      </w:r>
    </w:p>
    <w:p w14:paraId="745E22D7">
      <w:pPr>
        <w:adjustRightInd w:val="0"/>
        <w:snapToGrid w:val="0"/>
        <w:spacing w:before="192" w:beforeLines="80"/>
        <w:jc w:val="center"/>
        <w:rPr>
          <w:rFonts w:eastAsia="楷体_GB2312"/>
          <w:bCs/>
          <w:color w:val="000000" w:themeColor="text1"/>
          <w:sz w:val="48"/>
          <w:szCs w:val="48"/>
          <w14:textFill>
            <w14:solidFill>
              <w14:schemeClr w14:val="tx1"/>
            </w14:solidFill>
          </w14:textFill>
        </w:rPr>
      </w:pPr>
      <w:r>
        <w:rPr>
          <w:rFonts w:eastAsia="楷体_GB2312"/>
          <w:bCs/>
          <w:color w:val="000000" w:themeColor="text1"/>
          <w:sz w:val="48"/>
          <w:szCs w:val="48"/>
          <w14:textFill>
            <w14:solidFill>
              <w14:schemeClr w14:val="tx1"/>
            </w14:solidFill>
          </w14:textFill>
        </w:rPr>
        <w:t>（生态影响类）</w:t>
      </w:r>
    </w:p>
    <w:p w14:paraId="5A6B7B87">
      <w:pPr>
        <w:jc w:val="center"/>
        <w:rPr>
          <w:rFonts w:eastAsia="仿宋"/>
          <w:color w:val="000000" w:themeColor="text1"/>
          <w:sz w:val="52"/>
          <w:szCs w:val="52"/>
          <w14:textFill>
            <w14:solidFill>
              <w14:schemeClr w14:val="tx1"/>
            </w14:solidFill>
          </w14:textFill>
        </w:rPr>
      </w:pPr>
      <w:bookmarkStart w:id="1" w:name="_Hlk57883728"/>
    </w:p>
    <w:p w14:paraId="686ED9C2">
      <w:pPr>
        <w:jc w:val="center"/>
        <w:rPr>
          <w:rFonts w:eastAsia="仿宋"/>
          <w:color w:val="000000" w:themeColor="text1"/>
          <w:sz w:val="52"/>
          <w:szCs w:val="52"/>
          <w14:textFill>
            <w14:solidFill>
              <w14:schemeClr w14:val="tx1"/>
            </w14:solidFill>
          </w14:textFill>
        </w:rPr>
      </w:pPr>
    </w:p>
    <w:p w14:paraId="7FA4E102">
      <w:pPr>
        <w:ind w:firstLine="1040"/>
        <w:rPr>
          <w:rFonts w:eastAsia="仿宋"/>
          <w:color w:val="000000" w:themeColor="text1"/>
          <w:sz w:val="44"/>
          <w:szCs w:val="44"/>
          <w14:textFill>
            <w14:solidFill>
              <w14:schemeClr w14:val="tx1"/>
            </w14:solidFill>
          </w14:textFill>
        </w:rPr>
      </w:pPr>
    </w:p>
    <w:p w14:paraId="7358FB64">
      <w:pPr>
        <w:ind w:firstLine="1040"/>
        <w:rPr>
          <w:rFonts w:eastAsia="仿宋"/>
          <w:color w:val="000000" w:themeColor="text1"/>
          <w:sz w:val="44"/>
          <w:szCs w:val="44"/>
          <w14:textFill>
            <w14:solidFill>
              <w14:schemeClr w14:val="tx1"/>
            </w14:solidFill>
          </w14:textFill>
        </w:rPr>
      </w:pPr>
    </w:p>
    <w:p w14:paraId="37B11A4C">
      <w:pPr>
        <w:ind w:firstLine="1040"/>
        <w:rPr>
          <w:rFonts w:eastAsia="仿宋"/>
          <w:color w:val="000000" w:themeColor="text1"/>
          <w:sz w:val="44"/>
          <w:szCs w:val="44"/>
          <w14:textFill>
            <w14:solidFill>
              <w14:schemeClr w14:val="tx1"/>
            </w14:solidFill>
          </w14:textFill>
        </w:rPr>
      </w:pPr>
    </w:p>
    <w:p w14:paraId="204AAFE6">
      <w:pPr>
        <w:ind w:firstLine="1040"/>
        <w:rPr>
          <w:rFonts w:eastAsia="仿宋"/>
          <w:color w:val="000000" w:themeColor="text1"/>
          <w:sz w:val="44"/>
          <w:szCs w:val="44"/>
          <w14:textFill>
            <w14:solidFill>
              <w14:schemeClr w14:val="tx1"/>
            </w14:solidFill>
          </w14:textFill>
        </w:rPr>
      </w:pPr>
    </w:p>
    <w:p w14:paraId="535E3301">
      <w:pPr>
        <w:ind w:firstLine="1040"/>
        <w:rPr>
          <w:rFonts w:eastAsia="仿宋"/>
          <w:color w:val="000000" w:themeColor="text1"/>
          <w:sz w:val="44"/>
          <w:szCs w:val="44"/>
          <w14:textFill>
            <w14:solidFill>
              <w14:schemeClr w14:val="tx1"/>
            </w14:solidFill>
          </w14:textFill>
        </w:rPr>
      </w:pPr>
    </w:p>
    <w:bookmarkEnd w:id="1"/>
    <w:p w14:paraId="6C4ADFAC">
      <w:pPr>
        <w:adjustRightInd w:val="0"/>
        <w:snapToGrid w:val="0"/>
        <w:spacing w:line="288" w:lineRule="auto"/>
        <w:rPr>
          <w:rFonts w:eastAsia="仿宋_GB2312"/>
          <w:b/>
          <w:bCs/>
          <w:color w:val="000000" w:themeColor="text1"/>
          <w:sz w:val="36"/>
          <w:szCs w:val="36"/>
          <w:u w:val="single"/>
          <w14:textFill>
            <w14:solidFill>
              <w14:schemeClr w14:val="tx1"/>
            </w14:solidFill>
          </w14:textFill>
        </w:rPr>
      </w:pPr>
      <w:r>
        <w:rPr>
          <w:rFonts w:eastAsia="仿宋_GB2312"/>
          <w:color w:val="000000" w:themeColor="text1"/>
          <w:sz w:val="36"/>
          <w:szCs w:val="36"/>
          <w14:textFill>
            <w14:solidFill>
              <w14:schemeClr w14:val="tx1"/>
            </w14:solidFill>
          </w14:textFill>
        </w:rPr>
        <w:t>项目名称：</w:t>
      </w:r>
      <w:r>
        <w:rPr>
          <w:rFonts w:eastAsia="仿宋_GB2312"/>
          <w:color w:val="000000" w:themeColor="text1"/>
          <w:sz w:val="36"/>
          <w:szCs w:val="36"/>
          <w:u w:val="single"/>
          <w14:textFill>
            <w14:solidFill>
              <w14:schemeClr w14:val="tx1"/>
            </w14:solidFill>
          </w14:textFill>
        </w:rPr>
        <w:t xml:space="preserve">梅花河度假村水上乐园、冷水鱼养殖综合项目                                           </w:t>
      </w:r>
    </w:p>
    <w:p w14:paraId="0F73B084">
      <w:pPr>
        <w:adjustRightInd w:val="0"/>
        <w:snapToGrid w:val="0"/>
        <w:spacing w:line="288" w:lineRule="auto"/>
        <w:ind w:firstLine="360" w:firstLineChars="100"/>
        <w:rPr>
          <w:rFonts w:eastAsia="仿宋_GB2312"/>
          <w:color w:val="000000" w:themeColor="text1"/>
          <w:sz w:val="36"/>
          <w:szCs w:val="36"/>
          <w:u w:val="single"/>
          <w14:textFill>
            <w14:solidFill>
              <w14:schemeClr w14:val="tx1"/>
            </w14:solidFill>
          </w14:textFill>
        </w:rPr>
      </w:pPr>
      <w:r>
        <w:rPr>
          <w:rFonts w:eastAsia="仿宋_GB2312"/>
          <w:color w:val="000000" w:themeColor="text1"/>
          <w:sz w:val="36"/>
          <w:szCs w:val="36"/>
          <w14:textFill>
            <w14:solidFill>
              <w14:schemeClr w14:val="tx1"/>
            </w14:solidFill>
          </w14:textFill>
        </w:rPr>
        <w:t>建设单位（盖章）：</w:t>
      </w:r>
      <w:r>
        <w:rPr>
          <w:rFonts w:hint="eastAsia" w:eastAsia="仿宋_GB2312"/>
          <w:color w:val="000000" w:themeColor="text1"/>
          <w:sz w:val="36"/>
          <w:szCs w:val="36"/>
          <w:u w:val="single"/>
          <w14:textFill>
            <w14:solidFill>
              <w14:schemeClr w14:val="tx1"/>
            </w14:solidFill>
          </w14:textFill>
        </w:rPr>
        <w:t>黑龙江梅花河山庄度假村有限公司</w:t>
      </w:r>
      <w:r>
        <w:rPr>
          <w:rFonts w:eastAsia="仿宋_GB2312"/>
          <w:color w:val="000000" w:themeColor="text1"/>
          <w:sz w:val="36"/>
          <w:szCs w:val="36"/>
          <w:u w:val="single"/>
          <w14:textFill>
            <w14:solidFill>
              <w14:schemeClr w14:val="tx1"/>
            </w14:solidFill>
          </w14:textFill>
        </w:rPr>
        <w:t xml:space="preserve">           </w:t>
      </w:r>
    </w:p>
    <w:p w14:paraId="64476223">
      <w:pPr>
        <w:adjustRightInd w:val="0"/>
        <w:snapToGrid w:val="0"/>
        <w:spacing w:line="288" w:lineRule="auto"/>
        <w:ind w:firstLine="360" w:firstLineChars="100"/>
        <w:rPr>
          <w:rFonts w:eastAsia="仿宋_GB2312"/>
          <w:color w:val="000000" w:themeColor="text1"/>
          <w:sz w:val="36"/>
          <w:szCs w:val="36"/>
          <w:u w:val="single"/>
          <w14:textFill>
            <w14:solidFill>
              <w14:schemeClr w14:val="tx1"/>
            </w14:solidFill>
          </w14:textFill>
        </w:rPr>
      </w:pPr>
      <w:r>
        <w:rPr>
          <w:rFonts w:eastAsia="仿宋_GB2312"/>
          <w:color w:val="000000" w:themeColor="text1"/>
          <w:sz w:val="36"/>
          <w:szCs w:val="36"/>
          <w14:textFill>
            <w14:solidFill>
              <w14:schemeClr w14:val="tx1"/>
            </w14:solidFill>
          </w14:textFill>
        </w:rPr>
        <w:t>编制日期：</w:t>
      </w:r>
      <w:r>
        <w:rPr>
          <w:rFonts w:eastAsia="仿宋_GB2312"/>
          <w:color w:val="000000" w:themeColor="text1"/>
          <w:sz w:val="36"/>
          <w:szCs w:val="36"/>
          <w:u w:val="single"/>
          <w14:textFill>
            <w14:solidFill>
              <w14:schemeClr w14:val="tx1"/>
            </w14:solidFill>
          </w14:textFill>
        </w:rPr>
        <w:t xml:space="preserve">            2026年</w:t>
      </w:r>
      <w:r>
        <w:rPr>
          <w:rFonts w:hint="eastAsia" w:eastAsia="仿宋_GB2312"/>
          <w:color w:val="000000" w:themeColor="text1"/>
          <w:sz w:val="36"/>
          <w:szCs w:val="36"/>
          <w:u w:val="single"/>
          <w14:textFill>
            <w14:solidFill>
              <w14:schemeClr w14:val="tx1"/>
            </w14:solidFill>
          </w14:textFill>
        </w:rPr>
        <w:t>6</w:t>
      </w:r>
      <w:r>
        <w:rPr>
          <w:rFonts w:eastAsia="仿宋_GB2312"/>
          <w:color w:val="000000" w:themeColor="text1"/>
          <w:sz w:val="36"/>
          <w:szCs w:val="36"/>
          <w:u w:val="single"/>
          <w14:textFill>
            <w14:solidFill>
              <w14:schemeClr w14:val="tx1"/>
            </w14:solidFill>
          </w14:textFill>
        </w:rPr>
        <w:t>月</w:t>
      </w:r>
      <w:r>
        <w:rPr>
          <w:rFonts w:hint="eastAsia" w:eastAsia="仿宋_GB2312"/>
          <w:color w:val="000000" w:themeColor="text1"/>
          <w:sz w:val="36"/>
          <w:szCs w:val="36"/>
          <w:u w:val="single"/>
          <w14:textFill>
            <w14:solidFill>
              <w14:schemeClr w14:val="tx1"/>
            </w14:solidFill>
          </w14:textFill>
        </w:rPr>
        <w:t xml:space="preserve">  </w:t>
      </w:r>
      <w:r>
        <w:rPr>
          <w:rFonts w:eastAsia="仿宋_GB2312"/>
          <w:color w:val="000000" w:themeColor="text1"/>
          <w:sz w:val="36"/>
          <w:szCs w:val="36"/>
          <w:u w:val="single"/>
          <w14:textFill>
            <w14:solidFill>
              <w14:schemeClr w14:val="tx1"/>
            </w14:solidFill>
          </w14:textFill>
        </w:rPr>
        <w:t xml:space="preserve">            </w:t>
      </w:r>
    </w:p>
    <w:p w14:paraId="2F2ED1CD">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32336B9B">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78F22CFA">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0C7CF813">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5763F30C">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079AC972">
      <w:pPr>
        <w:adjustRightInd w:val="0"/>
        <w:snapToGrid w:val="0"/>
        <w:spacing w:line="288" w:lineRule="auto"/>
        <w:jc w:val="center"/>
        <w:rPr>
          <w:rFonts w:eastAsia="楷体_GB2312"/>
          <w:color w:val="000000" w:themeColor="text1"/>
          <w:sz w:val="36"/>
          <w:szCs w:val="36"/>
          <w14:textFill>
            <w14:solidFill>
              <w14:schemeClr w14:val="tx1"/>
            </w14:solidFill>
          </w14:textFill>
        </w:rPr>
      </w:pPr>
      <w:r>
        <w:rPr>
          <w:rFonts w:eastAsia="楷体_GB2312"/>
          <w:color w:val="000000" w:themeColor="text1"/>
          <w:sz w:val="36"/>
          <w:szCs w:val="36"/>
          <w14:textFill>
            <w14:solidFill>
              <w14:schemeClr w14:val="tx1"/>
            </w14:solidFill>
          </w14:textFill>
        </w:rPr>
        <w:t>中华人民共和国生态环境部制</w:t>
      </w:r>
    </w:p>
    <w:p w14:paraId="0E0DF22C">
      <w:pPr>
        <w:pStyle w:val="15"/>
        <w:jc w:val="center"/>
        <w:rPr>
          <w:rFonts w:ascii="Times New Roman" w:hAnsi="Times New Roman" w:eastAsia="黑体"/>
          <w:snapToGrid w:val="0"/>
          <w:color w:val="000000" w:themeColor="text1"/>
          <w:sz w:val="30"/>
          <w:szCs w:val="30"/>
          <w14:textFill>
            <w14:solidFill>
              <w14:schemeClr w14:val="tx1"/>
            </w14:solidFill>
          </w14:textFill>
        </w:rPr>
      </w:pPr>
    </w:p>
    <w:p w14:paraId="39F21EC6">
      <w:pPr>
        <w:pStyle w:val="15"/>
        <w:jc w:val="center"/>
        <w:rPr>
          <w:rFonts w:ascii="Times New Roman" w:hAnsi="Times New Roman" w:eastAsia="黑体"/>
          <w:snapToGrid w:val="0"/>
          <w:color w:val="000000" w:themeColor="text1"/>
          <w:sz w:val="30"/>
          <w:szCs w:val="30"/>
          <w14:textFill>
            <w14:solidFill>
              <w14:schemeClr w14:val="tx1"/>
            </w14:solidFill>
          </w14:textFill>
        </w:rPr>
      </w:pPr>
      <w:r>
        <w:drawing>
          <wp:inline distT="0" distB="0" distL="0" distR="0">
            <wp:extent cx="5494020" cy="7844155"/>
            <wp:effectExtent l="0" t="0" r="0" b="4445"/>
            <wp:docPr id="568546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46231" name="图片 1"/>
                    <pic:cNvPicPr>
                      <a:picLocks noChangeAspect="1"/>
                    </pic:cNvPicPr>
                  </pic:nvPicPr>
                  <pic:blipFill>
                    <a:blip r:embed="rId7"/>
                    <a:stretch>
                      <a:fillRect/>
                    </a:stretch>
                  </pic:blipFill>
                  <pic:spPr>
                    <a:xfrm>
                      <a:off x="0" y="0"/>
                      <a:ext cx="5494627" cy="7845270"/>
                    </a:xfrm>
                    <a:prstGeom prst="rect">
                      <a:avLst/>
                    </a:prstGeom>
                  </pic:spPr>
                </pic:pic>
              </a:graphicData>
            </a:graphic>
          </wp:inline>
        </w:drawing>
      </w:r>
    </w:p>
    <w:p w14:paraId="177C8EC2">
      <w:pPr>
        <w:pStyle w:val="15"/>
        <w:jc w:val="center"/>
        <w:rPr>
          <w:rFonts w:hint="eastAsia" w:ascii="Times New Roman" w:hAnsi="Times New Roman" w:eastAsia="黑体"/>
          <w:snapToGrid w:val="0"/>
          <w:color w:val="000000" w:themeColor="text1"/>
          <w:sz w:val="30"/>
          <w:szCs w:val="30"/>
          <w14:textFill>
            <w14:solidFill>
              <w14:schemeClr w14:val="tx1"/>
            </w14:solidFill>
          </w14:textFill>
        </w:rPr>
      </w:pPr>
    </w:p>
    <w:p w14:paraId="449A56EE">
      <w:pPr>
        <w:pStyle w:val="15"/>
        <w:jc w:val="center"/>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目</w:t>
      </w:r>
      <w:r>
        <w:rPr>
          <w:rFonts w:hint="eastAsia" w:ascii="Times New Roman" w:hAnsi="Times New Roman" w:eastAsia="黑体"/>
          <w:snapToGrid w:val="0"/>
          <w:color w:val="000000" w:themeColor="text1"/>
          <w:sz w:val="30"/>
          <w:szCs w:val="30"/>
          <w14:textFill>
            <w14:solidFill>
              <w14:schemeClr w14:val="tx1"/>
            </w14:solidFill>
          </w14:textFill>
        </w:rPr>
        <w:t xml:space="preserve"> </w:t>
      </w:r>
      <w:r>
        <w:rPr>
          <w:rFonts w:ascii="Times New Roman" w:hAnsi="Times New Roman" w:eastAsia="黑体"/>
          <w:snapToGrid w:val="0"/>
          <w:color w:val="000000" w:themeColor="text1"/>
          <w:sz w:val="30"/>
          <w:szCs w:val="30"/>
          <w14:textFill>
            <w14:solidFill>
              <w14:schemeClr w14:val="tx1"/>
            </w14:solidFill>
          </w14:textFill>
        </w:rPr>
        <w:t xml:space="preserve"> 录</w:t>
      </w:r>
    </w:p>
    <w:sdt>
      <w:sdtPr>
        <w:rPr>
          <w:color w:val="000000" w:themeColor="text1"/>
          <w:lang w:val="zh-CN"/>
          <w14:textFill>
            <w14:solidFill>
              <w14:schemeClr w14:val="tx1"/>
            </w14:solidFill>
          </w14:textFill>
        </w:rPr>
        <w:id w:val="-639503249"/>
        <w:docPartObj>
          <w:docPartGallery w:val="Table of Contents"/>
          <w:docPartUnique/>
        </w:docPartObj>
      </w:sdtPr>
      <w:sdtEndPr>
        <w:rPr>
          <w:b/>
          <w:bCs/>
          <w:color w:val="000000" w:themeColor="text1"/>
          <w:lang w:val="zh-CN"/>
          <w14:textFill>
            <w14:solidFill>
              <w14:schemeClr w14:val="tx1"/>
            </w14:solidFill>
          </w14:textFill>
        </w:rPr>
      </w:sdtEndPr>
      <w:sdtContent>
        <w:p w14:paraId="5B480E4F">
          <w:pPr>
            <w:pStyle w:val="13"/>
            <w:rPr>
              <w:rFonts w:hint="eastAsia" w:asciiTheme="minorHAnsi" w:hAnsiTheme="minorHAnsi" w:eastAsiaTheme="minorEastAsia" w:cstheme="minorBidi"/>
              <w:sz w:val="22"/>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TOC \o "1-3" \h \z \u </w:instrText>
          </w:r>
          <w:r>
            <w:rPr>
              <w:color w:val="000000" w:themeColor="text1"/>
              <w14:textFill>
                <w14:solidFill>
                  <w14:schemeClr w14:val="tx1"/>
                </w14:solidFill>
              </w14:textFill>
            </w:rPr>
            <w:fldChar w:fldCharType="separate"/>
          </w:r>
          <w:r>
            <w:fldChar w:fldCharType="begin"/>
          </w:r>
          <w:r>
            <w:instrText xml:space="preserve"> HYPERLINK \l "_Toc232073023" </w:instrText>
          </w:r>
          <w:r>
            <w:fldChar w:fldCharType="separate"/>
          </w:r>
          <w:r>
            <w:rPr>
              <w:rStyle w:val="23"/>
              <w:rFonts w:eastAsia="黑体"/>
              <w:snapToGrid w:val="0"/>
            </w:rPr>
            <w:t>一、建设项目基本情况</w:t>
          </w:r>
          <w:r>
            <w:rPr>
              <w:rFonts w:hint="eastAsia"/>
            </w:rPr>
            <w:tab/>
          </w:r>
          <w:r>
            <w:rPr>
              <w:rFonts w:hint="eastAsia"/>
            </w:rPr>
            <w:fldChar w:fldCharType="begin"/>
          </w:r>
          <w:r>
            <w:rPr>
              <w:rFonts w:hint="eastAsia"/>
            </w:rPr>
            <w:instrText xml:space="preserve"> </w:instrText>
          </w:r>
          <w:r>
            <w:instrText xml:space="preserve">PAGEREF _Toc232073023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7659CB8E">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"_Toc232073024" </w:instrText>
          </w:r>
          <w:r>
            <w:fldChar w:fldCharType="separate"/>
          </w:r>
          <w:r>
            <w:rPr>
              <w:rStyle w:val="23"/>
              <w:rFonts w:eastAsia="黑体"/>
              <w:snapToGrid w:val="0"/>
            </w:rPr>
            <w:t>二、建设内容</w:t>
          </w:r>
          <w:r>
            <w:rPr>
              <w:rFonts w:hint="eastAsia"/>
            </w:rPr>
            <w:tab/>
          </w:r>
          <w:r>
            <w:rPr>
              <w:rFonts w:hint="eastAsia"/>
            </w:rPr>
            <w:fldChar w:fldCharType="begin"/>
          </w:r>
          <w:r>
            <w:rPr>
              <w:rFonts w:hint="eastAsia"/>
            </w:rPr>
            <w:instrText xml:space="preserve"> </w:instrText>
          </w:r>
          <w:r>
            <w:instrText xml:space="preserve">PAGEREF _Toc232073024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6DE30523">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"_Toc232073025" </w:instrText>
          </w:r>
          <w:r>
            <w:fldChar w:fldCharType="separate"/>
          </w:r>
          <w:r>
            <w:rPr>
              <w:rStyle w:val="23"/>
              <w:rFonts w:eastAsia="黑体"/>
              <w:snapToGrid w:val="0"/>
            </w:rPr>
            <w:t>三、生态环境现状、保护目标及评价标准</w:t>
          </w:r>
          <w:r>
            <w:rPr>
              <w:rFonts w:hint="eastAsia"/>
            </w:rPr>
            <w:tab/>
          </w:r>
          <w:r>
            <w:rPr>
              <w:rFonts w:hint="eastAsia"/>
            </w:rPr>
            <w:fldChar w:fldCharType="begin"/>
          </w:r>
          <w:r>
            <w:rPr>
              <w:rFonts w:hint="eastAsia"/>
            </w:rPr>
            <w:instrText xml:space="preserve"> </w:instrText>
          </w:r>
          <w:r>
            <w:instrText xml:space="preserve">PAGEREF _Toc232073025 \h</w:instrText>
          </w:r>
          <w:r>
            <w:rPr>
              <w:rFonts w:hint="eastAsia"/>
            </w:rPr>
            <w:instrText xml:space="preserve"> </w:instrText>
          </w:r>
          <w:r>
            <w:rPr>
              <w:rFonts w:hint="eastAsia"/>
            </w:rPr>
            <w:fldChar w:fldCharType="separate"/>
          </w:r>
          <w:r>
            <w:t>20</w:t>
          </w:r>
          <w:r>
            <w:rPr>
              <w:rFonts w:hint="eastAsia"/>
            </w:rPr>
            <w:fldChar w:fldCharType="end"/>
          </w:r>
          <w:r>
            <w:rPr>
              <w:rFonts w:hint="eastAsia"/>
            </w:rPr>
            <w:fldChar w:fldCharType="end"/>
          </w:r>
        </w:p>
        <w:p w14:paraId="394907FA">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"_Toc232073026" </w:instrText>
          </w:r>
          <w:r>
            <w:fldChar w:fldCharType="separate"/>
          </w:r>
          <w:r>
            <w:rPr>
              <w:rStyle w:val="23"/>
              <w:rFonts w:eastAsia="黑体"/>
              <w:snapToGrid w:val="0"/>
            </w:rPr>
            <w:t>四、生态环境影响分析</w:t>
          </w:r>
          <w:r>
            <w:rPr>
              <w:rFonts w:hint="eastAsia"/>
            </w:rPr>
            <w:tab/>
          </w:r>
          <w:r>
            <w:rPr>
              <w:rFonts w:hint="eastAsia"/>
            </w:rPr>
            <w:fldChar w:fldCharType="begin"/>
          </w:r>
          <w:r>
            <w:rPr>
              <w:rFonts w:hint="eastAsia"/>
            </w:rPr>
            <w:instrText xml:space="preserve"> </w:instrText>
          </w:r>
          <w:r>
            <w:instrText xml:space="preserve">PAGEREF _Toc232073026 \h</w:instrText>
          </w:r>
          <w:r>
            <w:rPr>
              <w:rFonts w:hint="eastAsia"/>
            </w:rPr>
            <w:instrText xml:space="preserve"> </w:instrText>
          </w:r>
          <w:r>
            <w:rPr>
              <w:rFonts w:hint="eastAsia"/>
            </w:rPr>
            <w:fldChar w:fldCharType="separate"/>
          </w:r>
          <w:r>
            <w:t>29</w:t>
          </w:r>
          <w:r>
            <w:rPr>
              <w:rFonts w:hint="eastAsia"/>
            </w:rPr>
            <w:fldChar w:fldCharType="end"/>
          </w:r>
          <w:r>
            <w:rPr>
              <w:rFonts w:hint="eastAsia"/>
            </w:rPr>
            <w:fldChar w:fldCharType="end"/>
          </w:r>
        </w:p>
        <w:p w14:paraId="41C3C9D4">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"_Toc232073027" </w:instrText>
          </w:r>
          <w:r>
            <w:fldChar w:fldCharType="separate"/>
          </w:r>
          <w:r>
            <w:rPr>
              <w:rStyle w:val="23"/>
              <w:rFonts w:eastAsia="黑体"/>
              <w:snapToGrid w:val="0"/>
            </w:rPr>
            <w:t>五、主要生态环境保护措施</w:t>
          </w:r>
          <w:r>
            <w:rPr>
              <w:rFonts w:hint="eastAsia"/>
            </w:rPr>
            <w:tab/>
          </w:r>
          <w:r>
            <w:rPr>
              <w:rFonts w:hint="eastAsia"/>
            </w:rPr>
            <w:fldChar w:fldCharType="begin"/>
          </w:r>
          <w:r>
            <w:rPr>
              <w:rFonts w:hint="eastAsia"/>
            </w:rPr>
            <w:instrText xml:space="preserve"> </w:instrText>
          </w:r>
          <w:r>
            <w:instrText xml:space="preserve">PAGEREF _Toc232073027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0F2292D9">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"_Toc232073028" </w:instrText>
          </w:r>
          <w:r>
            <w:fldChar w:fldCharType="separate"/>
          </w:r>
          <w:r>
            <w:rPr>
              <w:rStyle w:val="23"/>
              <w:rFonts w:eastAsia="黑体"/>
              <w:snapToGrid w:val="0"/>
            </w:rPr>
            <w:t>六、生态环境保护措施监督检查清单</w:t>
          </w:r>
          <w:r>
            <w:rPr>
              <w:rFonts w:hint="eastAsia"/>
            </w:rPr>
            <w:tab/>
          </w:r>
          <w:r>
            <w:rPr>
              <w:rFonts w:hint="eastAsia"/>
            </w:rPr>
            <w:fldChar w:fldCharType="begin"/>
          </w:r>
          <w:r>
            <w:rPr>
              <w:rFonts w:hint="eastAsia"/>
            </w:rPr>
            <w:instrText xml:space="preserve"> </w:instrText>
          </w:r>
          <w:r>
            <w:instrText xml:space="preserve">PAGEREF _Toc232073028 \h</w:instrText>
          </w:r>
          <w:r>
            <w:rPr>
              <w:rFonts w:hint="eastAsia"/>
            </w:rPr>
            <w:instrText xml:space="preserve"> </w:instrText>
          </w:r>
          <w:r>
            <w:rPr>
              <w:rFonts w:hint="eastAsia"/>
            </w:rPr>
            <w:fldChar w:fldCharType="separate"/>
          </w:r>
          <w:r>
            <w:t>67</w:t>
          </w:r>
          <w:r>
            <w:rPr>
              <w:rFonts w:hint="eastAsia"/>
            </w:rPr>
            <w:fldChar w:fldCharType="end"/>
          </w:r>
          <w:r>
            <w:rPr>
              <w:rFonts w:hint="eastAsia"/>
            </w:rPr>
            <w:fldChar w:fldCharType="end"/>
          </w:r>
        </w:p>
        <w:p w14:paraId="3C685797">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"_Toc232073029" </w:instrText>
          </w:r>
          <w:r>
            <w:fldChar w:fldCharType="separate"/>
          </w:r>
          <w:r>
            <w:rPr>
              <w:rStyle w:val="23"/>
              <w:rFonts w:eastAsia="黑体"/>
              <w:snapToGrid w:val="0"/>
            </w:rPr>
            <w:t>七、结论</w:t>
          </w:r>
          <w:r>
            <w:rPr>
              <w:rFonts w:hint="eastAsia"/>
            </w:rPr>
            <w:tab/>
          </w:r>
          <w:r>
            <w:rPr>
              <w:rFonts w:hint="eastAsia"/>
            </w:rPr>
            <w:fldChar w:fldCharType="begin"/>
          </w:r>
          <w:r>
            <w:rPr>
              <w:rFonts w:hint="eastAsia"/>
            </w:rPr>
            <w:instrText xml:space="preserve"> </w:instrText>
          </w:r>
          <w:r>
            <w:instrText xml:space="preserve">PAGEREF _Toc232073029 \h</w:instrText>
          </w:r>
          <w:r>
            <w:rPr>
              <w:rFonts w:hint="eastAsia"/>
            </w:rPr>
            <w:instrText xml:space="preserve"> </w:instrText>
          </w:r>
          <w:r>
            <w:rPr>
              <w:rFonts w:hint="eastAsia"/>
            </w:rPr>
            <w:fldChar w:fldCharType="separate"/>
          </w:r>
          <w:r>
            <w:t>71</w:t>
          </w:r>
          <w:r>
            <w:rPr>
              <w:rFonts w:hint="eastAsia"/>
            </w:rPr>
            <w:fldChar w:fldCharType="end"/>
          </w:r>
          <w:r>
            <w:rPr>
              <w:rFonts w:hint="eastAsia"/>
            </w:rPr>
            <w:fldChar w:fldCharType="end"/>
          </w:r>
        </w:p>
        <w:p w14:paraId="09F4FDA5">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"_Toc232073030" </w:instrText>
          </w:r>
          <w:r>
            <w:fldChar w:fldCharType="separate"/>
          </w:r>
          <w:r>
            <w:rPr>
              <w:rStyle w:val="23"/>
              <w:rFonts w:eastAsia="黑体"/>
              <w:snapToGrid w:val="0"/>
            </w:rPr>
            <w:t>附图</w:t>
          </w:r>
          <w:r>
            <w:rPr>
              <w:rFonts w:hint="eastAsia"/>
            </w:rPr>
            <w:tab/>
          </w:r>
          <w:r>
            <w:rPr>
              <w:rFonts w:hint="eastAsia"/>
            </w:rPr>
            <w:fldChar w:fldCharType="begin"/>
          </w:r>
          <w:r>
            <w:rPr>
              <w:rFonts w:hint="eastAsia"/>
            </w:rPr>
            <w:instrText xml:space="preserve"> </w:instrText>
          </w:r>
          <w:r>
            <w:instrText xml:space="preserve">PAGEREF _Toc232073030 \h</w:instrText>
          </w:r>
          <w:r>
            <w:rPr>
              <w:rFonts w:hint="eastAsia"/>
            </w:rPr>
            <w:instrText xml:space="preserve"> </w:instrText>
          </w:r>
          <w:r>
            <w:rPr>
              <w:rFonts w:hint="eastAsia"/>
            </w:rPr>
            <w:fldChar w:fldCharType="separate"/>
          </w:r>
          <w:r>
            <w:t>72</w:t>
          </w:r>
          <w:r>
            <w:rPr>
              <w:rFonts w:hint="eastAsia"/>
            </w:rPr>
            <w:fldChar w:fldCharType="end"/>
          </w:r>
          <w:r>
            <w:rPr>
              <w:rFonts w:hint="eastAsia"/>
            </w:rPr>
            <w:fldChar w:fldCharType="end"/>
          </w:r>
        </w:p>
        <w:p w14:paraId="16B368DA">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"_Toc232073031" </w:instrText>
          </w:r>
          <w:r>
            <w:fldChar w:fldCharType="separate"/>
          </w:r>
          <w:r>
            <w:rPr>
              <w:rStyle w:val="23"/>
              <w:rFonts w:eastAsia="黑体"/>
              <w:snapToGrid w:val="0"/>
            </w:rPr>
            <w:t>附图1 地理位置图</w:t>
          </w:r>
          <w:r>
            <w:rPr>
              <w:rFonts w:hint="eastAsia"/>
            </w:rPr>
            <w:tab/>
          </w:r>
          <w:r>
            <w:rPr>
              <w:rFonts w:hint="eastAsia"/>
            </w:rPr>
            <w:fldChar w:fldCharType="begin"/>
          </w:r>
          <w:r>
            <w:rPr>
              <w:rFonts w:hint="eastAsia"/>
            </w:rPr>
            <w:instrText xml:space="preserve"> </w:instrText>
          </w:r>
          <w:r>
            <w:instrText xml:space="preserve">PAGEREF _Toc232073031 \h</w:instrText>
          </w:r>
          <w:r>
            <w:rPr>
              <w:rFonts w:hint="eastAsia"/>
            </w:rPr>
            <w:instrText xml:space="preserve"> </w:instrText>
          </w:r>
          <w:r>
            <w:rPr>
              <w:rFonts w:hint="eastAsia"/>
            </w:rPr>
            <w:fldChar w:fldCharType="separate"/>
          </w:r>
          <w:r>
            <w:t>72</w:t>
          </w:r>
          <w:r>
            <w:rPr>
              <w:rFonts w:hint="eastAsia"/>
            </w:rPr>
            <w:fldChar w:fldCharType="end"/>
          </w:r>
          <w:r>
            <w:rPr>
              <w:rFonts w:hint="eastAsia"/>
            </w:rPr>
            <w:fldChar w:fldCharType="end"/>
          </w:r>
        </w:p>
        <w:p w14:paraId="7BCA38BA">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"_Toc232073032" </w:instrText>
          </w:r>
          <w:r>
            <w:fldChar w:fldCharType="separate"/>
          </w:r>
          <w:r>
            <w:rPr>
              <w:rStyle w:val="23"/>
              <w:rFonts w:eastAsia="黑体"/>
              <w:snapToGrid w:val="0"/>
            </w:rPr>
            <w:t>附图2 平面布置图</w:t>
          </w:r>
          <w:r>
            <w:rPr>
              <w:rFonts w:hint="eastAsia"/>
            </w:rPr>
            <w:tab/>
          </w:r>
          <w:r>
            <w:rPr>
              <w:rFonts w:hint="eastAsia"/>
            </w:rPr>
            <w:fldChar w:fldCharType="begin"/>
          </w:r>
          <w:r>
            <w:rPr>
              <w:rFonts w:hint="eastAsia"/>
            </w:rPr>
            <w:instrText xml:space="preserve"> </w:instrText>
          </w:r>
          <w:r>
            <w:instrText xml:space="preserve">PAGEREF _Toc232073032 \h</w:instrText>
          </w:r>
          <w:r>
            <w:rPr>
              <w:rFonts w:hint="eastAsia"/>
            </w:rPr>
            <w:instrText xml:space="preserve"> </w:instrText>
          </w:r>
          <w:r>
            <w:rPr>
              <w:rFonts w:hint="eastAsia"/>
            </w:rPr>
            <w:fldChar w:fldCharType="separate"/>
          </w:r>
          <w:r>
            <w:t>73</w:t>
          </w:r>
          <w:r>
            <w:rPr>
              <w:rFonts w:hint="eastAsia"/>
            </w:rPr>
            <w:fldChar w:fldCharType="end"/>
          </w:r>
          <w:r>
            <w:rPr>
              <w:rFonts w:hint="eastAsia"/>
            </w:rPr>
            <w:fldChar w:fldCharType="end"/>
          </w:r>
        </w:p>
        <w:p w14:paraId="17EF26FE">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"_Toc232073033" </w:instrText>
          </w:r>
          <w:r>
            <w:fldChar w:fldCharType="separate"/>
          </w:r>
          <w:r>
            <w:rPr>
              <w:rStyle w:val="23"/>
              <w:rFonts w:eastAsia="黑体"/>
              <w:snapToGrid w:val="0"/>
            </w:rPr>
            <w:t>附图3 运营期评价范围图</w:t>
          </w:r>
          <w:r>
            <w:rPr>
              <w:rFonts w:hint="eastAsia"/>
            </w:rPr>
            <w:tab/>
          </w:r>
          <w:r>
            <w:rPr>
              <w:rFonts w:hint="eastAsia"/>
            </w:rPr>
            <w:fldChar w:fldCharType="begin"/>
          </w:r>
          <w:r>
            <w:rPr>
              <w:rFonts w:hint="eastAsia"/>
            </w:rPr>
            <w:instrText xml:space="preserve"> </w:instrText>
          </w:r>
          <w:r>
            <w:instrText xml:space="preserve">PAGEREF _Toc232073033 \h</w:instrText>
          </w:r>
          <w:r>
            <w:rPr>
              <w:rFonts w:hint="eastAsia"/>
            </w:rPr>
            <w:instrText xml:space="preserve"> </w:instrText>
          </w:r>
          <w:r>
            <w:rPr>
              <w:rFonts w:hint="eastAsia"/>
            </w:rPr>
            <w:fldChar w:fldCharType="separate"/>
          </w:r>
          <w:r>
            <w:t>74</w:t>
          </w:r>
          <w:r>
            <w:rPr>
              <w:rFonts w:hint="eastAsia"/>
            </w:rPr>
            <w:fldChar w:fldCharType="end"/>
          </w:r>
          <w:r>
            <w:rPr>
              <w:rFonts w:hint="eastAsia"/>
            </w:rPr>
            <w:fldChar w:fldCharType="end"/>
          </w:r>
        </w:p>
        <w:p w14:paraId="4CB795A5">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"_Toc232073034" </w:instrText>
          </w:r>
          <w:r>
            <w:fldChar w:fldCharType="separate"/>
          </w:r>
          <w:r>
            <w:rPr>
              <w:rStyle w:val="23"/>
              <w:rFonts w:eastAsia="黑体"/>
              <w:snapToGrid w:val="0"/>
            </w:rPr>
            <w:t>附图4 疏浚工程布设方案图</w:t>
          </w:r>
          <w:r>
            <w:rPr>
              <w:rFonts w:hint="eastAsia"/>
            </w:rPr>
            <w:tab/>
          </w:r>
          <w:r>
            <w:rPr>
              <w:rFonts w:hint="eastAsia"/>
            </w:rPr>
            <w:fldChar w:fldCharType="begin"/>
          </w:r>
          <w:r>
            <w:rPr>
              <w:rFonts w:hint="eastAsia"/>
            </w:rPr>
            <w:instrText xml:space="preserve"> </w:instrText>
          </w:r>
          <w:r>
            <w:instrText xml:space="preserve">PAGEREF _Toc232073034 \h</w:instrText>
          </w:r>
          <w:r>
            <w:rPr>
              <w:rFonts w:hint="eastAsia"/>
            </w:rPr>
            <w:instrText xml:space="preserve"> </w:instrText>
          </w:r>
          <w:r>
            <w:rPr>
              <w:rFonts w:hint="eastAsia"/>
            </w:rPr>
            <w:fldChar w:fldCharType="separate"/>
          </w:r>
          <w:r>
            <w:t>75</w:t>
          </w:r>
          <w:r>
            <w:rPr>
              <w:rFonts w:hint="eastAsia"/>
            </w:rPr>
            <w:fldChar w:fldCharType="end"/>
          </w:r>
          <w:r>
            <w:rPr>
              <w:rFonts w:hint="eastAsia"/>
            </w:rPr>
            <w:fldChar w:fldCharType="end"/>
          </w:r>
        </w:p>
        <w:p w14:paraId="7D1E3EEF">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"_Toc232073036" </w:instrText>
          </w:r>
          <w:r>
            <w:fldChar w:fldCharType="separate"/>
          </w:r>
          <w:r>
            <w:rPr>
              <w:rStyle w:val="23"/>
              <w:rFonts w:eastAsia="黑体"/>
              <w:snapToGrid w:val="0"/>
            </w:rPr>
            <w:t>附图5 施工期环境保护目标分布图</w:t>
          </w:r>
          <w:r>
            <w:rPr>
              <w:rFonts w:hint="eastAsia"/>
            </w:rPr>
            <w:tab/>
          </w:r>
          <w:r>
            <w:rPr>
              <w:rFonts w:hint="eastAsia"/>
            </w:rPr>
            <w:fldChar w:fldCharType="begin"/>
          </w:r>
          <w:r>
            <w:rPr>
              <w:rFonts w:hint="eastAsia"/>
            </w:rPr>
            <w:instrText xml:space="preserve"> </w:instrText>
          </w:r>
          <w:r>
            <w:instrText xml:space="preserve">PAGEREF _Toc232073036 \h</w:instrText>
          </w:r>
          <w:r>
            <w:rPr>
              <w:rFonts w:hint="eastAsia"/>
            </w:rPr>
            <w:instrText xml:space="preserve"> </w:instrText>
          </w:r>
          <w:r>
            <w:rPr>
              <w:rFonts w:hint="eastAsia"/>
            </w:rPr>
            <w:fldChar w:fldCharType="separate"/>
          </w:r>
          <w:r>
            <w:t>76</w:t>
          </w:r>
          <w:r>
            <w:rPr>
              <w:rFonts w:hint="eastAsia"/>
            </w:rPr>
            <w:fldChar w:fldCharType="end"/>
          </w:r>
          <w:r>
            <w:rPr>
              <w:rFonts w:hint="eastAsia"/>
            </w:rPr>
            <w:fldChar w:fldCharType="end"/>
          </w:r>
        </w:p>
        <w:p w14:paraId="0C615EE6">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"_Toc232073037" </w:instrText>
          </w:r>
          <w:r>
            <w:fldChar w:fldCharType="separate"/>
          </w:r>
          <w:r>
            <w:rPr>
              <w:rStyle w:val="23"/>
              <w:rFonts w:eastAsia="黑体"/>
              <w:snapToGrid w:val="0"/>
            </w:rPr>
            <w:t>附图5 项目区域地表水系图</w:t>
          </w:r>
          <w:r>
            <w:rPr>
              <w:rFonts w:hint="eastAsia"/>
            </w:rPr>
            <w:tab/>
          </w:r>
          <w:r>
            <w:rPr>
              <w:rFonts w:hint="eastAsia"/>
            </w:rPr>
            <w:fldChar w:fldCharType="begin"/>
          </w:r>
          <w:r>
            <w:rPr>
              <w:rFonts w:hint="eastAsia"/>
            </w:rPr>
            <w:instrText xml:space="preserve"> </w:instrText>
          </w:r>
          <w:r>
            <w:instrText xml:space="preserve">PAGEREF _Toc232073037 \h</w:instrText>
          </w:r>
          <w:r>
            <w:rPr>
              <w:rFonts w:hint="eastAsia"/>
            </w:rPr>
            <w:instrText xml:space="preserve"> </w:instrText>
          </w:r>
          <w:r>
            <w:rPr>
              <w:rFonts w:hint="eastAsia"/>
            </w:rPr>
            <w:fldChar w:fldCharType="separate"/>
          </w:r>
          <w:r>
            <w:t>77</w:t>
          </w:r>
          <w:r>
            <w:rPr>
              <w:rFonts w:hint="eastAsia"/>
            </w:rPr>
            <w:fldChar w:fldCharType="end"/>
          </w:r>
          <w:r>
            <w:rPr>
              <w:rFonts w:hint="eastAsia"/>
            </w:rPr>
            <w:fldChar w:fldCharType="end"/>
          </w:r>
        </w:p>
        <w:p w14:paraId="0E824BA4">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"_Toc232073038" </w:instrText>
          </w:r>
          <w:r>
            <w:fldChar w:fldCharType="separate"/>
          </w:r>
          <w:r>
            <w:rPr>
              <w:rStyle w:val="23"/>
              <w:rFonts w:eastAsia="黑体"/>
              <w:snapToGrid w:val="0"/>
            </w:rPr>
            <w:t>附图6 生态环境保护措施示意图</w:t>
          </w:r>
          <w:r>
            <w:rPr>
              <w:rFonts w:hint="eastAsia"/>
            </w:rPr>
            <w:tab/>
          </w:r>
          <w:r>
            <w:rPr>
              <w:rFonts w:hint="eastAsia"/>
            </w:rPr>
            <w:fldChar w:fldCharType="begin"/>
          </w:r>
          <w:r>
            <w:rPr>
              <w:rFonts w:hint="eastAsia"/>
            </w:rPr>
            <w:instrText xml:space="preserve"> </w:instrText>
          </w:r>
          <w:r>
            <w:instrText xml:space="preserve">PAGEREF _Toc232073038 \h</w:instrText>
          </w:r>
          <w:r>
            <w:rPr>
              <w:rFonts w:hint="eastAsia"/>
            </w:rPr>
            <w:instrText xml:space="preserve"> </w:instrText>
          </w:r>
          <w:r>
            <w:rPr>
              <w:rFonts w:hint="eastAsia"/>
            </w:rPr>
            <w:fldChar w:fldCharType="separate"/>
          </w:r>
          <w:r>
            <w:t>78</w:t>
          </w:r>
          <w:r>
            <w:rPr>
              <w:rFonts w:hint="eastAsia"/>
            </w:rPr>
            <w:fldChar w:fldCharType="end"/>
          </w:r>
          <w:r>
            <w:rPr>
              <w:rFonts w:hint="eastAsia"/>
            </w:rPr>
            <w:fldChar w:fldCharType="end"/>
          </w:r>
        </w:p>
        <w:p w14:paraId="379C7AE4">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"_Toc232073039" </w:instrText>
          </w:r>
          <w:r>
            <w:fldChar w:fldCharType="separate"/>
          </w:r>
          <w:r>
            <w:rPr>
              <w:rStyle w:val="23"/>
              <w:rFonts w:eastAsia="黑体"/>
              <w:snapToGrid w:val="0"/>
            </w:rPr>
            <w:t>附图7 典型生态措施设计图</w:t>
          </w:r>
          <w:r>
            <w:rPr>
              <w:rFonts w:hint="eastAsia"/>
            </w:rPr>
            <w:tab/>
          </w:r>
          <w:r>
            <w:rPr>
              <w:rFonts w:hint="eastAsia"/>
            </w:rPr>
            <w:fldChar w:fldCharType="begin"/>
          </w:r>
          <w:r>
            <w:rPr>
              <w:rFonts w:hint="eastAsia"/>
            </w:rPr>
            <w:instrText xml:space="preserve"> </w:instrText>
          </w:r>
          <w:r>
            <w:instrText xml:space="preserve">PAGEREF _Toc232073039 \h</w:instrText>
          </w:r>
          <w:r>
            <w:rPr>
              <w:rFonts w:hint="eastAsia"/>
            </w:rPr>
            <w:instrText xml:space="preserve"> </w:instrText>
          </w:r>
          <w:r>
            <w:rPr>
              <w:rFonts w:hint="eastAsia"/>
            </w:rPr>
            <w:fldChar w:fldCharType="separate"/>
          </w:r>
          <w:r>
            <w:t>79</w:t>
          </w:r>
          <w:r>
            <w:rPr>
              <w:rFonts w:hint="eastAsia"/>
            </w:rPr>
            <w:fldChar w:fldCharType="end"/>
          </w:r>
          <w:r>
            <w:rPr>
              <w:rFonts w:hint="eastAsia"/>
            </w:rPr>
            <w:fldChar w:fldCharType="end"/>
          </w:r>
        </w:p>
        <w:p w14:paraId="09234C08">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"_Toc232073040" </w:instrText>
          </w:r>
          <w:r>
            <w:fldChar w:fldCharType="separate"/>
          </w:r>
          <w:r>
            <w:rPr>
              <w:rStyle w:val="23"/>
              <w:rFonts w:eastAsia="黑体"/>
              <w:snapToGrid w:val="0"/>
              <w:kern w:val="0"/>
            </w:rPr>
            <w:t>附件</w:t>
          </w:r>
          <w:r>
            <w:rPr>
              <w:rFonts w:hint="eastAsia"/>
            </w:rPr>
            <w:tab/>
          </w:r>
          <w:r>
            <w:rPr>
              <w:rFonts w:hint="eastAsia"/>
            </w:rPr>
            <w:fldChar w:fldCharType="begin"/>
          </w:r>
          <w:r>
            <w:rPr>
              <w:rFonts w:hint="eastAsia"/>
            </w:rPr>
            <w:instrText xml:space="preserve"> </w:instrText>
          </w:r>
          <w:r>
            <w:instrText xml:space="preserve">PAGEREF _Toc232073040 \h</w:instrText>
          </w:r>
          <w:r>
            <w:rPr>
              <w:rFonts w:hint="eastAsia"/>
            </w:rPr>
            <w:instrText xml:space="preserve"> </w:instrText>
          </w:r>
          <w:r>
            <w:rPr>
              <w:rFonts w:hint="eastAsia"/>
            </w:rPr>
            <w:fldChar w:fldCharType="separate"/>
          </w:r>
          <w:r>
            <w:t>80</w:t>
          </w:r>
          <w:r>
            <w:rPr>
              <w:rFonts w:hint="eastAsia"/>
            </w:rPr>
            <w:fldChar w:fldCharType="end"/>
          </w:r>
          <w:r>
            <w:rPr>
              <w:rFonts w:hint="eastAsia"/>
            </w:rPr>
            <w:fldChar w:fldCharType="end"/>
          </w:r>
        </w:p>
        <w:p w14:paraId="2A288229">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"_Toc232073041" </w:instrText>
          </w:r>
          <w:r>
            <w:fldChar w:fldCharType="separate"/>
          </w:r>
          <w:r>
            <w:rPr>
              <w:rStyle w:val="23"/>
              <w:rFonts w:eastAsia="黑体"/>
              <w:snapToGrid w:val="0"/>
            </w:rPr>
            <w:t>附件1 生态环境分区管控分析报告</w:t>
          </w:r>
          <w:r>
            <w:rPr>
              <w:rFonts w:hint="eastAsia"/>
            </w:rPr>
            <w:tab/>
          </w:r>
          <w:r>
            <w:rPr>
              <w:rFonts w:hint="eastAsia"/>
            </w:rPr>
            <w:fldChar w:fldCharType="begin"/>
          </w:r>
          <w:r>
            <w:rPr>
              <w:rFonts w:hint="eastAsia"/>
            </w:rPr>
            <w:instrText xml:space="preserve"> </w:instrText>
          </w:r>
          <w:r>
            <w:instrText xml:space="preserve">PAGEREF _Toc232073041 \h</w:instrText>
          </w:r>
          <w:r>
            <w:rPr>
              <w:rFonts w:hint="eastAsia"/>
            </w:rPr>
            <w:instrText xml:space="preserve"> </w:instrText>
          </w:r>
          <w:r>
            <w:rPr>
              <w:rFonts w:hint="eastAsia"/>
            </w:rPr>
            <w:fldChar w:fldCharType="separate"/>
          </w:r>
          <w:r>
            <w:t>80</w:t>
          </w:r>
          <w:r>
            <w:rPr>
              <w:rFonts w:hint="eastAsia"/>
            </w:rPr>
            <w:fldChar w:fldCharType="end"/>
          </w:r>
          <w:r>
            <w:rPr>
              <w:rFonts w:hint="eastAsia"/>
            </w:rPr>
            <w:fldChar w:fldCharType="end"/>
          </w:r>
        </w:p>
        <w:p w14:paraId="6F161BA9">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"_Toc232073042" </w:instrText>
          </w:r>
          <w:r>
            <w:fldChar w:fldCharType="separate"/>
          </w:r>
          <w:r>
            <w:rPr>
              <w:rStyle w:val="23"/>
              <w:rFonts w:eastAsia="黑体"/>
              <w:snapToGrid w:val="0"/>
            </w:rPr>
            <w:t>附件2 营业执照</w:t>
          </w:r>
          <w:r>
            <w:rPr>
              <w:rFonts w:hint="eastAsia"/>
            </w:rPr>
            <w:tab/>
          </w:r>
          <w:r>
            <w:rPr>
              <w:rFonts w:hint="eastAsia"/>
            </w:rPr>
            <w:fldChar w:fldCharType="begin"/>
          </w:r>
          <w:r>
            <w:rPr>
              <w:rFonts w:hint="eastAsia"/>
            </w:rPr>
            <w:instrText xml:space="preserve"> </w:instrText>
          </w:r>
          <w:r>
            <w:instrText xml:space="preserve">PAGEREF _Toc232073042 \h</w:instrText>
          </w:r>
          <w:r>
            <w:rPr>
              <w:rFonts w:hint="eastAsia"/>
            </w:rPr>
            <w:instrText xml:space="preserve"> </w:instrText>
          </w:r>
          <w:r>
            <w:rPr>
              <w:rFonts w:hint="eastAsia"/>
            </w:rPr>
            <w:fldChar w:fldCharType="separate"/>
          </w:r>
          <w:r>
            <w:t>85</w:t>
          </w:r>
          <w:r>
            <w:rPr>
              <w:rFonts w:hint="eastAsia"/>
            </w:rPr>
            <w:fldChar w:fldCharType="end"/>
          </w:r>
          <w:r>
            <w:rPr>
              <w:rFonts w:hint="eastAsia"/>
            </w:rPr>
            <w:fldChar w:fldCharType="end"/>
          </w:r>
        </w:p>
        <w:p w14:paraId="3E300826">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"_Toc232073043" </w:instrText>
          </w:r>
          <w:r>
            <w:fldChar w:fldCharType="separate"/>
          </w:r>
          <w:r>
            <w:rPr>
              <w:rStyle w:val="23"/>
              <w:rFonts w:eastAsia="黑体"/>
              <w:snapToGrid w:val="0"/>
            </w:rPr>
            <w:t>附件3 投资项目备案书</w:t>
          </w:r>
          <w:r>
            <w:rPr>
              <w:rFonts w:hint="eastAsia"/>
            </w:rPr>
            <w:tab/>
          </w:r>
          <w:r>
            <w:rPr>
              <w:rFonts w:hint="eastAsia"/>
            </w:rPr>
            <w:fldChar w:fldCharType="begin"/>
          </w:r>
          <w:r>
            <w:rPr>
              <w:rFonts w:hint="eastAsia"/>
            </w:rPr>
            <w:instrText xml:space="preserve"> </w:instrText>
          </w:r>
          <w:r>
            <w:instrText xml:space="preserve">PAGEREF _Toc232073043 \h</w:instrText>
          </w:r>
          <w:r>
            <w:rPr>
              <w:rFonts w:hint="eastAsia"/>
            </w:rPr>
            <w:instrText xml:space="preserve"> </w:instrText>
          </w:r>
          <w:r>
            <w:rPr>
              <w:rFonts w:hint="eastAsia"/>
            </w:rPr>
            <w:fldChar w:fldCharType="separate"/>
          </w:r>
          <w:r>
            <w:t>86</w:t>
          </w:r>
          <w:r>
            <w:rPr>
              <w:rFonts w:hint="eastAsia"/>
            </w:rPr>
            <w:fldChar w:fldCharType="end"/>
          </w:r>
          <w:r>
            <w:rPr>
              <w:rFonts w:hint="eastAsia"/>
            </w:rPr>
            <w:fldChar w:fldCharType="end"/>
          </w:r>
        </w:p>
        <w:p w14:paraId="53B5670E">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"_Toc232073044" </w:instrText>
          </w:r>
          <w:r>
            <w:fldChar w:fldCharType="separate"/>
          </w:r>
          <w:r>
            <w:rPr>
              <w:rStyle w:val="23"/>
              <w:rFonts w:eastAsia="黑体"/>
              <w:snapToGrid w:val="0"/>
            </w:rPr>
            <w:t>附件4 土地证</w:t>
          </w:r>
          <w:r>
            <w:rPr>
              <w:rFonts w:hint="eastAsia"/>
            </w:rPr>
            <w:tab/>
          </w:r>
          <w:r>
            <w:rPr>
              <w:rFonts w:hint="eastAsia"/>
            </w:rPr>
            <w:fldChar w:fldCharType="begin"/>
          </w:r>
          <w:r>
            <w:rPr>
              <w:rFonts w:hint="eastAsia"/>
            </w:rPr>
            <w:instrText xml:space="preserve"> </w:instrText>
          </w:r>
          <w:r>
            <w:instrText xml:space="preserve">PAGEREF _Toc232073044 \h</w:instrText>
          </w:r>
          <w:r>
            <w:rPr>
              <w:rFonts w:hint="eastAsia"/>
            </w:rPr>
            <w:instrText xml:space="preserve"> </w:instrText>
          </w:r>
          <w:r>
            <w:rPr>
              <w:rFonts w:hint="eastAsia"/>
            </w:rPr>
            <w:fldChar w:fldCharType="separate"/>
          </w:r>
          <w:r>
            <w:t>88</w:t>
          </w:r>
          <w:r>
            <w:rPr>
              <w:rFonts w:hint="eastAsia"/>
            </w:rPr>
            <w:fldChar w:fldCharType="end"/>
          </w:r>
          <w:r>
            <w:rPr>
              <w:rFonts w:hint="eastAsia"/>
            </w:rPr>
            <w:fldChar w:fldCharType="end"/>
          </w:r>
        </w:p>
        <w:p w14:paraId="713F6856">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"_Toc232073045" </w:instrText>
          </w:r>
          <w:r>
            <w:fldChar w:fldCharType="separate"/>
          </w:r>
          <w:r>
            <w:rPr>
              <w:rStyle w:val="23"/>
              <w:rFonts w:eastAsia="黑体"/>
              <w:snapToGrid w:val="0"/>
            </w:rPr>
            <w:t>附件5 监测报告</w:t>
          </w:r>
          <w:r>
            <w:rPr>
              <w:rFonts w:hint="eastAsia"/>
            </w:rPr>
            <w:tab/>
          </w:r>
          <w:r>
            <w:rPr>
              <w:rFonts w:hint="eastAsia"/>
            </w:rPr>
            <w:fldChar w:fldCharType="begin"/>
          </w:r>
          <w:r>
            <w:rPr>
              <w:rFonts w:hint="eastAsia"/>
            </w:rPr>
            <w:instrText xml:space="preserve"> </w:instrText>
          </w:r>
          <w:r>
            <w:instrText xml:space="preserve">PAGEREF _Toc232073045 \h</w:instrText>
          </w:r>
          <w:r>
            <w:rPr>
              <w:rFonts w:hint="eastAsia"/>
            </w:rPr>
            <w:instrText xml:space="preserve"> </w:instrText>
          </w:r>
          <w:r>
            <w:rPr>
              <w:rFonts w:hint="eastAsia"/>
            </w:rPr>
            <w:fldChar w:fldCharType="separate"/>
          </w:r>
          <w:r>
            <w:t>89</w:t>
          </w:r>
          <w:r>
            <w:rPr>
              <w:rFonts w:hint="eastAsia"/>
            </w:rPr>
            <w:fldChar w:fldCharType="end"/>
          </w:r>
          <w:r>
            <w:rPr>
              <w:rFonts w:hint="eastAsia"/>
            </w:rPr>
            <w:fldChar w:fldCharType="end"/>
          </w:r>
        </w:p>
        <w:p w14:paraId="2892ACCC">
          <w:pPr>
            <w:pStyle w:val="13"/>
            <w:rPr>
              <w:rFonts w:hint="eastAsia" w:asciiTheme="minorHAnsi" w:hAnsiTheme="minorHAnsi" w:eastAsiaTheme="minorEastAsia" w:cstheme="minorBidi"/>
              <w:sz w:val="22"/>
              <w14:ligatures w14:val="standardContextual"/>
            </w:rPr>
          </w:pPr>
          <w:r>
            <w:fldChar w:fldCharType="begin"/>
          </w:r>
          <w:r>
            <w:instrText xml:space="preserve"> HYPERLINK \l "_Toc232073046" </w:instrText>
          </w:r>
          <w:r>
            <w:fldChar w:fldCharType="separate"/>
          </w:r>
          <w:r>
            <w:rPr>
              <w:rStyle w:val="23"/>
              <w:rFonts w:eastAsia="黑体"/>
              <w:snapToGrid w:val="0"/>
            </w:rPr>
            <w:t>附件6 燃料分析单</w:t>
          </w:r>
          <w:r>
            <w:rPr>
              <w:rFonts w:hint="eastAsia"/>
            </w:rPr>
            <w:tab/>
          </w:r>
          <w:r>
            <w:rPr>
              <w:rFonts w:hint="eastAsia"/>
            </w:rPr>
            <w:fldChar w:fldCharType="begin"/>
          </w:r>
          <w:r>
            <w:rPr>
              <w:rFonts w:hint="eastAsia"/>
            </w:rPr>
            <w:instrText xml:space="preserve"> </w:instrText>
          </w:r>
          <w:r>
            <w:instrText xml:space="preserve">PAGEREF _Toc232073046 \h</w:instrText>
          </w:r>
          <w:r>
            <w:rPr>
              <w:rFonts w:hint="eastAsia"/>
            </w:rPr>
            <w:instrText xml:space="preserve"> </w:instrText>
          </w:r>
          <w:r>
            <w:rPr>
              <w:rFonts w:hint="eastAsia"/>
            </w:rPr>
            <w:fldChar w:fldCharType="separate"/>
          </w:r>
          <w:r>
            <w:t>97</w:t>
          </w:r>
          <w:r>
            <w:rPr>
              <w:rFonts w:hint="eastAsia"/>
            </w:rPr>
            <w:fldChar w:fldCharType="end"/>
          </w:r>
          <w:r>
            <w:rPr>
              <w:rFonts w:hint="eastAsia"/>
            </w:rPr>
            <w:fldChar w:fldCharType="end"/>
          </w:r>
        </w:p>
        <w:p w14:paraId="5E169687">
          <w:pPr>
            <w:rPr>
              <w:color w:val="000000" w:themeColor="text1"/>
              <w14:textFill>
                <w14:solidFill>
                  <w14:schemeClr w14:val="tx1"/>
                </w14:solidFill>
              </w14:textFill>
            </w:rPr>
          </w:pPr>
          <w:r>
            <w:rPr>
              <w:color w:val="000000" w:themeColor="text1"/>
              <w:lang w:val="zh-CN"/>
              <w14:textFill>
                <w14:solidFill>
                  <w14:schemeClr w14:val="tx1"/>
                </w14:solidFill>
              </w14:textFill>
            </w:rPr>
            <w:fldChar w:fldCharType="end"/>
          </w:r>
        </w:p>
      </w:sdtContent>
    </w:sdt>
    <w:p w14:paraId="2399A1DF">
      <w:pPr>
        <w:adjustRightInd w:val="0"/>
        <w:snapToGrid w:val="0"/>
        <w:spacing w:line="288" w:lineRule="auto"/>
        <w:rPr>
          <w:rFonts w:eastAsia="仿宋_GB2312"/>
          <w:color w:val="000000" w:themeColor="text1"/>
          <w:sz w:val="36"/>
          <w:szCs w:val="36"/>
          <w14:textFill>
            <w14:solidFill>
              <w14:schemeClr w14:val="tx1"/>
            </w14:solidFill>
          </w14:textFill>
        </w:rPr>
      </w:pPr>
    </w:p>
    <w:p w14:paraId="57E39FE8">
      <w:pPr>
        <w:adjustRightInd w:val="0"/>
        <w:snapToGrid w:val="0"/>
        <w:spacing w:line="288" w:lineRule="auto"/>
        <w:ind w:firstLine="1040"/>
        <w:rPr>
          <w:rFonts w:eastAsia="仿宋_GB2312"/>
          <w:color w:val="000000" w:themeColor="text1"/>
          <w:sz w:val="36"/>
          <w:szCs w:val="36"/>
          <w14:textFill>
            <w14:solidFill>
              <w14:schemeClr w14:val="tx1"/>
            </w14:solidFill>
          </w14:textFill>
        </w:rPr>
      </w:pPr>
    </w:p>
    <w:p w14:paraId="527A7473">
      <w:pPr>
        <w:adjustRightInd w:val="0"/>
        <w:snapToGrid w:val="0"/>
        <w:spacing w:line="288" w:lineRule="auto"/>
        <w:ind w:firstLine="1040"/>
        <w:rPr>
          <w:rFonts w:eastAsia="仿宋_GB2312"/>
          <w:color w:val="000000" w:themeColor="text1"/>
          <w:sz w:val="36"/>
          <w:szCs w:val="36"/>
          <w14:textFill>
            <w14:solidFill>
              <w14:schemeClr w14:val="tx1"/>
            </w14:solidFill>
          </w14:textFill>
        </w:rPr>
        <w:sectPr>
          <w:footerReference r:id="rId3" w:type="default"/>
          <w:pgSz w:w="11906" w:h="16838"/>
          <w:pgMar w:top="1701" w:right="1531" w:bottom="1701" w:left="1531" w:header="851" w:footer="1077" w:gutter="0"/>
          <w:pgNumType w:start="1"/>
          <w:cols w:space="720" w:num="1"/>
          <w:docGrid w:linePitch="312" w:charSpace="0"/>
        </w:sectPr>
      </w:pPr>
    </w:p>
    <w:p w14:paraId="3ED25291">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2" w:name="_Toc232073023"/>
      <w:r>
        <w:rPr>
          <w:rFonts w:ascii="Times New Roman" w:hAnsi="Times New Roman" w:eastAsia="黑体"/>
          <w:snapToGrid w:val="0"/>
          <w:color w:val="000000" w:themeColor="text1"/>
          <w:sz w:val="30"/>
          <w:szCs w:val="30"/>
          <w14:textFill>
            <w14:solidFill>
              <w14:schemeClr w14:val="tx1"/>
            </w14:solidFill>
          </w14:textFill>
        </w:rPr>
        <w:t>一、建设项目基本情况</w:t>
      </w:r>
      <w:bookmarkEnd w:id="2"/>
    </w:p>
    <w:tbl>
      <w:tblPr>
        <w:tblStyle w:val="19"/>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26"/>
        <w:gridCol w:w="2033"/>
        <w:gridCol w:w="2501"/>
        <w:gridCol w:w="2864"/>
      </w:tblGrid>
      <w:tr w14:paraId="7CCA1F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958" w:type="pct"/>
            <w:tcMar>
              <w:top w:w="16" w:type="dxa"/>
              <w:left w:w="16" w:type="dxa"/>
              <w:right w:w="16" w:type="dxa"/>
            </w:tcMar>
            <w:vAlign w:val="center"/>
          </w:tcPr>
          <w:p w14:paraId="25B6690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建设项目名称</w:t>
            </w:r>
          </w:p>
        </w:tc>
        <w:tc>
          <w:tcPr>
            <w:tcW w:w="4042" w:type="pct"/>
            <w:gridSpan w:val="3"/>
            <w:vAlign w:val="center"/>
          </w:tcPr>
          <w:p w14:paraId="61E72D85">
            <w:pPr>
              <w:adjustRightInd w:val="0"/>
              <w:snapToGrid w:val="0"/>
              <w:jc w:val="center"/>
              <w:rPr>
                <w:color w:val="000000" w:themeColor="text1"/>
                <w:szCs w:val="21"/>
                <w14:textFill>
                  <w14:solidFill>
                    <w14:schemeClr w14:val="tx1"/>
                  </w14:solidFill>
                </w14:textFill>
              </w:rPr>
            </w:pPr>
            <w:bookmarkStart w:id="3" w:name="OLE_LINK11"/>
            <w:r>
              <w:rPr>
                <w:color w:val="000000" w:themeColor="text1"/>
                <w:szCs w:val="21"/>
                <w14:textFill>
                  <w14:solidFill>
                    <w14:schemeClr w14:val="tx1"/>
                  </w14:solidFill>
                </w14:textFill>
              </w:rPr>
              <w:t>梅花河度假村水上乐园、冷水鱼养殖综合项目</w:t>
            </w:r>
            <w:bookmarkEnd w:id="3"/>
          </w:p>
        </w:tc>
      </w:tr>
      <w:tr w14:paraId="0E3EF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58" w:type="pct"/>
            <w:tcMar>
              <w:top w:w="16" w:type="dxa"/>
              <w:left w:w="16" w:type="dxa"/>
              <w:right w:w="16" w:type="dxa"/>
            </w:tcMar>
            <w:vAlign w:val="center"/>
          </w:tcPr>
          <w:p w14:paraId="711C109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项目代码</w:t>
            </w:r>
          </w:p>
        </w:tc>
        <w:tc>
          <w:tcPr>
            <w:tcW w:w="4042" w:type="pct"/>
            <w:gridSpan w:val="3"/>
            <w:vAlign w:val="center"/>
          </w:tcPr>
          <w:p w14:paraId="5CB45C1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2410</w:t>
            </w:r>
            <w:r>
              <w:rPr>
                <w:color w:val="000000" w:themeColor="text1"/>
                <w:szCs w:val="21"/>
                <w14:textFill>
                  <w14:solidFill>
                    <w14:schemeClr w14:val="tx1"/>
                  </w14:solidFill>
                </w14:textFill>
              </w:rPr>
              <w:t>-230</w:t>
            </w:r>
            <w:r>
              <w:rPr>
                <w:rFonts w:hint="eastAsia"/>
                <w:color w:val="000000" w:themeColor="text1"/>
                <w:szCs w:val="21"/>
                <w14:textFill>
                  <w14:solidFill>
                    <w14:schemeClr w14:val="tx1"/>
                  </w14:solidFill>
                </w14:textFill>
              </w:rPr>
              <w:t>717</w:t>
            </w:r>
            <w:r>
              <w:rPr>
                <w:color w:val="000000" w:themeColor="text1"/>
                <w:szCs w:val="21"/>
                <w14:textFill>
                  <w14:solidFill>
                    <w14:schemeClr w14:val="tx1"/>
                  </w14:solidFill>
                </w14:textFill>
              </w:rPr>
              <w:t>-04-01-8</w:t>
            </w:r>
            <w:r>
              <w:rPr>
                <w:rFonts w:hint="eastAsia"/>
                <w:color w:val="000000" w:themeColor="text1"/>
                <w:szCs w:val="21"/>
                <w14:textFill>
                  <w14:solidFill>
                    <w14:schemeClr w14:val="tx1"/>
                  </w14:solidFill>
                </w14:textFill>
              </w:rPr>
              <w:t>36317</w:t>
            </w:r>
          </w:p>
        </w:tc>
      </w:tr>
      <w:tr w14:paraId="23024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958" w:type="pct"/>
            <w:tcMar>
              <w:top w:w="16" w:type="dxa"/>
              <w:left w:w="16" w:type="dxa"/>
              <w:right w:w="16" w:type="dxa"/>
            </w:tcMar>
            <w:vAlign w:val="center"/>
          </w:tcPr>
          <w:p w14:paraId="215D78A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建设单位联系人</w:t>
            </w:r>
          </w:p>
        </w:tc>
        <w:tc>
          <w:tcPr>
            <w:tcW w:w="1112" w:type="pct"/>
            <w:vAlign w:val="center"/>
          </w:tcPr>
          <w:p w14:paraId="19E9A55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赵德友</w:t>
            </w:r>
          </w:p>
        </w:tc>
        <w:tc>
          <w:tcPr>
            <w:tcW w:w="1368" w:type="pct"/>
            <w:vAlign w:val="center"/>
          </w:tcPr>
          <w:p w14:paraId="3379915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联系方式</w:t>
            </w:r>
          </w:p>
        </w:tc>
        <w:tc>
          <w:tcPr>
            <w:tcW w:w="1561" w:type="pct"/>
            <w:vAlign w:val="center"/>
          </w:tcPr>
          <w:p w14:paraId="59C9850E">
            <w:pPr>
              <w:adjustRightInd w:val="0"/>
              <w:snapToGrid w:val="0"/>
              <w:jc w:val="center"/>
              <w:rPr>
                <w:color w:val="000000" w:themeColor="text1"/>
                <w:szCs w:val="21"/>
                <w14:textFill>
                  <w14:solidFill>
                    <w14:schemeClr w14:val="tx1"/>
                  </w14:solidFill>
                </w14:textFill>
              </w:rPr>
            </w:pPr>
            <w:bookmarkStart w:id="71" w:name="_GoBack"/>
            <w:bookmarkEnd w:id="71"/>
          </w:p>
        </w:tc>
      </w:tr>
      <w:tr w14:paraId="0EC139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958" w:type="pct"/>
            <w:tcMar>
              <w:top w:w="16" w:type="dxa"/>
              <w:left w:w="16" w:type="dxa"/>
              <w:right w:w="16" w:type="dxa"/>
            </w:tcMar>
            <w:vAlign w:val="center"/>
          </w:tcPr>
          <w:p w14:paraId="29FA410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建设地点</w:t>
            </w:r>
          </w:p>
        </w:tc>
        <w:tc>
          <w:tcPr>
            <w:tcW w:w="4042" w:type="pct"/>
            <w:gridSpan w:val="3"/>
            <w:vAlign w:val="center"/>
          </w:tcPr>
          <w:p w14:paraId="009C7F03">
            <w:pPr>
              <w:adjustRightInd w:val="0"/>
              <w:snapToGrid w:val="0"/>
              <w:jc w:val="center"/>
              <w:rPr>
                <w:color w:val="000000" w:themeColor="text1"/>
                <w:szCs w:val="21"/>
                <w14:textFill>
                  <w14:solidFill>
                    <w14:schemeClr w14:val="tx1"/>
                  </w14:solidFill>
                </w14:textFill>
              </w:rPr>
            </w:pPr>
            <w:bookmarkStart w:id="4" w:name="OLE_LINK10"/>
            <w:r>
              <w:rPr>
                <w:rFonts w:hint="eastAsia"/>
                <w:color w:val="000000" w:themeColor="text1"/>
                <w:szCs w:val="21"/>
                <w14:textFill>
                  <w14:solidFill>
                    <w14:schemeClr w14:val="tx1"/>
                  </w14:solidFill>
                </w14:textFill>
              </w:rPr>
              <w:t>黑龙江省伊春市伊美区</w:t>
            </w:r>
            <w:bookmarkEnd w:id="4"/>
          </w:p>
        </w:tc>
      </w:tr>
      <w:tr w14:paraId="2560D9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58" w:type="pct"/>
            <w:tcMar>
              <w:top w:w="16" w:type="dxa"/>
              <w:left w:w="16" w:type="dxa"/>
              <w:right w:w="16" w:type="dxa"/>
            </w:tcMar>
            <w:vAlign w:val="center"/>
          </w:tcPr>
          <w:p w14:paraId="25CEACC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地理坐标</w:t>
            </w:r>
          </w:p>
        </w:tc>
        <w:tc>
          <w:tcPr>
            <w:tcW w:w="4042" w:type="pct"/>
            <w:gridSpan w:val="3"/>
            <w:vAlign w:val="center"/>
          </w:tcPr>
          <w:p w14:paraId="5676C49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rFonts w:hint="eastAsia"/>
                <w:color w:val="000000" w:themeColor="text1"/>
                <w:szCs w:val="21"/>
                <w:u w:val="single"/>
                <w14:textFill>
                  <w14:solidFill>
                    <w14:schemeClr w14:val="tx1"/>
                  </w14:solidFill>
                </w14:textFill>
              </w:rPr>
              <w:t>127</w:t>
            </w:r>
            <w:r>
              <w:rPr>
                <w:rFonts w:hint="eastAsia"/>
                <w:color w:val="000000" w:themeColor="text1"/>
                <w:szCs w:val="21"/>
                <w14:textFill>
                  <w14:solidFill>
                    <w14:schemeClr w14:val="tx1"/>
                  </w14:solidFill>
                </w14:textFill>
              </w:rPr>
              <w:t>度</w:t>
            </w:r>
            <w:r>
              <w:rPr>
                <w:color w:val="000000" w:themeColor="text1"/>
                <w:szCs w:val="21"/>
                <w:u w:val="single"/>
                <w14:textFill>
                  <w14:solidFill>
                    <w14:schemeClr w14:val="tx1"/>
                  </w14:solidFill>
                </w14:textFill>
              </w:rPr>
              <w:t>45</w:t>
            </w:r>
            <w:r>
              <w:rPr>
                <w:rFonts w:hint="eastAsia"/>
                <w:color w:val="000000" w:themeColor="text1"/>
                <w:szCs w:val="21"/>
                <w14:textFill>
                  <w14:solidFill>
                    <w14:schemeClr w14:val="tx1"/>
                  </w14:solidFill>
                </w14:textFill>
              </w:rPr>
              <w:t>分</w:t>
            </w:r>
            <w:r>
              <w:rPr>
                <w:color w:val="000000" w:themeColor="text1"/>
                <w:szCs w:val="21"/>
                <w:u w:val="single"/>
                <w14:textFill>
                  <w14:solidFill>
                    <w14:schemeClr w14:val="tx1"/>
                  </w14:solidFill>
                </w14:textFill>
              </w:rPr>
              <w:t>16.704</w:t>
            </w:r>
            <w:r>
              <w:rPr>
                <w:rFonts w:hint="eastAsia"/>
                <w:color w:val="000000" w:themeColor="text1"/>
                <w:szCs w:val="21"/>
                <w14:textFill>
                  <w14:solidFill>
                    <w14:schemeClr w14:val="tx1"/>
                  </w14:solidFill>
                </w14:textFill>
              </w:rPr>
              <w:t>秒，</w:t>
            </w:r>
            <w:r>
              <w:rPr>
                <w:rFonts w:hint="eastAsia"/>
                <w:color w:val="000000" w:themeColor="text1"/>
                <w:szCs w:val="21"/>
                <w:u w:val="single"/>
                <w14:textFill>
                  <w14:solidFill>
                    <w14:schemeClr w14:val="tx1"/>
                  </w14:solidFill>
                </w14:textFill>
              </w:rPr>
              <w:t>4</w:t>
            </w:r>
            <w:r>
              <w:rPr>
                <w:color w:val="000000" w:themeColor="text1"/>
                <w:szCs w:val="21"/>
                <w:u w:val="single"/>
                <w14:textFill>
                  <w14:solidFill>
                    <w14:schemeClr w14:val="tx1"/>
                  </w14:solidFill>
                </w14:textFill>
              </w:rPr>
              <w:t>5</w:t>
            </w:r>
            <w:r>
              <w:rPr>
                <w:rFonts w:hint="eastAsia"/>
                <w:color w:val="000000" w:themeColor="text1"/>
                <w:szCs w:val="21"/>
                <w14:textFill>
                  <w14:solidFill>
                    <w14:schemeClr w14:val="tx1"/>
                  </w14:solidFill>
                </w14:textFill>
              </w:rPr>
              <w:t>度</w:t>
            </w:r>
            <w:r>
              <w:rPr>
                <w:color w:val="000000" w:themeColor="text1"/>
                <w:szCs w:val="21"/>
                <w:u w:val="single"/>
                <w14:textFill>
                  <w14:solidFill>
                    <w14:schemeClr w14:val="tx1"/>
                  </w14:solidFill>
                </w14:textFill>
              </w:rPr>
              <w:t>50</w:t>
            </w:r>
            <w:r>
              <w:rPr>
                <w:rFonts w:hint="eastAsia"/>
                <w:color w:val="000000" w:themeColor="text1"/>
                <w:szCs w:val="21"/>
                <w14:textFill>
                  <w14:solidFill>
                    <w14:schemeClr w14:val="tx1"/>
                  </w14:solidFill>
                </w14:textFill>
              </w:rPr>
              <w:t>分</w:t>
            </w:r>
            <w:r>
              <w:rPr>
                <w:color w:val="000000" w:themeColor="text1"/>
                <w:szCs w:val="21"/>
                <w:u w:val="single"/>
                <w14:textFill>
                  <w14:solidFill>
                    <w14:schemeClr w14:val="tx1"/>
                  </w14:solidFill>
                </w14:textFill>
              </w:rPr>
              <w:t>20</w:t>
            </w:r>
            <w:r>
              <w:rPr>
                <w:rFonts w:hint="eastAsia"/>
                <w:color w:val="000000" w:themeColor="text1"/>
                <w:szCs w:val="21"/>
                <w:u w:val="single"/>
                <w14:textFill>
                  <w14:solidFill>
                    <w14:schemeClr w14:val="tx1"/>
                  </w14:solidFill>
                </w14:textFill>
              </w:rPr>
              <w:t>.</w:t>
            </w:r>
            <w:r>
              <w:rPr>
                <w:color w:val="000000" w:themeColor="text1"/>
                <w:szCs w:val="21"/>
                <w:u w:val="single"/>
                <w14:textFill>
                  <w14:solidFill>
                    <w14:schemeClr w14:val="tx1"/>
                  </w14:solidFill>
                </w14:textFill>
              </w:rPr>
              <w:t>047</w:t>
            </w:r>
            <w:r>
              <w:rPr>
                <w:rFonts w:hint="eastAsia"/>
                <w:color w:val="000000" w:themeColor="text1"/>
                <w:szCs w:val="21"/>
                <w14:textFill>
                  <w14:solidFill>
                    <w14:schemeClr w14:val="tx1"/>
                  </w14:solidFill>
                </w14:textFill>
              </w:rPr>
              <w:t>秒）</w:t>
            </w:r>
          </w:p>
        </w:tc>
      </w:tr>
      <w:tr w14:paraId="013850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958" w:type="pct"/>
            <w:tcMar>
              <w:top w:w="16" w:type="dxa"/>
              <w:left w:w="16" w:type="dxa"/>
              <w:right w:w="16" w:type="dxa"/>
            </w:tcMar>
            <w:vAlign w:val="center"/>
          </w:tcPr>
          <w:p w14:paraId="791179B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建设项目行业类别</w:t>
            </w:r>
          </w:p>
        </w:tc>
        <w:tc>
          <w:tcPr>
            <w:tcW w:w="1112" w:type="pct"/>
            <w:vAlign w:val="center"/>
          </w:tcPr>
          <w:p w14:paraId="2E7814B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五十一、水利，128河湖整治（不含农村塘堰、水渠）中其他；</w:t>
            </w:r>
            <w:r>
              <w:rPr>
                <w:color w:val="000000" w:themeColor="text1"/>
                <w:szCs w:val="21"/>
                <w14:textFill>
                  <w14:solidFill>
                    <w14:schemeClr w14:val="tx1"/>
                  </w14:solidFill>
                </w14:textFill>
              </w:rPr>
              <w:t>四十一、电力、热力生产和供应业——91热力生产和供应业——使用其他高污染燃料的</w:t>
            </w:r>
          </w:p>
        </w:tc>
        <w:tc>
          <w:tcPr>
            <w:tcW w:w="1362" w:type="pct"/>
            <w:vAlign w:val="center"/>
          </w:tcPr>
          <w:p w14:paraId="4FBE734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用地（用海）面积（m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）/长度（km）</w:t>
            </w:r>
          </w:p>
        </w:tc>
        <w:tc>
          <w:tcPr>
            <w:tcW w:w="1567" w:type="pct"/>
            <w:vAlign w:val="center"/>
          </w:tcPr>
          <w:p w14:paraId="58599F12">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683291.24</w:t>
            </w:r>
          </w:p>
        </w:tc>
      </w:tr>
      <w:tr w14:paraId="76A549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958" w:type="pct"/>
            <w:tcMar>
              <w:top w:w="16" w:type="dxa"/>
              <w:left w:w="16" w:type="dxa"/>
              <w:right w:w="16" w:type="dxa"/>
            </w:tcMar>
            <w:vAlign w:val="center"/>
          </w:tcPr>
          <w:p w14:paraId="68724C1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建设性质</w:t>
            </w:r>
          </w:p>
        </w:tc>
        <w:tc>
          <w:tcPr>
            <w:tcW w:w="1112" w:type="pct"/>
            <w:vAlign w:val="center"/>
          </w:tcPr>
          <w:p w14:paraId="03DE4782">
            <w:pPr>
              <w:adjustRightInd w:val="0"/>
              <w:snapToGrid w:val="0"/>
              <w:jc w:val="left"/>
              <w:rPr>
                <w:color w:val="000000" w:themeColor="text1"/>
                <w:szCs w:val="21"/>
                <w14:textFill>
                  <w14:solidFill>
                    <w14:schemeClr w14:val="tx1"/>
                  </w14:solidFill>
                </w14:textFill>
              </w:rPr>
            </w:pP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新建（迁建）</w:t>
            </w:r>
          </w:p>
          <w:p w14:paraId="0169FECD">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□改建</w:t>
            </w:r>
          </w:p>
          <w:p w14:paraId="5A60B744">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□扩建</w:t>
            </w:r>
          </w:p>
          <w:p w14:paraId="4B639FC5">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□技术改造</w:t>
            </w:r>
          </w:p>
        </w:tc>
        <w:tc>
          <w:tcPr>
            <w:tcW w:w="1362" w:type="pct"/>
            <w:vAlign w:val="center"/>
          </w:tcPr>
          <w:p w14:paraId="47F5155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建设项目</w:t>
            </w:r>
          </w:p>
          <w:p w14:paraId="204197F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申报情形</w:t>
            </w:r>
          </w:p>
        </w:tc>
        <w:tc>
          <w:tcPr>
            <w:tcW w:w="1567" w:type="pct"/>
            <w:vAlign w:val="center"/>
          </w:tcPr>
          <w:p w14:paraId="0F6F5F8F">
            <w:pPr>
              <w:adjustRightInd w:val="0"/>
              <w:snapToGrid w:val="0"/>
              <w:jc w:val="left"/>
              <w:rPr>
                <w:color w:val="000000" w:themeColor="text1"/>
                <w:szCs w:val="21"/>
                <w14:textFill>
                  <w14:solidFill>
                    <w14:schemeClr w14:val="tx1"/>
                  </w14:solidFill>
                </w14:textFill>
              </w:rPr>
            </w:pPr>
            <w:r>
              <w:rPr>
                <w:rStyle w:val="44"/>
                <w:color w:val="000000" w:themeColor="text1"/>
                <w14:textFill>
                  <w14:solidFill>
                    <w14:schemeClr w14:val="tx1"/>
                  </w14:solidFill>
                </w14:textFill>
              </w:rPr>
              <w:t></w:t>
            </w:r>
            <w:r>
              <w:rPr>
                <w:color w:val="000000" w:themeColor="text1"/>
                <w:szCs w:val="21"/>
                <w14:textFill>
                  <w14:solidFill>
                    <w14:schemeClr w14:val="tx1"/>
                  </w14:solidFill>
                </w14:textFill>
              </w:rPr>
              <w:t>首次申报项目</w:t>
            </w:r>
          </w:p>
          <w:p w14:paraId="3EB1A45A">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□不予批准后再次申报项目</w:t>
            </w:r>
          </w:p>
          <w:p w14:paraId="3FFADB66">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□超五年重新审核项目</w:t>
            </w:r>
          </w:p>
          <w:p w14:paraId="15BFB591">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□重大变动重新报批项目</w:t>
            </w:r>
          </w:p>
        </w:tc>
      </w:tr>
      <w:tr w14:paraId="58C3B0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958" w:type="pct"/>
            <w:tcMar>
              <w:top w:w="16" w:type="dxa"/>
              <w:left w:w="16" w:type="dxa"/>
              <w:right w:w="16" w:type="dxa"/>
            </w:tcMar>
            <w:vAlign w:val="center"/>
          </w:tcPr>
          <w:p w14:paraId="3E028F51">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项目审批（核准/备案）部门（选填）</w:t>
            </w:r>
          </w:p>
        </w:tc>
        <w:tc>
          <w:tcPr>
            <w:tcW w:w="1112" w:type="pct"/>
            <w:vAlign w:val="center"/>
          </w:tcPr>
          <w:p w14:paraId="0340F72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w:t>
            </w:r>
          </w:p>
        </w:tc>
        <w:tc>
          <w:tcPr>
            <w:tcW w:w="1362" w:type="pct"/>
            <w:vAlign w:val="center"/>
          </w:tcPr>
          <w:p w14:paraId="6E56A67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项目审批（核准/</w:t>
            </w:r>
          </w:p>
          <w:p w14:paraId="0D3D743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备案）文号（选填）</w:t>
            </w:r>
          </w:p>
        </w:tc>
        <w:tc>
          <w:tcPr>
            <w:tcW w:w="1567" w:type="pct"/>
            <w:vAlign w:val="center"/>
          </w:tcPr>
          <w:p w14:paraId="099FF69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w:t>
            </w:r>
          </w:p>
        </w:tc>
      </w:tr>
      <w:tr w14:paraId="7A4AD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958" w:type="pct"/>
            <w:tcMar>
              <w:top w:w="16" w:type="dxa"/>
              <w:left w:w="16" w:type="dxa"/>
              <w:right w:w="16" w:type="dxa"/>
            </w:tcMar>
            <w:vAlign w:val="center"/>
          </w:tcPr>
          <w:p w14:paraId="66555BC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总投资（万元）</w:t>
            </w:r>
          </w:p>
        </w:tc>
        <w:tc>
          <w:tcPr>
            <w:tcW w:w="1112" w:type="pct"/>
            <w:vAlign w:val="center"/>
          </w:tcPr>
          <w:p w14:paraId="73AEFB5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10000</w:t>
            </w:r>
          </w:p>
        </w:tc>
        <w:tc>
          <w:tcPr>
            <w:tcW w:w="1362" w:type="pct"/>
            <w:tcMar>
              <w:top w:w="16" w:type="dxa"/>
              <w:left w:w="16" w:type="dxa"/>
              <w:right w:w="16" w:type="dxa"/>
            </w:tcMar>
            <w:vAlign w:val="center"/>
          </w:tcPr>
          <w:p w14:paraId="1AED4A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环保投资（万元）</w:t>
            </w:r>
          </w:p>
        </w:tc>
        <w:tc>
          <w:tcPr>
            <w:tcW w:w="1567" w:type="pct"/>
            <w:vAlign w:val="center"/>
          </w:tcPr>
          <w:p w14:paraId="1C4410F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57</w:t>
            </w:r>
          </w:p>
        </w:tc>
      </w:tr>
      <w:tr w14:paraId="57037D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958" w:type="pct"/>
            <w:tcMar>
              <w:top w:w="16" w:type="dxa"/>
              <w:left w:w="16" w:type="dxa"/>
              <w:right w:w="16" w:type="dxa"/>
            </w:tcMar>
            <w:vAlign w:val="center"/>
          </w:tcPr>
          <w:p w14:paraId="233D289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环保投资占比（%）</w:t>
            </w:r>
          </w:p>
        </w:tc>
        <w:tc>
          <w:tcPr>
            <w:tcW w:w="1112" w:type="pct"/>
            <w:vAlign w:val="center"/>
          </w:tcPr>
          <w:p w14:paraId="7C4A769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0.57</w:t>
            </w:r>
          </w:p>
        </w:tc>
        <w:tc>
          <w:tcPr>
            <w:tcW w:w="1362" w:type="pct"/>
            <w:tcMar>
              <w:top w:w="16" w:type="dxa"/>
              <w:left w:w="16" w:type="dxa"/>
              <w:right w:w="16" w:type="dxa"/>
            </w:tcMar>
            <w:vAlign w:val="center"/>
          </w:tcPr>
          <w:p w14:paraId="4FB3EA2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施工工期</w:t>
            </w:r>
          </w:p>
        </w:tc>
        <w:tc>
          <w:tcPr>
            <w:tcW w:w="1567" w:type="pct"/>
            <w:vAlign w:val="center"/>
          </w:tcPr>
          <w:p w14:paraId="442B951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2026年</w:t>
            </w:r>
            <w:r>
              <w:rPr>
                <w:rFonts w:hint="eastAsia"/>
                <w:color w:val="000000" w:themeColor="text1"/>
                <w:szCs w:val="21"/>
                <w14:textFill>
                  <w14:solidFill>
                    <w14:schemeClr w14:val="tx1"/>
                  </w14:solidFill>
                </w14:textFill>
              </w:rPr>
              <w:t>8</w:t>
            </w:r>
            <w:r>
              <w:rPr>
                <w:color w:val="000000" w:themeColor="text1"/>
                <w:szCs w:val="21"/>
                <w14:textFill>
                  <w14:solidFill>
                    <w14:schemeClr w14:val="tx1"/>
                  </w14:solidFill>
                </w14:textFill>
              </w:rPr>
              <w:t>月</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2026</w:t>
            </w:r>
            <w:r>
              <w:rPr>
                <w:rFonts w:hint="eastAsia"/>
                <w:color w:val="000000" w:themeColor="text1"/>
                <w:szCs w:val="21"/>
                <w14:textFill>
                  <w14:solidFill>
                    <w14:schemeClr w14:val="tx1"/>
                  </w14:solidFill>
                </w14:textFill>
              </w:rPr>
              <w:t>年12月</w:t>
            </w:r>
          </w:p>
        </w:tc>
      </w:tr>
      <w:tr w14:paraId="406B2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958" w:type="pct"/>
            <w:tcMar>
              <w:top w:w="16" w:type="dxa"/>
              <w:left w:w="16" w:type="dxa"/>
              <w:right w:w="16" w:type="dxa"/>
            </w:tcMar>
            <w:vAlign w:val="center"/>
          </w:tcPr>
          <w:p w14:paraId="3C01EBF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是否开工建设</w:t>
            </w:r>
          </w:p>
        </w:tc>
        <w:tc>
          <w:tcPr>
            <w:tcW w:w="4042" w:type="pct"/>
            <w:gridSpan w:val="3"/>
            <w:vAlign w:val="center"/>
          </w:tcPr>
          <w:p w14:paraId="38ED52CD">
            <w:pPr>
              <w:adjustRightInd w:val="0"/>
              <w:snapToGrid w:val="0"/>
              <w:ind w:firstLine="105"/>
              <w:jc w:val="left"/>
              <w:rPr>
                <w:rStyle w:val="44"/>
                <w:color w:val="000000" w:themeColor="text1"/>
                <w14:textFill>
                  <w14:solidFill>
                    <w14:schemeClr w14:val="tx1"/>
                  </w14:solidFill>
                </w14:textFill>
              </w:rPr>
            </w:pPr>
            <w:r>
              <w:rPr>
                <w:rStyle w:val="44"/>
                <w:rFonts w:hint="eastAsia"/>
                <w:color w:val="000000" w:themeColor="text1"/>
                <w14:textFill>
                  <w14:solidFill>
                    <w14:schemeClr w14:val="tx1"/>
                  </w14:solidFill>
                </w14:textFill>
              </w:rPr>
              <w:t>R否</w:t>
            </w:r>
          </w:p>
          <w:p w14:paraId="6E3D4ACB">
            <w:pPr>
              <w:adjustRightInd w:val="0"/>
              <w:snapToGrid w:val="0"/>
              <w:ind w:firstLine="92"/>
              <w:jc w:val="left"/>
              <w:rPr>
                <w:color w:val="000000" w:themeColor="text1"/>
                <w:szCs w:val="21"/>
                <w14:textFill>
                  <w14:solidFill>
                    <w14:schemeClr w14:val="tx1"/>
                  </w14:solidFill>
                </w14:textFill>
              </w:rPr>
            </w:pPr>
            <w:r>
              <w:rPr>
                <w:rStyle w:val="44"/>
                <w:rFonts w:hint="eastAsia"/>
                <w:color w:val="000000" w:themeColor="text1"/>
                <w14:textFill>
                  <w14:solidFill>
                    <w14:schemeClr w14:val="tx1"/>
                  </w14:solidFill>
                </w14:textFill>
              </w:rPr>
              <w:t>£是</w:t>
            </w:r>
          </w:p>
        </w:tc>
      </w:tr>
      <w:tr w14:paraId="661F0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20" w:hRule="atLeast"/>
        </w:trPr>
        <w:tc>
          <w:tcPr>
            <w:tcW w:w="958" w:type="pct"/>
            <w:tcMar>
              <w:top w:w="16" w:type="dxa"/>
              <w:left w:w="16" w:type="dxa"/>
              <w:right w:w="16" w:type="dxa"/>
            </w:tcMar>
            <w:vAlign w:val="center"/>
          </w:tcPr>
          <w:p w14:paraId="6AC90C94">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专项评价设置情况</w:t>
            </w:r>
          </w:p>
        </w:tc>
        <w:tc>
          <w:tcPr>
            <w:tcW w:w="4042" w:type="pct"/>
            <w:gridSpan w:val="3"/>
            <w:tcMar>
              <w:top w:w="16" w:type="dxa"/>
              <w:left w:w="16" w:type="dxa"/>
              <w:right w:w="16" w:type="dxa"/>
            </w:tcMar>
            <w:vAlign w:val="center"/>
          </w:tcPr>
          <w:p w14:paraId="7D7DF3A5">
            <w:pPr>
              <w:pStyle w:val="47"/>
              <w:ind w:firstLine="42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根据《建设项目环境影响报告表编制技术指南（生态影响类）（试行）》，项目专项设置情况参照下表。</w:t>
            </w:r>
          </w:p>
          <w:p w14:paraId="3F151FE3">
            <w:pPr>
              <w:pStyle w:val="46"/>
              <w:rPr>
                <w:color w:val="000000" w:themeColor="text1"/>
                <w14:textFill>
                  <w14:solidFill>
                    <w14:schemeClr w14:val="tx1"/>
                  </w14:solidFill>
                </w14:textFill>
              </w:rPr>
            </w:pPr>
            <w:r>
              <w:rPr>
                <w:color w:val="000000" w:themeColor="text1"/>
                <w14:textFill>
                  <w14:solidFill>
                    <w14:schemeClr w14:val="tx1"/>
                  </w14:solidFill>
                </w14:textFill>
              </w:rPr>
              <w:t>表1-1 专项评价设置情况一览表</w:t>
            </w:r>
          </w:p>
          <w:tbl>
            <w:tblPr>
              <w:tblStyle w:val="6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2"/>
              <w:gridCol w:w="3822"/>
              <w:gridCol w:w="1472"/>
              <w:gridCol w:w="1059"/>
            </w:tblGrid>
            <w:tr w14:paraId="7662F3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781B64E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专项评价的类别</w:t>
                  </w:r>
                </w:p>
              </w:tc>
              <w:tc>
                <w:tcPr>
                  <w:tcW w:w="2595" w:type="pct"/>
                  <w:vAlign w:val="center"/>
                </w:tcPr>
                <w:p w14:paraId="4DF9D78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涉及项目类别</w:t>
                  </w:r>
                </w:p>
              </w:tc>
              <w:tc>
                <w:tcPr>
                  <w:tcW w:w="999" w:type="pct"/>
                  <w:vAlign w:val="center"/>
                </w:tcPr>
                <w:p w14:paraId="04CE38B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本项目情况</w:t>
                  </w:r>
                </w:p>
              </w:tc>
              <w:tc>
                <w:tcPr>
                  <w:tcW w:w="719" w:type="pct"/>
                  <w:vAlign w:val="center"/>
                </w:tcPr>
                <w:p w14:paraId="4691619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是否设置专项评价</w:t>
                  </w:r>
                </w:p>
              </w:tc>
            </w:tr>
            <w:tr w14:paraId="659328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4D24CE6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2595" w:type="pct"/>
                  <w:vAlign w:val="center"/>
                </w:tcPr>
                <w:p w14:paraId="180FB305">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水力发电：引水式发电、涉及调峰发电的项目；</w:t>
                  </w:r>
                </w:p>
                <w:p w14:paraId="2D53799F">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人工湖、人工湿地：全部；</w:t>
                  </w:r>
                </w:p>
                <w:p w14:paraId="766D8214">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水库：全部；</w:t>
                  </w:r>
                </w:p>
                <w:p w14:paraId="622437BE">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引水工程：全部（配套的管线工程等除外）；</w:t>
                  </w:r>
                </w:p>
                <w:p w14:paraId="227B653E">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防洪除涝工程：包含水库的项目；</w:t>
                  </w:r>
                </w:p>
                <w:p w14:paraId="72E7C09B">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河湖整治：涉及清淤且底泥存在重金属污染的项目</w:t>
                  </w:r>
                </w:p>
              </w:tc>
              <w:tc>
                <w:tcPr>
                  <w:tcW w:w="999" w:type="pct"/>
                  <w:vAlign w:val="center"/>
                </w:tcPr>
                <w:p w14:paraId="3FD4E64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本项目为河湖整治工程，涉及清淤，根据监测结果，项目区现状底泥不存在重金属污染。</w:t>
                  </w:r>
                </w:p>
              </w:tc>
              <w:tc>
                <w:tcPr>
                  <w:tcW w:w="719" w:type="pct"/>
                  <w:vAlign w:val="center"/>
                </w:tcPr>
                <w:p w14:paraId="340E8AC4">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5CC38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597C261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地下水</w:t>
                  </w:r>
                </w:p>
              </w:tc>
              <w:tc>
                <w:tcPr>
                  <w:tcW w:w="2595" w:type="pct"/>
                  <w:vAlign w:val="center"/>
                </w:tcPr>
                <w:p w14:paraId="0ACF4B4E">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陆地石油和天然气开采：全部；</w:t>
                  </w:r>
                </w:p>
                <w:p w14:paraId="4D88B33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地下水（含矿泉水）开采：全部；</w:t>
                  </w:r>
                </w:p>
                <w:p w14:paraId="10505AEA">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水利、水电、交通等：含穿越可溶岩地层隧道的项目</w:t>
                  </w:r>
                </w:p>
              </w:tc>
              <w:tc>
                <w:tcPr>
                  <w:tcW w:w="999" w:type="pct"/>
                  <w:vAlign w:val="center"/>
                </w:tcPr>
                <w:p w14:paraId="75BC883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719" w:type="pct"/>
                  <w:vAlign w:val="center"/>
                </w:tcPr>
                <w:p w14:paraId="4BDA6CB0">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5218F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53FB286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tc>
              <w:tc>
                <w:tcPr>
                  <w:tcW w:w="2595" w:type="pct"/>
                  <w:vAlign w:val="center"/>
                </w:tcPr>
                <w:p w14:paraId="65498BF2">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涉及环境敏感区（不包括饮用水水源保护区，以居住、医疗卫生、文化教育、科研、行政办公为主要功能的区域，以及文物保护单位）的项目</w:t>
                  </w:r>
                </w:p>
              </w:tc>
              <w:tc>
                <w:tcPr>
                  <w:tcW w:w="999" w:type="pct"/>
                  <w:vAlign w:val="center"/>
                </w:tcPr>
                <w:p w14:paraId="518ABA4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719" w:type="pct"/>
                  <w:vAlign w:val="center"/>
                </w:tcPr>
                <w:p w14:paraId="32627F34">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6BEDE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22C2165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大气</w:t>
                  </w:r>
                </w:p>
              </w:tc>
              <w:tc>
                <w:tcPr>
                  <w:tcW w:w="2595" w:type="pct"/>
                  <w:vAlign w:val="center"/>
                </w:tcPr>
                <w:p w14:paraId="0ADF8343">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油气、液体化工码头：全部；</w:t>
                  </w:r>
                </w:p>
                <w:p w14:paraId="3BBB66A6">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干散货（含煤炭、矿石）、件杂、多用途、通用码头：涉及粉尘、挥发性有机物排放的项目</w:t>
                  </w:r>
                </w:p>
              </w:tc>
              <w:tc>
                <w:tcPr>
                  <w:tcW w:w="999" w:type="pct"/>
                  <w:vAlign w:val="center"/>
                </w:tcPr>
                <w:p w14:paraId="1F5DC8D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719" w:type="pct"/>
                  <w:vAlign w:val="center"/>
                </w:tcPr>
                <w:p w14:paraId="07EB7BB3">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40260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204EBBF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2595" w:type="pct"/>
                  <w:vAlign w:val="center"/>
                </w:tcPr>
                <w:p w14:paraId="078CDE4D">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公路、铁路、机场等交通运输业涉及环境敏感区（以居住、医疗卫生、文化教育、科研、行政办公为主要功能的区域）的项目；</w:t>
                  </w:r>
                </w:p>
                <w:p w14:paraId="4238E9F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城市道路（不含维护，不含支路、人行天桥、人行地道）：全部</w:t>
                  </w:r>
                </w:p>
              </w:tc>
              <w:tc>
                <w:tcPr>
                  <w:tcW w:w="999" w:type="pct"/>
                  <w:vAlign w:val="center"/>
                </w:tcPr>
                <w:p w14:paraId="1C74993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719" w:type="pct"/>
                  <w:vAlign w:val="center"/>
                </w:tcPr>
                <w:p w14:paraId="2C1572EB">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r w14:paraId="5B47F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687" w:type="pct"/>
                  <w:vAlign w:val="center"/>
                </w:tcPr>
                <w:p w14:paraId="0DB3C67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w:t>
                  </w:r>
                </w:p>
              </w:tc>
              <w:tc>
                <w:tcPr>
                  <w:tcW w:w="2595" w:type="pct"/>
                  <w:vAlign w:val="center"/>
                </w:tcPr>
                <w:p w14:paraId="44D275B0">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石油和天然气开采：全部；</w:t>
                  </w:r>
                </w:p>
                <w:p w14:paraId="58F9B754">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油气、液体化工码头：全部；</w:t>
                  </w:r>
                </w:p>
                <w:p w14:paraId="7EFAFBE9">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原油、成品油、天然气管线（不含城镇天然气管线、企业厂区内管线），危险化学品输送管线（不含企业厂区内管线）：全部</w:t>
                  </w:r>
                </w:p>
              </w:tc>
              <w:tc>
                <w:tcPr>
                  <w:tcW w:w="999" w:type="pct"/>
                  <w:vAlign w:val="center"/>
                </w:tcPr>
                <w:p w14:paraId="7D9F172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719" w:type="pct"/>
                  <w:vAlign w:val="center"/>
                </w:tcPr>
                <w:p w14:paraId="1AE13D05">
                  <w:pPr>
                    <w:pStyle w:val="43"/>
                    <w:rPr>
                      <w:color w:val="000000" w:themeColor="text1"/>
                      <w14:textFill>
                        <w14:solidFill>
                          <w14:schemeClr w14:val="tx1"/>
                        </w14:solidFill>
                      </w14:textFill>
                    </w:rPr>
                  </w:pPr>
                  <w:r>
                    <w:rPr>
                      <w:color w:val="000000" w:themeColor="text1"/>
                      <w14:textFill>
                        <w14:solidFill>
                          <w14:schemeClr w14:val="tx1"/>
                        </w14:solidFill>
                      </w14:textFill>
                    </w:rPr>
                    <w:t>否</w:t>
                  </w:r>
                </w:p>
              </w:tc>
            </w:tr>
          </w:tbl>
          <w:p w14:paraId="3DF47450">
            <w:pPr>
              <w:autoSpaceDE w:val="0"/>
              <w:autoSpaceDN w:val="0"/>
              <w:adjustRightInd w:val="0"/>
              <w:snapToGrid w:val="0"/>
              <w:spacing w:after="120" w:afterLines="50"/>
              <w:jc w:val="left"/>
              <w:rPr>
                <w:color w:val="000000" w:themeColor="text1"/>
                <w:kern w:val="0"/>
                <w:szCs w:val="21"/>
                <w14:textFill>
                  <w14:solidFill>
                    <w14:schemeClr w14:val="tx1"/>
                  </w14:solidFill>
                </w14:textFill>
              </w:rPr>
            </w:pPr>
            <w:r>
              <w:rPr>
                <w:rFonts w:hint="eastAsia"/>
                <w:color w:val="000000" w:themeColor="text1"/>
                <w:kern w:val="0"/>
                <w:sz w:val="18"/>
                <w:szCs w:val="18"/>
                <w14:textFill>
                  <w14:solidFill>
                    <w14:schemeClr w14:val="tx1"/>
                  </w14:solidFill>
                </w14:textFill>
              </w:rPr>
              <w:t>注：“涉及环境敏感区”是指建设项目位于、穿（跨）越（无害化通过的除外）环境敏感区，或环境影响范围涵盖环境敏感区。环境敏感区是指《建设项目环境影响评价分类管理名录》中针对该类项目所列的敏感区。</w:t>
            </w:r>
          </w:p>
        </w:tc>
      </w:tr>
      <w:tr w14:paraId="1E8138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70" w:hRule="atLeast"/>
        </w:trPr>
        <w:tc>
          <w:tcPr>
            <w:tcW w:w="958" w:type="pct"/>
            <w:tcMar>
              <w:top w:w="16" w:type="dxa"/>
              <w:left w:w="16" w:type="dxa"/>
              <w:right w:w="16" w:type="dxa"/>
            </w:tcMar>
            <w:vAlign w:val="center"/>
          </w:tcPr>
          <w:p w14:paraId="4F412DEF">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规划情况</w:t>
            </w:r>
          </w:p>
        </w:tc>
        <w:tc>
          <w:tcPr>
            <w:tcW w:w="4042" w:type="pct"/>
            <w:gridSpan w:val="3"/>
            <w:tcMar>
              <w:top w:w="16" w:type="dxa"/>
              <w:left w:w="16" w:type="dxa"/>
              <w:right w:w="16" w:type="dxa"/>
            </w:tcMar>
            <w:vAlign w:val="center"/>
          </w:tcPr>
          <w:p w14:paraId="128BF6A1">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w:t>
            </w:r>
          </w:p>
        </w:tc>
      </w:tr>
      <w:tr w14:paraId="4DB6B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817" w:hRule="atLeast"/>
        </w:trPr>
        <w:tc>
          <w:tcPr>
            <w:tcW w:w="958" w:type="pct"/>
            <w:tcMar>
              <w:top w:w="16" w:type="dxa"/>
              <w:left w:w="16" w:type="dxa"/>
              <w:right w:w="16" w:type="dxa"/>
            </w:tcMar>
            <w:vAlign w:val="center"/>
          </w:tcPr>
          <w:p w14:paraId="5E71F660">
            <w:pPr>
              <w:autoSpaceDE w:val="0"/>
              <w:autoSpaceDN w:val="0"/>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规划环境影响</w:t>
            </w:r>
          </w:p>
          <w:p w14:paraId="55059AA3">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评价情况</w:t>
            </w:r>
          </w:p>
        </w:tc>
        <w:tc>
          <w:tcPr>
            <w:tcW w:w="4042" w:type="pct"/>
            <w:gridSpan w:val="3"/>
            <w:tcMar>
              <w:top w:w="16" w:type="dxa"/>
              <w:left w:w="16" w:type="dxa"/>
              <w:right w:w="16" w:type="dxa"/>
            </w:tcMar>
            <w:vAlign w:val="center"/>
          </w:tcPr>
          <w:p w14:paraId="530A5048">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w:t>
            </w:r>
          </w:p>
        </w:tc>
      </w:tr>
      <w:tr w14:paraId="08265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35" w:hRule="atLeast"/>
        </w:trPr>
        <w:tc>
          <w:tcPr>
            <w:tcW w:w="958" w:type="pct"/>
            <w:tcMar>
              <w:top w:w="16" w:type="dxa"/>
              <w:left w:w="16" w:type="dxa"/>
              <w:right w:w="16" w:type="dxa"/>
            </w:tcMar>
            <w:vAlign w:val="center"/>
          </w:tcPr>
          <w:p w14:paraId="75B0E8F8">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规划及</w:t>
            </w:r>
            <w:r>
              <w:rPr>
                <w:color w:val="000000" w:themeColor="text1"/>
                <w:szCs w:val="21"/>
                <w14:textFill>
                  <w14:solidFill>
                    <w14:schemeClr w14:val="tx1"/>
                  </w14:solidFill>
                </w14:textFill>
              </w:rPr>
              <w:t>规划环境影响评价</w:t>
            </w:r>
            <w:r>
              <w:rPr>
                <w:color w:val="000000" w:themeColor="text1"/>
                <w:kern w:val="0"/>
                <w:szCs w:val="21"/>
                <w14:textFill>
                  <w14:solidFill>
                    <w14:schemeClr w14:val="tx1"/>
                  </w14:solidFill>
                </w14:textFill>
              </w:rPr>
              <w:t>符合性分析</w:t>
            </w:r>
          </w:p>
        </w:tc>
        <w:tc>
          <w:tcPr>
            <w:tcW w:w="4042" w:type="pct"/>
            <w:gridSpan w:val="3"/>
            <w:tcMar>
              <w:top w:w="16" w:type="dxa"/>
              <w:left w:w="16" w:type="dxa"/>
              <w:right w:w="16" w:type="dxa"/>
            </w:tcMar>
            <w:vAlign w:val="center"/>
          </w:tcPr>
          <w:p w14:paraId="1EE667B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w:t>
            </w:r>
          </w:p>
        </w:tc>
      </w:tr>
      <w:tr w14:paraId="67EA97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157" w:hRule="atLeast"/>
        </w:trPr>
        <w:tc>
          <w:tcPr>
            <w:tcW w:w="958" w:type="pct"/>
            <w:tcMar>
              <w:top w:w="16" w:type="dxa"/>
              <w:left w:w="16" w:type="dxa"/>
              <w:right w:w="16" w:type="dxa"/>
            </w:tcMar>
            <w:vAlign w:val="center"/>
          </w:tcPr>
          <w:p w14:paraId="4117D3B4">
            <w:pPr>
              <w:autoSpaceDE w:val="0"/>
              <w:autoSpaceDN w:val="0"/>
              <w:adjustRightInd w:val="0"/>
              <w:snapToGrid w:val="0"/>
              <w:jc w:val="center"/>
              <w:rPr>
                <w:color w:val="000000" w:themeColor="text1"/>
                <w:kern w:val="0"/>
                <w:szCs w:val="21"/>
                <w14:textFill>
                  <w14:solidFill>
                    <w14:schemeClr w14:val="tx1"/>
                  </w14:solidFill>
                </w14:textFill>
              </w:rPr>
            </w:pPr>
            <w:bookmarkStart w:id="5" w:name="_Hlk56690880"/>
            <w:r>
              <w:rPr>
                <w:color w:val="000000" w:themeColor="text1"/>
                <w:kern w:val="0"/>
                <w:szCs w:val="21"/>
                <w14:textFill>
                  <w14:solidFill>
                    <w14:schemeClr w14:val="tx1"/>
                  </w14:solidFill>
                </w14:textFill>
              </w:rPr>
              <w:t>其他符合性分析</w:t>
            </w:r>
            <w:bookmarkEnd w:id="5"/>
          </w:p>
        </w:tc>
        <w:tc>
          <w:tcPr>
            <w:tcW w:w="4042" w:type="pct"/>
            <w:gridSpan w:val="3"/>
            <w:tcMar>
              <w:top w:w="16" w:type="dxa"/>
              <w:left w:w="16" w:type="dxa"/>
              <w:right w:w="16" w:type="dxa"/>
            </w:tcMar>
            <w:vAlign w:val="center"/>
          </w:tcPr>
          <w:p w14:paraId="4A217E4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一、产业政策符合性分析</w:t>
            </w:r>
          </w:p>
          <w:p w14:paraId="01F6342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本项目为河湖整治工程，根据国家发展和改革委员会颁布实施的《产业结构调整指导目录（2024年本）》，本项目属于鼓励类 “二、水利3、防洪提升工程：江河湖海堤防建设及河道治理工程，江河湖库清淤疏浚工程”，符合国家及地方相关产业政策。</w:t>
            </w:r>
          </w:p>
          <w:p w14:paraId="1D3EB9B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本项目为热力生产和供应业，</w:t>
            </w:r>
            <w:r>
              <w:rPr>
                <w:color w:val="000000" w:themeColor="text1"/>
                <w14:textFill>
                  <w14:solidFill>
                    <w14:schemeClr w14:val="tx1"/>
                  </w14:solidFill>
                </w14:textFill>
              </w:rPr>
              <w:t>根据《产业结构调整指导目录（2024年）》，每小时2蒸吨及以下生物质锅炉为淘汰类，每小时35蒸吨及以下固定炉排式生物质锅炉为限制类，本项目新建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5MW专用生物质热水锅炉用于生活供暖，为链条炉排，不属于限制类和淘汰类，属于符合国家产业政策要求。</w:t>
            </w:r>
          </w:p>
          <w:p w14:paraId="5D3A6A4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二、项目与“生态环境分区管控”符合性分析</w:t>
            </w:r>
          </w:p>
          <w:p w14:paraId="0738019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本项目位于</w:t>
            </w:r>
            <w:r>
              <w:rPr>
                <w:rFonts w:hint="eastAsia"/>
                <w:color w:val="000000" w:themeColor="text1"/>
                <w14:textFill>
                  <w14:solidFill>
                    <w14:schemeClr w14:val="tx1"/>
                  </w14:solidFill>
                </w14:textFill>
              </w:rPr>
              <w:t>黑龙江省伊春市伊美区</w:t>
            </w:r>
            <w:r>
              <w:rPr>
                <w:color w:val="000000" w:themeColor="text1"/>
                <w14:textFill>
                  <w14:solidFill>
                    <w14:schemeClr w14:val="tx1"/>
                  </w14:solidFill>
                </w14:textFill>
              </w:rPr>
              <w:t>，根据2024年1月22日黑龙江省生态环境厅《关于发布2023年生态环境分区管控动态更新成果的通知》（黑环发〔2024〕1号）、《2024年黑龙江省生态环境质量状况》以及参照查询黑龙江省生态环境分区管控数据应用，本项目与黑龙江省生态环境分区管控成果数据相交情况汇总表见下表。</w:t>
            </w:r>
          </w:p>
          <w:p w14:paraId="0AA240D3">
            <w:pPr>
              <w:jc w:val="center"/>
              <w:rPr>
                <w:b/>
                <w:szCs w:val="21"/>
              </w:rPr>
            </w:pPr>
            <w:r>
              <w:rPr>
                <w:b/>
                <w:szCs w:val="21"/>
              </w:rPr>
              <w:t>表1-2 本项目与“三线一单”成果相交情况一览表</w:t>
            </w:r>
          </w:p>
          <w:tbl>
            <w:tblPr>
              <w:tblStyle w:val="19"/>
              <w:tblW w:w="71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3" w:type="dxa"/>
                <w:bottom w:w="0" w:type="dxa"/>
                <w:right w:w="23" w:type="dxa"/>
              </w:tblCellMar>
            </w:tblPr>
            <w:tblGrid>
              <w:gridCol w:w="790"/>
              <w:gridCol w:w="1597"/>
              <w:gridCol w:w="803"/>
              <w:gridCol w:w="1090"/>
              <w:gridCol w:w="1106"/>
              <w:gridCol w:w="1731"/>
            </w:tblGrid>
            <w:tr w14:paraId="67FBD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559" w:hRule="atLeast"/>
                <w:tblHeader/>
                <w:jc w:val="center"/>
              </w:trPr>
              <w:tc>
                <w:tcPr>
                  <w:tcW w:w="555" w:type="pct"/>
                  <w:tcBorders>
                    <w:tl2br w:val="nil"/>
                    <w:tr2bl w:val="nil"/>
                  </w:tcBorders>
                  <w:tcMar>
                    <w:top w:w="15" w:type="dxa"/>
                    <w:left w:w="108" w:type="dxa"/>
                    <w:bottom w:w="15" w:type="dxa"/>
                    <w:right w:w="108" w:type="dxa"/>
                  </w:tcMar>
                  <w:vAlign w:val="center"/>
                </w:tcPr>
                <w:p w14:paraId="0D9D83E5">
                  <w:pPr>
                    <w:jc w:val="center"/>
                    <w:rPr>
                      <w:sz w:val="18"/>
                      <w:szCs w:val="18"/>
                      <w:lang w:val="zh-CN"/>
                    </w:rPr>
                  </w:pPr>
                  <w:r>
                    <w:rPr>
                      <w:sz w:val="18"/>
                      <w:szCs w:val="18"/>
                      <w:lang w:val="zh-CN"/>
                    </w:rPr>
                    <w:t>一级分类</w:t>
                  </w:r>
                </w:p>
              </w:tc>
              <w:tc>
                <w:tcPr>
                  <w:tcW w:w="1122" w:type="pct"/>
                  <w:tcBorders>
                    <w:tl2br w:val="nil"/>
                    <w:tr2bl w:val="nil"/>
                  </w:tcBorders>
                  <w:tcMar>
                    <w:top w:w="15" w:type="dxa"/>
                    <w:left w:w="108" w:type="dxa"/>
                    <w:bottom w:w="15" w:type="dxa"/>
                    <w:right w:w="108" w:type="dxa"/>
                  </w:tcMar>
                  <w:vAlign w:val="center"/>
                </w:tcPr>
                <w:p w14:paraId="6ED9A63B">
                  <w:pPr>
                    <w:jc w:val="center"/>
                    <w:rPr>
                      <w:sz w:val="18"/>
                      <w:szCs w:val="18"/>
                      <w:lang w:val="zh-CN"/>
                    </w:rPr>
                  </w:pPr>
                  <w:r>
                    <w:rPr>
                      <w:sz w:val="18"/>
                      <w:szCs w:val="18"/>
                      <w:lang w:val="zh-CN"/>
                    </w:rPr>
                    <w:t>二级分类</w:t>
                  </w:r>
                </w:p>
              </w:tc>
              <w:tc>
                <w:tcPr>
                  <w:tcW w:w="564" w:type="pct"/>
                  <w:tcBorders>
                    <w:tl2br w:val="nil"/>
                    <w:tr2bl w:val="nil"/>
                  </w:tcBorders>
                  <w:tcMar>
                    <w:top w:w="15" w:type="dxa"/>
                    <w:left w:w="108" w:type="dxa"/>
                    <w:bottom w:w="15" w:type="dxa"/>
                    <w:right w:w="108" w:type="dxa"/>
                  </w:tcMar>
                  <w:vAlign w:val="center"/>
                </w:tcPr>
                <w:p w14:paraId="2ECB0E8F">
                  <w:pPr>
                    <w:jc w:val="center"/>
                    <w:rPr>
                      <w:sz w:val="18"/>
                      <w:szCs w:val="18"/>
                      <w:lang w:val="zh-CN"/>
                    </w:rPr>
                  </w:pPr>
                  <w:r>
                    <w:rPr>
                      <w:sz w:val="18"/>
                      <w:szCs w:val="18"/>
                    </w:rPr>
                    <w:t>是否相交</w:t>
                  </w:r>
                </w:p>
              </w:tc>
              <w:tc>
                <w:tcPr>
                  <w:tcW w:w="766" w:type="pct"/>
                  <w:tcBorders>
                    <w:tl2br w:val="nil"/>
                    <w:tr2bl w:val="nil"/>
                  </w:tcBorders>
                  <w:tcMar>
                    <w:top w:w="15" w:type="dxa"/>
                    <w:left w:w="108" w:type="dxa"/>
                    <w:bottom w:w="15" w:type="dxa"/>
                    <w:right w:w="108" w:type="dxa"/>
                  </w:tcMar>
                  <w:vAlign w:val="center"/>
                </w:tcPr>
                <w:p w14:paraId="3EFA57CB">
                  <w:pPr>
                    <w:jc w:val="center"/>
                    <w:rPr>
                      <w:sz w:val="18"/>
                      <w:szCs w:val="18"/>
                      <w:lang w:val="zh-CN"/>
                    </w:rPr>
                  </w:pPr>
                  <w:r>
                    <w:rPr>
                      <w:sz w:val="18"/>
                      <w:szCs w:val="18"/>
                    </w:rPr>
                    <w:t>所属地市</w:t>
                  </w:r>
                </w:p>
              </w:tc>
              <w:tc>
                <w:tcPr>
                  <w:tcW w:w="777" w:type="pct"/>
                  <w:tcBorders>
                    <w:tl2br w:val="nil"/>
                    <w:tr2bl w:val="nil"/>
                  </w:tcBorders>
                  <w:tcMar>
                    <w:top w:w="15" w:type="dxa"/>
                    <w:left w:w="108" w:type="dxa"/>
                    <w:bottom w:w="15" w:type="dxa"/>
                    <w:right w:w="108" w:type="dxa"/>
                  </w:tcMar>
                  <w:vAlign w:val="center"/>
                </w:tcPr>
                <w:p w14:paraId="2506EA67">
                  <w:pPr>
                    <w:jc w:val="center"/>
                    <w:rPr>
                      <w:sz w:val="18"/>
                      <w:szCs w:val="18"/>
                      <w:lang w:val="zh-CN"/>
                    </w:rPr>
                  </w:pPr>
                  <w:r>
                    <w:rPr>
                      <w:sz w:val="18"/>
                      <w:szCs w:val="18"/>
                    </w:rPr>
                    <w:t>所属区县</w:t>
                  </w:r>
                </w:p>
              </w:tc>
              <w:tc>
                <w:tcPr>
                  <w:tcW w:w="1216" w:type="pct"/>
                  <w:tcBorders>
                    <w:tl2br w:val="nil"/>
                    <w:tr2bl w:val="nil"/>
                  </w:tcBorders>
                  <w:tcMar>
                    <w:top w:w="15" w:type="dxa"/>
                    <w:left w:w="108" w:type="dxa"/>
                    <w:bottom w:w="15" w:type="dxa"/>
                    <w:right w:w="108" w:type="dxa"/>
                  </w:tcMar>
                  <w:vAlign w:val="center"/>
                </w:tcPr>
                <w:p w14:paraId="155B3B3A">
                  <w:pPr>
                    <w:jc w:val="center"/>
                    <w:rPr>
                      <w:sz w:val="18"/>
                      <w:szCs w:val="18"/>
                    </w:rPr>
                  </w:pPr>
                  <w:r>
                    <w:rPr>
                      <w:sz w:val="18"/>
                      <w:szCs w:val="18"/>
                      <w:lang w:val="zh-CN"/>
                    </w:rPr>
                    <w:t>相交</w:t>
                  </w:r>
                  <w:r>
                    <w:rPr>
                      <w:sz w:val="18"/>
                      <w:szCs w:val="18"/>
                    </w:rPr>
                    <w:t>区域</w:t>
                  </w:r>
                </w:p>
              </w:tc>
            </w:tr>
            <w:tr w14:paraId="1FD16A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32" w:hRule="atLeast"/>
                <w:jc w:val="center"/>
              </w:trPr>
              <w:tc>
                <w:tcPr>
                  <w:tcW w:w="555" w:type="pct"/>
                  <w:vMerge w:val="restart"/>
                  <w:tcBorders>
                    <w:tl2br w:val="nil"/>
                    <w:tr2bl w:val="nil"/>
                  </w:tcBorders>
                  <w:tcMar>
                    <w:top w:w="15" w:type="dxa"/>
                    <w:left w:w="108" w:type="dxa"/>
                    <w:bottom w:w="15" w:type="dxa"/>
                    <w:right w:w="108" w:type="dxa"/>
                  </w:tcMar>
                  <w:vAlign w:val="center"/>
                </w:tcPr>
                <w:p w14:paraId="4273D918">
                  <w:pPr>
                    <w:jc w:val="center"/>
                    <w:rPr>
                      <w:sz w:val="18"/>
                      <w:szCs w:val="18"/>
                      <w:lang w:val="zh-CN"/>
                    </w:rPr>
                  </w:pPr>
                  <w:r>
                    <w:rPr>
                      <w:sz w:val="18"/>
                      <w:szCs w:val="18"/>
                    </w:rPr>
                    <w:t>环境质量底线</w:t>
                  </w:r>
                </w:p>
              </w:tc>
              <w:tc>
                <w:tcPr>
                  <w:tcW w:w="1122" w:type="pct"/>
                  <w:tcBorders>
                    <w:tl2br w:val="nil"/>
                    <w:tr2bl w:val="nil"/>
                  </w:tcBorders>
                  <w:tcMar>
                    <w:top w:w="15" w:type="dxa"/>
                    <w:left w:w="108" w:type="dxa"/>
                    <w:bottom w:w="15" w:type="dxa"/>
                    <w:right w:w="108" w:type="dxa"/>
                  </w:tcMar>
                  <w:vAlign w:val="center"/>
                </w:tcPr>
                <w:p w14:paraId="715C387F">
                  <w:pPr>
                    <w:jc w:val="center"/>
                    <w:rPr>
                      <w:sz w:val="18"/>
                      <w:szCs w:val="18"/>
                    </w:rPr>
                  </w:pPr>
                  <w:r>
                    <w:rPr>
                      <w:rFonts w:hint="eastAsia"/>
                      <w:sz w:val="18"/>
                      <w:szCs w:val="18"/>
                    </w:rPr>
                    <w:t>其他区域</w:t>
                  </w:r>
                </w:p>
              </w:tc>
              <w:tc>
                <w:tcPr>
                  <w:tcW w:w="564" w:type="pct"/>
                  <w:tcBorders>
                    <w:tl2br w:val="nil"/>
                    <w:tr2bl w:val="nil"/>
                  </w:tcBorders>
                  <w:tcMar>
                    <w:top w:w="15" w:type="dxa"/>
                    <w:left w:w="108" w:type="dxa"/>
                    <w:bottom w:w="15" w:type="dxa"/>
                    <w:right w:w="108" w:type="dxa"/>
                  </w:tcMar>
                  <w:vAlign w:val="center"/>
                </w:tcPr>
                <w:p w14:paraId="79F0449D">
                  <w:pPr>
                    <w:jc w:val="center"/>
                    <w:rPr>
                      <w:sz w:val="18"/>
                      <w:szCs w:val="18"/>
                      <w:lang w:val="zh-CN"/>
                    </w:rPr>
                  </w:pPr>
                  <w:r>
                    <w:rPr>
                      <w:sz w:val="18"/>
                      <w:szCs w:val="18"/>
                      <w:lang w:val="zh-CN"/>
                    </w:rPr>
                    <w:t>是</w:t>
                  </w:r>
                </w:p>
              </w:tc>
              <w:tc>
                <w:tcPr>
                  <w:tcW w:w="766" w:type="pct"/>
                  <w:tcBorders>
                    <w:tl2br w:val="nil"/>
                    <w:tr2bl w:val="nil"/>
                  </w:tcBorders>
                  <w:tcMar>
                    <w:top w:w="15" w:type="dxa"/>
                    <w:left w:w="108" w:type="dxa"/>
                    <w:bottom w:w="15" w:type="dxa"/>
                    <w:right w:w="108" w:type="dxa"/>
                  </w:tcMar>
                  <w:vAlign w:val="center"/>
                </w:tcPr>
                <w:p w14:paraId="11852B35">
                  <w:pPr>
                    <w:jc w:val="center"/>
                    <w:rPr>
                      <w:sz w:val="18"/>
                      <w:szCs w:val="18"/>
                      <w:lang w:val="zh-CN"/>
                    </w:rPr>
                  </w:pPr>
                  <w:r>
                    <w:rPr>
                      <w:sz w:val="18"/>
                      <w:szCs w:val="18"/>
                    </w:rPr>
                    <w:t>伊春市</w:t>
                  </w:r>
                </w:p>
              </w:tc>
              <w:tc>
                <w:tcPr>
                  <w:tcW w:w="777" w:type="pct"/>
                  <w:tcBorders>
                    <w:tl2br w:val="nil"/>
                    <w:tr2bl w:val="nil"/>
                  </w:tcBorders>
                  <w:tcMar>
                    <w:top w:w="15" w:type="dxa"/>
                    <w:left w:w="108" w:type="dxa"/>
                    <w:bottom w:w="15" w:type="dxa"/>
                    <w:right w:w="108" w:type="dxa"/>
                  </w:tcMar>
                  <w:vAlign w:val="center"/>
                </w:tcPr>
                <w:p w14:paraId="3CD74095">
                  <w:pPr>
                    <w:jc w:val="center"/>
                    <w:rPr>
                      <w:sz w:val="18"/>
                      <w:szCs w:val="18"/>
                    </w:rPr>
                  </w:pPr>
                  <w:r>
                    <w:rPr>
                      <w:sz w:val="18"/>
                      <w:szCs w:val="18"/>
                    </w:rPr>
                    <w:t>伊美区</w:t>
                  </w:r>
                </w:p>
              </w:tc>
              <w:tc>
                <w:tcPr>
                  <w:tcW w:w="1216" w:type="pct"/>
                  <w:tcBorders>
                    <w:tl2br w:val="nil"/>
                    <w:tr2bl w:val="nil"/>
                  </w:tcBorders>
                  <w:tcMar>
                    <w:top w:w="15" w:type="dxa"/>
                    <w:left w:w="108" w:type="dxa"/>
                    <w:bottom w:w="15" w:type="dxa"/>
                    <w:right w:w="108" w:type="dxa"/>
                  </w:tcMar>
                  <w:vAlign w:val="center"/>
                </w:tcPr>
                <w:p w14:paraId="28D5740A">
                  <w:pPr>
                    <w:jc w:val="center"/>
                    <w:rPr>
                      <w:sz w:val="18"/>
                      <w:szCs w:val="18"/>
                    </w:rPr>
                  </w:pPr>
                  <w:r>
                    <w:rPr>
                      <w:rFonts w:hint="eastAsia"/>
                      <w:sz w:val="18"/>
                      <w:szCs w:val="18"/>
                    </w:rPr>
                    <w:t>汤旺河晨明</w:t>
                  </w:r>
                  <w:r>
                    <w:rPr>
                      <w:sz w:val="18"/>
                      <w:szCs w:val="18"/>
                    </w:rPr>
                    <w:t>伊美区</w:t>
                  </w:r>
                </w:p>
              </w:tc>
            </w:tr>
            <w:tr w14:paraId="29AAE3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32" w:hRule="atLeast"/>
                <w:jc w:val="center"/>
              </w:trPr>
              <w:tc>
                <w:tcPr>
                  <w:tcW w:w="555" w:type="pct"/>
                  <w:vMerge w:val="continue"/>
                  <w:tcBorders>
                    <w:tl2br w:val="nil"/>
                    <w:tr2bl w:val="nil"/>
                  </w:tcBorders>
                  <w:tcMar>
                    <w:top w:w="15" w:type="dxa"/>
                    <w:left w:w="108" w:type="dxa"/>
                    <w:bottom w:w="15" w:type="dxa"/>
                    <w:right w:w="108" w:type="dxa"/>
                  </w:tcMar>
                  <w:vAlign w:val="center"/>
                </w:tcPr>
                <w:p w14:paraId="3FE77DBD">
                  <w:pPr>
                    <w:jc w:val="center"/>
                    <w:rPr>
                      <w:sz w:val="18"/>
                      <w:szCs w:val="18"/>
                    </w:rPr>
                  </w:pPr>
                </w:p>
              </w:tc>
              <w:tc>
                <w:tcPr>
                  <w:tcW w:w="1122" w:type="pct"/>
                  <w:tcBorders>
                    <w:tl2br w:val="nil"/>
                    <w:tr2bl w:val="nil"/>
                  </w:tcBorders>
                  <w:tcMar>
                    <w:top w:w="15" w:type="dxa"/>
                    <w:left w:w="108" w:type="dxa"/>
                    <w:bottom w:w="15" w:type="dxa"/>
                    <w:right w:w="108" w:type="dxa"/>
                  </w:tcMar>
                  <w:vAlign w:val="center"/>
                </w:tcPr>
                <w:p w14:paraId="2ECF81DF">
                  <w:pPr>
                    <w:jc w:val="center"/>
                    <w:rPr>
                      <w:sz w:val="18"/>
                      <w:szCs w:val="18"/>
                    </w:rPr>
                  </w:pPr>
                  <w:r>
                    <w:rPr>
                      <w:sz w:val="18"/>
                      <w:szCs w:val="18"/>
                    </w:rPr>
                    <w:t>大气环境</w:t>
                  </w:r>
                  <w:r>
                    <w:rPr>
                      <w:rFonts w:hint="eastAsia"/>
                      <w:sz w:val="18"/>
                      <w:szCs w:val="18"/>
                    </w:rPr>
                    <w:t>布局</w:t>
                  </w:r>
                  <w:r>
                    <w:rPr>
                      <w:sz w:val="18"/>
                      <w:szCs w:val="18"/>
                    </w:rPr>
                    <w:t>敏感重点管控区</w:t>
                  </w:r>
                </w:p>
              </w:tc>
              <w:tc>
                <w:tcPr>
                  <w:tcW w:w="564" w:type="pct"/>
                  <w:tcBorders>
                    <w:tl2br w:val="nil"/>
                    <w:tr2bl w:val="nil"/>
                  </w:tcBorders>
                  <w:tcMar>
                    <w:top w:w="15" w:type="dxa"/>
                    <w:left w:w="108" w:type="dxa"/>
                    <w:bottom w:w="15" w:type="dxa"/>
                    <w:right w:w="108" w:type="dxa"/>
                  </w:tcMar>
                  <w:vAlign w:val="center"/>
                </w:tcPr>
                <w:p w14:paraId="69B6030E">
                  <w:pPr>
                    <w:jc w:val="center"/>
                    <w:rPr>
                      <w:sz w:val="18"/>
                      <w:szCs w:val="18"/>
                      <w:lang w:val="zh-CN"/>
                    </w:rPr>
                  </w:pPr>
                  <w:r>
                    <w:rPr>
                      <w:sz w:val="18"/>
                      <w:szCs w:val="18"/>
                    </w:rPr>
                    <w:t>是</w:t>
                  </w:r>
                </w:p>
              </w:tc>
              <w:tc>
                <w:tcPr>
                  <w:tcW w:w="766" w:type="pct"/>
                  <w:tcBorders>
                    <w:tl2br w:val="nil"/>
                    <w:tr2bl w:val="nil"/>
                  </w:tcBorders>
                  <w:tcMar>
                    <w:top w:w="15" w:type="dxa"/>
                    <w:left w:w="108" w:type="dxa"/>
                    <w:bottom w:w="15" w:type="dxa"/>
                    <w:right w:w="108" w:type="dxa"/>
                  </w:tcMar>
                  <w:vAlign w:val="center"/>
                </w:tcPr>
                <w:p w14:paraId="06A00F06">
                  <w:pPr>
                    <w:jc w:val="center"/>
                    <w:rPr>
                      <w:sz w:val="18"/>
                      <w:szCs w:val="18"/>
                    </w:rPr>
                  </w:pPr>
                  <w:r>
                    <w:rPr>
                      <w:sz w:val="18"/>
                      <w:szCs w:val="18"/>
                    </w:rPr>
                    <w:t>伊春市</w:t>
                  </w:r>
                </w:p>
              </w:tc>
              <w:tc>
                <w:tcPr>
                  <w:tcW w:w="777" w:type="pct"/>
                  <w:tcBorders>
                    <w:tl2br w:val="nil"/>
                    <w:tr2bl w:val="nil"/>
                  </w:tcBorders>
                  <w:tcMar>
                    <w:top w:w="15" w:type="dxa"/>
                    <w:left w:w="108" w:type="dxa"/>
                    <w:bottom w:w="15" w:type="dxa"/>
                    <w:right w:w="108" w:type="dxa"/>
                  </w:tcMar>
                  <w:vAlign w:val="center"/>
                </w:tcPr>
                <w:p w14:paraId="456D11FA">
                  <w:pPr>
                    <w:jc w:val="center"/>
                    <w:rPr>
                      <w:sz w:val="18"/>
                      <w:szCs w:val="18"/>
                    </w:rPr>
                  </w:pPr>
                  <w:r>
                    <w:rPr>
                      <w:sz w:val="18"/>
                      <w:szCs w:val="18"/>
                    </w:rPr>
                    <w:t>伊美区</w:t>
                  </w:r>
                </w:p>
              </w:tc>
              <w:tc>
                <w:tcPr>
                  <w:tcW w:w="1216" w:type="pct"/>
                  <w:tcBorders>
                    <w:tl2br w:val="nil"/>
                    <w:tr2bl w:val="nil"/>
                  </w:tcBorders>
                  <w:tcMar>
                    <w:top w:w="15" w:type="dxa"/>
                    <w:left w:w="108" w:type="dxa"/>
                    <w:bottom w:w="15" w:type="dxa"/>
                    <w:right w:w="108" w:type="dxa"/>
                  </w:tcMar>
                  <w:vAlign w:val="center"/>
                </w:tcPr>
                <w:p w14:paraId="04577186">
                  <w:pPr>
                    <w:jc w:val="center"/>
                    <w:rPr>
                      <w:sz w:val="18"/>
                      <w:szCs w:val="18"/>
                    </w:rPr>
                  </w:pPr>
                  <w:r>
                    <w:rPr>
                      <w:sz w:val="18"/>
                      <w:szCs w:val="18"/>
                    </w:rPr>
                    <w:t>伊美区大气环境受体敏感重点管控区</w:t>
                  </w:r>
                </w:p>
              </w:tc>
            </w:tr>
            <w:tr w14:paraId="63598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13" w:hRule="atLeast"/>
                <w:jc w:val="center"/>
              </w:trPr>
              <w:tc>
                <w:tcPr>
                  <w:tcW w:w="555" w:type="pct"/>
                  <w:tcBorders>
                    <w:tl2br w:val="nil"/>
                    <w:tr2bl w:val="nil"/>
                  </w:tcBorders>
                  <w:tcMar>
                    <w:top w:w="15" w:type="dxa"/>
                    <w:left w:w="108" w:type="dxa"/>
                    <w:bottom w:w="15" w:type="dxa"/>
                    <w:right w:w="108" w:type="dxa"/>
                  </w:tcMar>
                  <w:vAlign w:val="center"/>
                </w:tcPr>
                <w:p w14:paraId="545EA32E">
                  <w:pPr>
                    <w:jc w:val="center"/>
                    <w:rPr>
                      <w:sz w:val="18"/>
                      <w:szCs w:val="18"/>
                      <w:lang w:val="zh-CN"/>
                    </w:rPr>
                  </w:pPr>
                  <w:r>
                    <w:rPr>
                      <w:sz w:val="18"/>
                      <w:szCs w:val="18"/>
                    </w:rPr>
                    <w:t>资源利用上线</w:t>
                  </w:r>
                </w:p>
              </w:tc>
              <w:tc>
                <w:tcPr>
                  <w:tcW w:w="1122" w:type="pct"/>
                  <w:tcBorders>
                    <w:tl2br w:val="nil"/>
                    <w:tr2bl w:val="nil"/>
                  </w:tcBorders>
                  <w:tcMar>
                    <w:top w:w="15" w:type="dxa"/>
                    <w:left w:w="108" w:type="dxa"/>
                    <w:bottom w:w="15" w:type="dxa"/>
                    <w:right w:w="108" w:type="dxa"/>
                  </w:tcMar>
                  <w:vAlign w:val="center"/>
                </w:tcPr>
                <w:p w14:paraId="4DA6ED28">
                  <w:pPr>
                    <w:autoSpaceDE w:val="0"/>
                    <w:autoSpaceDN w:val="0"/>
                    <w:adjustRightInd w:val="0"/>
                    <w:jc w:val="center"/>
                    <w:rPr>
                      <w:kern w:val="0"/>
                      <w:sz w:val="18"/>
                      <w:szCs w:val="18"/>
                    </w:rPr>
                  </w:pPr>
                  <w:r>
                    <w:rPr>
                      <w:kern w:val="0"/>
                      <w:sz w:val="18"/>
                      <w:szCs w:val="18"/>
                    </w:rPr>
                    <w:t>自然资源一般管控区</w:t>
                  </w:r>
                </w:p>
              </w:tc>
              <w:tc>
                <w:tcPr>
                  <w:tcW w:w="564" w:type="pct"/>
                  <w:tcBorders>
                    <w:tl2br w:val="nil"/>
                    <w:tr2bl w:val="nil"/>
                  </w:tcBorders>
                  <w:tcMar>
                    <w:top w:w="15" w:type="dxa"/>
                    <w:left w:w="108" w:type="dxa"/>
                    <w:bottom w:w="15" w:type="dxa"/>
                    <w:right w:w="108" w:type="dxa"/>
                  </w:tcMar>
                  <w:vAlign w:val="center"/>
                </w:tcPr>
                <w:p w14:paraId="17E50262">
                  <w:pPr>
                    <w:jc w:val="center"/>
                    <w:rPr>
                      <w:sz w:val="18"/>
                      <w:szCs w:val="18"/>
                      <w:lang w:val="zh-CN"/>
                    </w:rPr>
                  </w:pPr>
                  <w:r>
                    <w:rPr>
                      <w:sz w:val="18"/>
                      <w:szCs w:val="18"/>
                    </w:rPr>
                    <w:t>是</w:t>
                  </w:r>
                </w:p>
              </w:tc>
              <w:tc>
                <w:tcPr>
                  <w:tcW w:w="766" w:type="pct"/>
                  <w:tcBorders>
                    <w:tl2br w:val="nil"/>
                    <w:tr2bl w:val="nil"/>
                  </w:tcBorders>
                  <w:tcMar>
                    <w:top w:w="15" w:type="dxa"/>
                    <w:left w:w="108" w:type="dxa"/>
                    <w:bottom w:w="15" w:type="dxa"/>
                    <w:right w:w="108" w:type="dxa"/>
                  </w:tcMar>
                  <w:vAlign w:val="center"/>
                </w:tcPr>
                <w:p w14:paraId="47991DD4">
                  <w:pPr>
                    <w:jc w:val="center"/>
                    <w:rPr>
                      <w:sz w:val="18"/>
                      <w:szCs w:val="18"/>
                    </w:rPr>
                  </w:pPr>
                  <w:r>
                    <w:rPr>
                      <w:sz w:val="18"/>
                      <w:szCs w:val="18"/>
                    </w:rPr>
                    <w:t>伊春市</w:t>
                  </w:r>
                </w:p>
              </w:tc>
              <w:tc>
                <w:tcPr>
                  <w:tcW w:w="777" w:type="pct"/>
                  <w:tcBorders>
                    <w:tl2br w:val="nil"/>
                    <w:tr2bl w:val="nil"/>
                  </w:tcBorders>
                  <w:tcMar>
                    <w:top w:w="15" w:type="dxa"/>
                    <w:left w:w="108" w:type="dxa"/>
                    <w:bottom w:w="15" w:type="dxa"/>
                    <w:right w:w="108" w:type="dxa"/>
                  </w:tcMar>
                  <w:vAlign w:val="center"/>
                </w:tcPr>
                <w:p w14:paraId="581A18A5">
                  <w:pPr>
                    <w:jc w:val="center"/>
                    <w:rPr>
                      <w:sz w:val="18"/>
                      <w:szCs w:val="18"/>
                      <w:lang w:val="zh-CN"/>
                    </w:rPr>
                  </w:pPr>
                  <w:r>
                    <w:rPr>
                      <w:sz w:val="18"/>
                      <w:szCs w:val="18"/>
                    </w:rPr>
                    <w:t>伊美区</w:t>
                  </w:r>
                </w:p>
              </w:tc>
              <w:tc>
                <w:tcPr>
                  <w:tcW w:w="1216" w:type="pct"/>
                  <w:tcBorders>
                    <w:tl2br w:val="nil"/>
                    <w:tr2bl w:val="nil"/>
                  </w:tcBorders>
                  <w:tcMar>
                    <w:top w:w="15" w:type="dxa"/>
                    <w:left w:w="108" w:type="dxa"/>
                    <w:bottom w:w="15" w:type="dxa"/>
                    <w:right w:w="108" w:type="dxa"/>
                  </w:tcMar>
                  <w:vAlign w:val="center"/>
                </w:tcPr>
                <w:p w14:paraId="7C30487B">
                  <w:pPr>
                    <w:jc w:val="center"/>
                    <w:rPr>
                      <w:sz w:val="18"/>
                      <w:szCs w:val="18"/>
                    </w:rPr>
                  </w:pPr>
                  <w:r>
                    <w:rPr>
                      <w:sz w:val="18"/>
                      <w:szCs w:val="18"/>
                    </w:rPr>
                    <w:t>伊美区</w:t>
                  </w:r>
                  <w:r>
                    <w:rPr>
                      <w:kern w:val="0"/>
                      <w:sz w:val="18"/>
                      <w:szCs w:val="18"/>
                    </w:rPr>
                    <w:t>自然资源一般管控区</w:t>
                  </w:r>
                </w:p>
              </w:tc>
            </w:tr>
            <w:tr w14:paraId="2C56D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13" w:hRule="atLeast"/>
                <w:jc w:val="center"/>
              </w:trPr>
              <w:tc>
                <w:tcPr>
                  <w:tcW w:w="555" w:type="pct"/>
                  <w:tcBorders>
                    <w:tl2br w:val="nil"/>
                    <w:tr2bl w:val="nil"/>
                  </w:tcBorders>
                  <w:tcMar>
                    <w:top w:w="15" w:type="dxa"/>
                    <w:left w:w="108" w:type="dxa"/>
                    <w:bottom w:w="15" w:type="dxa"/>
                    <w:right w:w="108" w:type="dxa"/>
                  </w:tcMar>
                  <w:vAlign w:val="center"/>
                </w:tcPr>
                <w:p w14:paraId="7DD081DD">
                  <w:pPr>
                    <w:jc w:val="center"/>
                    <w:rPr>
                      <w:sz w:val="18"/>
                      <w:szCs w:val="18"/>
                    </w:rPr>
                  </w:pPr>
                  <w:r>
                    <w:rPr>
                      <w:sz w:val="18"/>
                      <w:szCs w:val="18"/>
                      <w:lang w:val="zh-CN"/>
                    </w:rPr>
                    <w:t>环境管控单元</w:t>
                  </w:r>
                </w:p>
              </w:tc>
              <w:tc>
                <w:tcPr>
                  <w:tcW w:w="1122" w:type="pct"/>
                  <w:tcBorders>
                    <w:tl2br w:val="nil"/>
                    <w:tr2bl w:val="nil"/>
                  </w:tcBorders>
                  <w:tcMar>
                    <w:top w:w="15" w:type="dxa"/>
                    <w:left w:w="108" w:type="dxa"/>
                    <w:bottom w:w="15" w:type="dxa"/>
                    <w:right w:w="108" w:type="dxa"/>
                  </w:tcMar>
                  <w:vAlign w:val="center"/>
                </w:tcPr>
                <w:p w14:paraId="4312ED53">
                  <w:pPr>
                    <w:autoSpaceDE w:val="0"/>
                    <w:autoSpaceDN w:val="0"/>
                    <w:adjustRightInd w:val="0"/>
                    <w:jc w:val="center"/>
                    <w:rPr>
                      <w:kern w:val="0"/>
                      <w:sz w:val="18"/>
                      <w:szCs w:val="18"/>
                    </w:rPr>
                  </w:pPr>
                  <w:r>
                    <w:rPr>
                      <w:sz w:val="18"/>
                      <w:szCs w:val="18"/>
                    </w:rPr>
                    <w:t>重点管控单元</w:t>
                  </w:r>
                </w:p>
              </w:tc>
              <w:tc>
                <w:tcPr>
                  <w:tcW w:w="564" w:type="pct"/>
                  <w:tcBorders>
                    <w:tl2br w:val="nil"/>
                    <w:tr2bl w:val="nil"/>
                  </w:tcBorders>
                  <w:tcMar>
                    <w:top w:w="15" w:type="dxa"/>
                    <w:left w:w="108" w:type="dxa"/>
                    <w:bottom w:w="15" w:type="dxa"/>
                    <w:right w:w="108" w:type="dxa"/>
                  </w:tcMar>
                  <w:vAlign w:val="center"/>
                </w:tcPr>
                <w:p w14:paraId="482774AD">
                  <w:pPr>
                    <w:jc w:val="center"/>
                    <w:rPr>
                      <w:sz w:val="18"/>
                      <w:szCs w:val="18"/>
                    </w:rPr>
                  </w:pPr>
                  <w:r>
                    <w:rPr>
                      <w:sz w:val="18"/>
                      <w:szCs w:val="18"/>
                      <w:lang w:val="zh-CN"/>
                    </w:rPr>
                    <w:t>是</w:t>
                  </w:r>
                </w:p>
              </w:tc>
              <w:tc>
                <w:tcPr>
                  <w:tcW w:w="766" w:type="pct"/>
                  <w:tcBorders>
                    <w:tl2br w:val="nil"/>
                    <w:tr2bl w:val="nil"/>
                  </w:tcBorders>
                  <w:tcMar>
                    <w:top w:w="15" w:type="dxa"/>
                    <w:left w:w="108" w:type="dxa"/>
                    <w:bottom w:w="15" w:type="dxa"/>
                    <w:right w:w="108" w:type="dxa"/>
                  </w:tcMar>
                  <w:vAlign w:val="center"/>
                </w:tcPr>
                <w:p w14:paraId="2CB3DD6D">
                  <w:pPr>
                    <w:jc w:val="center"/>
                    <w:rPr>
                      <w:sz w:val="18"/>
                      <w:szCs w:val="18"/>
                    </w:rPr>
                  </w:pPr>
                  <w:r>
                    <w:rPr>
                      <w:sz w:val="18"/>
                      <w:szCs w:val="18"/>
                    </w:rPr>
                    <w:t>伊春市</w:t>
                  </w:r>
                </w:p>
              </w:tc>
              <w:tc>
                <w:tcPr>
                  <w:tcW w:w="777" w:type="pct"/>
                  <w:tcBorders>
                    <w:tl2br w:val="nil"/>
                    <w:tr2bl w:val="nil"/>
                  </w:tcBorders>
                  <w:tcMar>
                    <w:top w:w="15" w:type="dxa"/>
                    <w:left w:w="108" w:type="dxa"/>
                    <w:bottom w:w="15" w:type="dxa"/>
                    <w:right w:w="108" w:type="dxa"/>
                  </w:tcMar>
                  <w:vAlign w:val="center"/>
                </w:tcPr>
                <w:p w14:paraId="0B426A81">
                  <w:pPr>
                    <w:jc w:val="center"/>
                    <w:rPr>
                      <w:sz w:val="18"/>
                      <w:szCs w:val="18"/>
                    </w:rPr>
                  </w:pPr>
                  <w:r>
                    <w:rPr>
                      <w:sz w:val="18"/>
                      <w:szCs w:val="18"/>
                    </w:rPr>
                    <w:t>伊美区</w:t>
                  </w:r>
                </w:p>
              </w:tc>
              <w:tc>
                <w:tcPr>
                  <w:tcW w:w="1216" w:type="pct"/>
                  <w:tcBorders>
                    <w:tl2br w:val="nil"/>
                    <w:tr2bl w:val="nil"/>
                  </w:tcBorders>
                  <w:tcMar>
                    <w:top w:w="15" w:type="dxa"/>
                    <w:left w:w="108" w:type="dxa"/>
                    <w:bottom w:w="15" w:type="dxa"/>
                    <w:right w:w="108" w:type="dxa"/>
                  </w:tcMar>
                  <w:vAlign w:val="center"/>
                </w:tcPr>
                <w:p w14:paraId="0DFC8A6B">
                  <w:pPr>
                    <w:jc w:val="center"/>
                    <w:rPr>
                      <w:sz w:val="18"/>
                      <w:szCs w:val="18"/>
                    </w:rPr>
                  </w:pPr>
                  <w:r>
                    <w:rPr>
                      <w:sz w:val="18"/>
                      <w:szCs w:val="18"/>
                    </w:rPr>
                    <w:t>伊美区大气环境受体敏感重点管控区</w:t>
                  </w:r>
                </w:p>
              </w:tc>
            </w:tr>
          </w:tbl>
          <w:p w14:paraId="2A6A55A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（1）生态保护红线</w:t>
            </w:r>
          </w:p>
          <w:p w14:paraId="4C63F68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根据《梅花河度假村水上乐园、冷水鱼养殖综合项目生态环境分区管控分析报告</w:t>
            </w:r>
            <w:r>
              <w:rPr>
                <w:rFonts w:hint="eastAsia"/>
                <w:color w:val="000000" w:themeColor="text1"/>
                <w14:textFill>
                  <w14:solidFill>
                    <w14:schemeClr w14:val="tx1"/>
                  </w14:solidFill>
                </w14:textFill>
              </w:rPr>
              <w:t>生态</w:t>
            </w:r>
            <w:r>
              <w:rPr>
                <w:color w:val="000000" w:themeColor="text1"/>
                <w14:textFill>
                  <w14:solidFill>
                    <w14:schemeClr w14:val="tx1"/>
                  </w14:solidFill>
                </w14:textFill>
              </w:rPr>
              <w:t>环境分区管控分析报告》可知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本项目与生态保护红线无交集。</w:t>
            </w:r>
          </w:p>
          <w:p w14:paraId="31F5683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（2）环境质量底线</w:t>
            </w:r>
          </w:p>
          <w:p w14:paraId="2EACEC24">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ascii="Cambria Math" w:hAnsi="Cambria Math" w:cs="Cambria Math"/>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大气</w:t>
            </w:r>
          </w:p>
          <w:p w14:paraId="1FF47DBA">
            <w:pPr>
              <w:spacing w:line="360" w:lineRule="auto"/>
              <w:ind w:firstLine="480"/>
              <w:rPr>
                <w:szCs w:val="21"/>
              </w:rPr>
            </w:pPr>
            <w:r>
              <w:rPr>
                <w:kern w:val="0"/>
                <w:szCs w:val="21"/>
                <w:u w:color="000000"/>
              </w:rPr>
              <w:t>根据《202</w:t>
            </w:r>
            <w:r>
              <w:rPr>
                <w:rFonts w:hint="eastAsia"/>
                <w:kern w:val="0"/>
                <w:szCs w:val="21"/>
                <w:u w:color="000000"/>
              </w:rPr>
              <w:t>5</w:t>
            </w:r>
            <w:r>
              <w:rPr>
                <w:kern w:val="0"/>
                <w:szCs w:val="21"/>
                <w:u w:color="000000"/>
              </w:rPr>
              <w:t>年</w:t>
            </w:r>
            <w:r>
              <w:rPr>
                <w:rFonts w:hint="eastAsia"/>
                <w:kern w:val="0"/>
                <w:szCs w:val="21"/>
                <w:u w:color="000000"/>
              </w:rPr>
              <w:t>黑龙江省</w:t>
            </w:r>
            <w:r>
              <w:rPr>
                <w:kern w:val="0"/>
                <w:szCs w:val="21"/>
                <w:u w:color="000000"/>
              </w:rPr>
              <w:t>生态环境质量</w:t>
            </w:r>
            <w:r>
              <w:rPr>
                <w:rFonts w:hint="eastAsia"/>
                <w:kern w:val="0"/>
                <w:szCs w:val="21"/>
                <w:u w:color="000000"/>
              </w:rPr>
              <w:t>状况</w:t>
            </w:r>
            <w:r>
              <w:rPr>
                <w:kern w:val="0"/>
                <w:szCs w:val="21"/>
                <w:u w:color="000000"/>
              </w:rPr>
              <w:t>》</w:t>
            </w:r>
            <w:r>
              <w:rPr>
                <w:szCs w:val="21"/>
              </w:rPr>
              <w:t>，202</w:t>
            </w:r>
            <w:r>
              <w:rPr>
                <w:rFonts w:hint="eastAsia"/>
                <w:szCs w:val="21"/>
              </w:rPr>
              <w:t>5</w:t>
            </w:r>
            <w:r>
              <w:rPr>
                <w:szCs w:val="21"/>
              </w:rPr>
              <w:t>年，全市环境空气质量达标，二氧化硫、二氧化氮年均值、可吸入颗粒物PM</w:t>
            </w:r>
            <w:r>
              <w:rPr>
                <w:szCs w:val="21"/>
                <w:vertAlign w:val="subscript"/>
              </w:rPr>
              <w:t>10</w:t>
            </w:r>
            <w:r>
              <w:rPr>
                <w:szCs w:val="21"/>
              </w:rPr>
              <w:t>、细颗粒物 PM</w:t>
            </w:r>
            <w:r>
              <w:rPr>
                <w:szCs w:val="21"/>
                <w:vertAlign w:val="subscript"/>
              </w:rPr>
              <w:t>2.5</w:t>
            </w:r>
            <w:r>
              <w:rPr>
                <w:szCs w:val="21"/>
              </w:rPr>
              <w:t>、一氧化碳24小时平均第95百分位数和臭氧日最大8小时滑动平均值的第90百分位数共6项污染物年均值浓度均优于国家环境空气质量二级标准。本项目所在区域属于达标区。</w:t>
            </w:r>
          </w:p>
          <w:p w14:paraId="05AA8D3A">
            <w:pPr>
              <w:autoSpaceDE w:val="0"/>
              <w:autoSpaceDN w:val="0"/>
              <w:adjustRightInd w:val="0"/>
              <w:snapToGrid w:val="0"/>
              <w:spacing w:line="360" w:lineRule="auto"/>
              <w:ind w:firstLine="420" w:firstLineChars="200"/>
              <w:rPr>
                <w:kern w:val="0"/>
                <w:szCs w:val="21"/>
              </w:rPr>
            </w:pPr>
            <w:r>
              <w:rPr>
                <w:kern w:val="0"/>
                <w:szCs w:val="21"/>
              </w:rPr>
              <w:t>本项目</w:t>
            </w:r>
            <w:r>
              <w:rPr>
                <w:rFonts w:hint="eastAsia"/>
                <w:kern w:val="0"/>
                <w:szCs w:val="21"/>
              </w:rPr>
              <w:t>产生的废气采取报告中环保措施后均可做到达标排放，</w:t>
            </w:r>
            <w:r>
              <w:rPr>
                <w:kern w:val="0"/>
                <w:szCs w:val="21"/>
              </w:rPr>
              <w:t>不会对大气环境质量现状造成不良影响，能够满足</w:t>
            </w:r>
            <w:r>
              <w:rPr>
                <w:rFonts w:hint="eastAsia"/>
                <w:kern w:val="0"/>
                <w:szCs w:val="21"/>
              </w:rPr>
              <w:t>哈尔滨</w:t>
            </w:r>
            <w:r>
              <w:rPr>
                <w:kern w:val="0"/>
                <w:szCs w:val="21"/>
              </w:rPr>
              <w:t>市大气环境质量底线要求。</w:t>
            </w:r>
          </w:p>
          <w:p w14:paraId="7AF890CE">
            <w:pPr>
              <w:autoSpaceDE w:val="0"/>
              <w:autoSpaceDN w:val="0"/>
              <w:adjustRightInd w:val="0"/>
              <w:snapToGrid w:val="0"/>
              <w:spacing w:line="360" w:lineRule="auto"/>
              <w:ind w:firstLine="420" w:firstLineChars="200"/>
              <w:rPr>
                <w:kern w:val="0"/>
                <w:szCs w:val="21"/>
              </w:rPr>
            </w:pPr>
            <w:r>
              <w:rPr>
                <w:kern w:val="0"/>
                <w:szCs w:val="21"/>
              </w:rPr>
              <w:fldChar w:fldCharType="begin"/>
            </w:r>
            <w:r>
              <w:rPr>
                <w:kern w:val="0"/>
                <w:szCs w:val="21"/>
              </w:rPr>
              <w:instrText xml:space="preserve"> = 2 \* GB3 </w:instrText>
            </w:r>
            <w:r>
              <w:rPr>
                <w:kern w:val="0"/>
                <w:szCs w:val="21"/>
              </w:rPr>
              <w:fldChar w:fldCharType="separate"/>
            </w:r>
            <w:r>
              <w:rPr>
                <w:rFonts w:ascii="Cambria Math" w:hAnsi="Cambria Math" w:cs="Cambria Math"/>
                <w:kern w:val="0"/>
                <w:szCs w:val="21"/>
              </w:rPr>
              <w:t>②</w:t>
            </w:r>
            <w:r>
              <w:rPr>
                <w:kern w:val="0"/>
                <w:szCs w:val="21"/>
              </w:rPr>
              <w:fldChar w:fldCharType="end"/>
            </w:r>
            <w:r>
              <w:rPr>
                <w:kern w:val="0"/>
                <w:szCs w:val="21"/>
              </w:rPr>
              <w:t>水环境</w:t>
            </w:r>
          </w:p>
          <w:p w14:paraId="770608ED">
            <w:pPr>
              <w:pStyle w:val="17"/>
              <w:spacing w:after="0" w:line="360" w:lineRule="auto"/>
              <w:ind w:firstLineChars="200"/>
              <w:rPr>
                <w:kern w:val="0"/>
                <w:szCs w:val="21"/>
              </w:rPr>
            </w:pPr>
            <w:bookmarkStart w:id="6" w:name="OLE_LINK21"/>
            <w:r>
              <w:rPr>
                <w:kern w:val="0"/>
                <w:szCs w:val="21"/>
              </w:rPr>
              <w:t>根据《2025年黑龙江省生态环境质量状况》，伊春市参与国家考核计算的断面共11个，Ⅰ~Ⅲ类水质比例为63.6%，无劣V类水质断面。与上年同期相比，Ⅰ~Ⅲ类水质比例上升9.1个百分点，均无劣V类水质断面。伊春市饮用水水源地扣除自然本底因素影响后水量达标率为100%。</w:t>
            </w:r>
            <w:r>
              <w:rPr>
                <w:szCs w:val="21"/>
              </w:rPr>
              <w:t>本项目区域地表水体为</w:t>
            </w:r>
            <w:r>
              <w:rPr>
                <w:rFonts w:hint="eastAsia"/>
                <w:szCs w:val="21"/>
              </w:rPr>
              <w:t>梅花</w:t>
            </w:r>
            <w:r>
              <w:rPr>
                <w:szCs w:val="21"/>
              </w:rPr>
              <w:t>河，其汇入汤旺河，根据《全国重要江河湖泊水功能区划》(2011-2030年)（黑龙江省），起始断面为101水文站，终止断面为苔青，其河段水域功能为过渡，水质目标为Ⅳ类，执行《地表水环境质量标准》（GB3838-2002）中Ⅳ类标准。根据《</w:t>
            </w:r>
            <w:bookmarkStart w:id="7" w:name="OLE_LINK20"/>
            <w:r>
              <w:rPr>
                <w:szCs w:val="21"/>
              </w:rPr>
              <w:t>2025年黑龙江省生态环境质量状况</w:t>
            </w:r>
            <w:bookmarkEnd w:id="7"/>
            <w:r>
              <w:rPr>
                <w:szCs w:val="21"/>
              </w:rPr>
              <w:t>》，该监测断面2025年水质现状满足《地表水环境质量标准》（GB3838-2002）Ⅳ类标准要求，</w:t>
            </w:r>
          </w:p>
          <w:bookmarkEnd w:id="6"/>
          <w:p w14:paraId="7C0A4A61">
            <w:pPr>
              <w:autoSpaceDE w:val="0"/>
              <w:autoSpaceDN w:val="0"/>
              <w:adjustRightInd w:val="0"/>
              <w:snapToGrid w:val="0"/>
              <w:spacing w:line="360" w:lineRule="auto"/>
              <w:ind w:firstLine="420" w:firstLineChars="200"/>
              <w:rPr>
                <w:kern w:val="0"/>
                <w:szCs w:val="21"/>
              </w:rPr>
            </w:pPr>
            <w:r>
              <w:rPr>
                <w:kern w:val="0"/>
                <w:szCs w:val="21"/>
              </w:rPr>
              <w:t>（3）资源利用上线</w:t>
            </w:r>
          </w:p>
          <w:p w14:paraId="31D46CDE">
            <w:pPr>
              <w:autoSpaceDE w:val="0"/>
              <w:autoSpaceDN w:val="0"/>
              <w:adjustRightInd w:val="0"/>
              <w:snapToGrid w:val="0"/>
              <w:spacing w:line="360" w:lineRule="auto"/>
              <w:ind w:firstLine="420" w:firstLineChars="200"/>
              <w:rPr>
                <w:kern w:val="0"/>
                <w:szCs w:val="21"/>
              </w:rPr>
            </w:pPr>
            <w:r>
              <w:rPr>
                <w:kern w:val="0"/>
                <w:szCs w:val="21"/>
              </w:rPr>
              <w:t>本项目</w:t>
            </w:r>
            <w:r>
              <w:rPr>
                <w:rFonts w:hint="eastAsia"/>
                <w:kern w:val="0"/>
                <w:szCs w:val="21"/>
              </w:rPr>
              <w:t>位于伊美区</w:t>
            </w:r>
            <w:r>
              <w:rPr>
                <w:kern w:val="0"/>
                <w:szCs w:val="21"/>
              </w:rPr>
              <w:t>自然资源一般管控区</w:t>
            </w:r>
            <w:r>
              <w:rPr>
                <w:rFonts w:hint="eastAsia"/>
                <w:kern w:val="0"/>
                <w:szCs w:val="21"/>
              </w:rPr>
              <w:t>，</w:t>
            </w:r>
            <w:r>
              <w:rPr>
                <w:kern w:val="0"/>
                <w:szCs w:val="21"/>
              </w:rPr>
              <w:t>本项目用水由</w:t>
            </w:r>
            <w:r>
              <w:rPr>
                <w:rFonts w:hint="eastAsia"/>
                <w:kern w:val="0"/>
                <w:szCs w:val="21"/>
              </w:rPr>
              <w:t>市政管网</w:t>
            </w:r>
            <w:r>
              <w:rPr>
                <w:kern w:val="0"/>
                <w:szCs w:val="21"/>
              </w:rPr>
              <w:t>提供</w:t>
            </w:r>
            <w:r>
              <w:rPr>
                <w:rFonts w:hint="eastAsia"/>
                <w:kern w:val="0"/>
                <w:szCs w:val="21"/>
              </w:rPr>
              <w:t>，</w:t>
            </w:r>
            <w:r>
              <w:rPr>
                <w:kern w:val="0"/>
                <w:szCs w:val="21"/>
              </w:rPr>
              <w:t>不属于高水耗，高能耗行业，生产过程中提高用水效率，减少对水资源的消耗。本项目选址土地为</w:t>
            </w:r>
            <w:r>
              <w:rPr>
                <w:rFonts w:hint="eastAsia"/>
                <w:kern w:val="0"/>
                <w:szCs w:val="21"/>
              </w:rPr>
              <w:t>建设用地</w:t>
            </w:r>
            <w:r>
              <w:rPr>
                <w:kern w:val="0"/>
                <w:szCs w:val="21"/>
              </w:rPr>
              <w:t>，</w:t>
            </w:r>
            <w:r>
              <w:rPr>
                <w:rFonts w:hint="eastAsia"/>
                <w:kern w:val="0"/>
                <w:szCs w:val="21"/>
              </w:rPr>
              <w:t>符合当地规划且</w:t>
            </w:r>
            <w:r>
              <w:rPr>
                <w:kern w:val="0"/>
                <w:szCs w:val="21"/>
              </w:rPr>
              <w:t>不占用基本农田。本项目生产不使用煤、天然气等能源，综上，本项目符合</w:t>
            </w:r>
            <w:r>
              <w:rPr>
                <w:rFonts w:hint="eastAsia"/>
                <w:kern w:val="0"/>
                <w:szCs w:val="21"/>
              </w:rPr>
              <w:t>伊春市</w:t>
            </w:r>
            <w:r>
              <w:rPr>
                <w:kern w:val="0"/>
                <w:szCs w:val="21"/>
              </w:rPr>
              <w:t>资源利用上线要求。</w:t>
            </w:r>
          </w:p>
          <w:p w14:paraId="3D613D6A">
            <w:pPr>
              <w:autoSpaceDE w:val="0"/>
              <w:autoSpaceDN w:val="0"/>
              <w:adjustRightInd w:val="0"/>
              <w:snapToGrid w:val="0"/>
              <w:spacing w:line="360" w:lineRule="auto"/>
              <w:ind w:left="480"/>
              <w:rPr>
                <w:kern w:val="0"/>
                <w:szCs w:val="21"/>
              </w:rPr>
            </w:pPr>
            <w:r>
              <w:rPr>
                <w:rFonts w:hint="eastAsia"/>
                <w:kern w:val="0"/>
                <w:szCs w:val="21"/>
              </w:rPr>
              <w:t>（4）</w:t>
            </w:r>
            <w:r>
              <w:rPr>
                <w:kern w:val="0"/>
                <w:szCs w:val="21"/>
              </w:rPr>
              <w:t>生态环境准入清单</w:t>
            </w:r>
          </w:p>
          <w:p w14:paraId="567DF142">
            <w:pPr>
              <w:autoSpaceDE w:val="0"/>
              <w:autoSpaceDN w:val="0"/>
              <w:adjustRightInd w:val="0"/>
              <w:snapToGrid w:val="0"/>
              <w:spacing w:line="360" w:lineRule="auto"/>
              <w:ind w:firstLine="420" w:firstLineChars="200"/>
              <w:rPr>
                <w:kern w:val="0"/>
                <w:szCs w:val="21"/>
              </w:rPr>
            </w:pPr>
            <w:r>
              <w:rPr>
                <w:kern w:val="0"/>
                <w:szCs w:val="21"/>
              </w:rPr>
              <w:t>1）相关内容</w:t>
            </w:r>
          </w:p>
          <w:p w14:paraId="389D6471">
            <w:pPr>
              <w:autoSpaceDE w:val="0"/>
              <w:autoSpaceDN w:val="0"/>
              <w:adjustRightInd w:val="0"/>
              <w:snapToGrid w:val="0"/>
              <w:spacing w:line="360" w:lineRule="auto"/>
              <w:ind w:firstLine="420" w:firstLineChars="200"/>
              <w:rPr>
                <w:kern w:val="0"/>
                <w:szCs w:val="21"/>
              </w:rPr>
            </w:pPr>
            <w:r>
              <w:rPr>
                <w:kern w:val="0"/>
                <w:szCs w:val="21"/>
              </w:rPr>
              <w:t>对照《</w:t>
            </w:r>
            <w:r>
              <w:rPr>
                <w:rFonts w:hint="eastAsia"/>
                <w:kern w:val="0"/>
                <w:szCs w:val="21"/>
              </w:rPr>
              <w:t>伊春</w:t>
            </w:r>
            <w:r>
              <w:rPr>
                <w:kern w:val="0"/>
                <w:szCs w:val="21"/>
              </w:rPr>
              <w:t>市生态环境准入清单（2023年版）》及黑龙江省生态环境分区管控数据应用平台出具的“生态环境分区管控分析报告”可知，本项目属于</w:t>
            </w:r>
            <w:r>
              <w:rPr>
                <w:szCs w:val="21"/>
              </w:rPr>
              <w:t>伊美区大气环境受体敏感重点管控</w:t>
            </w:r>
            <w:r>
              <w:rPr>
                <w:kern w:val="0"/>
                <w:szCs w:val="21"/>
              </w:rPr>
              <w:t>单元（ZH23071720002）。</w:t>
            </w:r>
          </w:p>
          <w:p w14:paraId="0923195F">
            <w:pPr>
              <w:overflowPunct w:val="0"/>
              <w:spacing w:line="360" w:lineRule="auto"/>
              <w:ind w:firstLine="420" w:firstLineChars="200"/>
              <w:jc w:val="left"/>
              <w:rPr>
                <w:szCs w:val="21"/>
              </w:rPr>
            </w:pPr>
            <w:r>
              <w:rPr>
                <w:szCs w:val="21"/>
              </w:rPr>
              <w:t>2）一图一表一说明</w:t>
            </w:r>
          </w:p>
          <w:p w14:paraId="22910E95">
            <w:pPr>
              <w:autoSpaceDE w:val="0"/>
              <w:autoSpaceDN w:val="0"/>
              <w:adjustRightInd w:val="0"/>
              <w:snapToGrid w:val="0"/>
              <w:spacing w:line="360" w:lineRule="auto"/>
              <w:ind w:firstLine="420" w:firstLineChars="200"/>
              <w:rPr>
                <w:kern w:val="0"/>
                <w:szCs w:val="21"/>
              </w:rPr>
            </w:pPr>
            <w:r>
              <w:rPr>
                <w:szCs w:val="21"/>
              </w:rPr>
              <w:t>根据《黑龙江省生态环境分区管控应用技术指南环境影响评价》中相关规定：“环评文件涉及“三线一单”生态环境分区管控符合性分析采取“一图一表一说明”的表达方式”。本项目具体分析如下：</w:t>
            </w:r>
          </w:p>
          <w:p w14:paraId="31E91F08">
            <w:pPr>
              <w:overflowPunct w:val="0"/>
              <w:spacing w:line="360" w:lineRule="auto"/>
              <w:ind w:firstLine="420" w:firstLineChars="200"/>
              <w:jc w:val="left"/>
              <w:rPr>
                <w:szCs w:val="21"/>
              </w:rPr>
            </w:pPr>
            <w:r>
              <w:rPr>
                <w:rFonts w:ascii="Cambria Math" w:hAnsi="Cambria Math" w:cs="Cambria Math"/>
                <w:szCs w:val="21"/>
              </w:rPr>
              <w:t>①</w:t>
            </w:r>
            <w:r>
              <w:rPr>
                <w:szCs w:val="21"/>
              </w:rPr>
              <w:t>一图</w:t>
            </w:r>
          </w:p>
          <w:p w14:paraId="57583286">
            <w:pPr>
              <w:overflowPunct w:val="0"/>
              <w:spacing w:line="360" w:lineRule="auto"/>
              <w:ind w:firstLine="420" w:firstLineChars="200"/>
              <w:jc w:val="left"/>
              <w:rPr>
                <w:szCs w:val="21"/>
              </w:rPr>
            </w:pPr>
            <w:r>
              <w:rPr>
                <w:szCs w:val="21"/>
              </w:rPr>
              <w:t>根据本项目“生态环境分区管控分析报告”，本项目与环境管控单元叠加图如下：</w:t>
            </w:r>
          </w:p>
          <w:p w14:paraId="6D97167E">
            <w:pPr>
              <w:pStyle w:val="93"/>
              <w:rPr>
                <w:b w:val="0"/>
                <w:bCs/>
              </w:rPr>
            </w:pPr>
            <w:r>
              <w:drawing>
                <wp:inline distT="0" distB="0" distL="0" distR="0">
                  <wp:extent cx="4677410" cy="2399030"/>
                  <wp:effectExtent l="0" t="0" r="0" b="1270"/>
                  <wp:docPr id="1983167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67891" name="图片 1"/>
                          <pic:cNvPicPr>
                            <a:picLocks noChangeAspect="1"/>
                          </pic:cNvPicPr>
                        </pic:nvPicPr>
                        <pic:blipFill>
                          <a:blip r:embed="rId8"/>
                          <a:stretch>
                            <a:fillRect/>
                          </a:stretch>
                        </pic:blipFill>
                        <pic:spPr>
                          <a:xfrm>
                            <a:off x="0" y="0"/>
                            <a:ext cx="4682640" cy="2402210"/>
                          </a:xfrm>
                          <a:prstGeom prst="rect">
                            <a:avLst/>
                          </a:prstGeom>
                        </pic:spPr>
                      </pic:pic>
                    </a:graphicData>
                  </a:graphic>
                </wp:inline>
              </w:drawing>
            </w:r>
          </w:p>
          <w:p w14:paraId="5846DB7B">
            <w:pPr>
              <w:autoSpaceDE w:val="0"/>
              <w:autoSpaceDN w:val="0"/>
              <w:adjustRightInd w:val="0"/>
              <w:snapToGrid w:val="0"/>
              <w:jc w:val="center"/>
              <w:rPr>
                <w:b/>
                <w:sz w:val="24"/>
              </w:rPr>
            </w:pPr>
            <w:r>
              <w:rPr>
                <w:b/>
                <w:sz w:val="24"/>
              </w:rPr>
              <w:t>图1-1  本项目与环境管控单元叠加图</w:t>
            </w:r>
          </w:p>
          <w:p w14:paraId="315ED354">
            <w:pPr>
              <w:overflowPunct w:val="0"/>
              <w:spacing w:line="360" w:lineRule="auto"/>
              <w:ind w:firstLine="480" w:firstLineChars="200"/>
              <w:jc w:val="left"/>
              <w:rPr>
                <w:sz w:val="24"/>
              </w:rPr>
            </w:pPr>
            <w:r>
              <w:rPr>
                <w:rFonts w:ascii="Cambria Math" w:hAnsi="Cambria Math" w:cs="Cambria Math"/>
                <w:sz w:val="24"/>
              </w:rPr>
              <w:t>②</w:t>
            </w:r>
            <w:r>
              <w:rPr>
                <w:sz w:val="24"/>
              </w:rPr>
              <w:t>一表</w:t>
            </w:r>
          </w:p>
          <w:p w14:paraId="1DDE0899">
            <w:pPr>
              <w:overflowPunct w:val="0"/>
              <w:spacing w:line="360" w:lineRule="auto"/>
              <w:ind w:firstLine="480" w:firstLineChars="200"/>
              <w:jc w:val="left"/>
              <w:rPr>
                <w:sz w:val="24"/>
              </w:rPr>
            </w:pPr>
            <w:r>
              <w:rPr>
                <w:sz w:val="24"/>
              </w:rPr>
              <w:t>根据本项目“生态环境分区管控分析报告”可知，本项目与环境管控单元符合性分析：</w:t>
            </w:r>
          </w:p>
          <w:p w14:paraId="69FC8935">
            <w:pPr>
              <w:autoSpaceDE w:val="0"/>
              <w:autoSpaceDN w:val="0"/>
              <w:adjustRightInd w:val="0"/>
              <w:snapToGrid w:val="0"/>
              <w:jc w:val="center"/>
              <w:rPr>
                <w:b/>
                <w:sz w:val="24"/>
              </w:rPr>
            </w:pPr>
            <w:r>
              <w:rPr>
                <w:b/>
                <w:sz w:val="24"/>
              </w:rPr>
              <w:t xml:space="preserve">表1-3 </w:t>
            </w:r>
            <w:r>
              <w:rPr>
                <w:b/>
                <w:bCs/>
                <w:kern w:val="0"/>
                <w:szCs w:val="21"/>
              </w:rPr>
              <w:t>本项目与“生态环境分区管控”符合性分析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811"/>
              <w:gridCol w:w="47"/>
              <w:gridCol w:w="5447"/>
            </w:tblGrid>
            <w:tr w14:paraId="680A10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182895DD">
                  <w:pPr>
                    <w:adjustRightInd w:val="0"/>
                    <w:jc w:val="center"/>
                    <w:textAlignment w:val="baseline"/>
                    <w:rPr>
                      <w:sz w:val="18"/>
                      <w:szCs w:val="18"/>
                    </w:rPr>
                  </w:pPr>
                  <w:r>
                    <w:rPr>
                      <w:sz w:val="18"/>
                      <w:szCs w:val="18"/>
                    </w:rPr>
                    <w:t>一、生态保护红线</w:t>
                  </w:r>
                </w:p>
              </w:tc>
            </w:tr>
            <w:tr w14:paraId="78CC6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6525414C">
                  <w:pPr>
                    <w:adjustRightInd w:val="0"/>
                    <w:jc w:val="center"/>
                    <w:textAlignment w:val="baseline"/>
                    <w:rPr>
                      <w:sz w:val="18"/>
                      <w:szCs w:val="18"/>
                    </w:rPr>
                  </w:pPr>
                  <w:r>
                    <w:rPr>
                      <w:sz w:val="18"/>
                      <w:szCs w:val="18"/>
                    </w:rPr>
                    <w:t>管控单元类别</w:t>
                  </w:r>
                </w:p>
              </w:tc>
              <w:tc>
                <w:tcPr>
                  <w:tcW w:w="6165" w:type="dxa"/>
                  <w:gridSpan w:val="3"/>
                  <w:tcBorders>
                    <w:tl2br w:val="nil"/>
                    <w:tr2bl w:val="nil"/>
                  </w:tcBorders>
                  <w:vAlign w:val="center"/>
                </w:tcPr>
                <w:p w14:paraId="6146EBAE">
                  <w:pPr>
                    <w:adjustRightInd w:val="0"/>
                    <w:jc w:val="center"/>
                    <w:textAlignment w:val="baseline"/>
                    <w:rPr>
                      <w:sz w:val="18"/>
                      <w:szCs w:val="18"/>
                    </w:rPr>
                  </w:pPr>
                  <w:r>
                    <w:rPr>
                      <w:sz w:val="18"/>
                      <w:szCs w:val="18"/>
                    </w:rPr>
                    <w:t>一般管控区</w:t>
                  </w:r>
                </w:p>
              </w:tc>
            </w:tr>
            <w:tr w14:paraId="1BB12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53CD1B05">
                  <w:pPr>
                    <w:adjustRightInd w:val="0"/>
                    <w:jc w:val="center"/>
                    <w:textAlignment w:val="baseline"/>
                    <w:rPr>
                      <w:sz w:val="18"/>
                      <w:szCs w:val="18"/>
                    </w:rPr>
                  </w:pPr>
                  <w:r>
                    <w:rPr>
                      <w:sz w:val="18"/>
                      <w:szCs w:val="18"/>
                    </w:rPr>
                    <w:t>管控</w:t>
                  </w:r>
                </w:p>
                <w:p w14:paraId="7E92668E">
                  <w:pPr>
                    <w:adjustRightInd w:val="0"/>
                    <w:jc w:val="center"/>
                    <w:textAlignment w:val="baseline"/>
                    <w:rPr>
                      <w:sz w:val="18"/>
                      <w:szCs w:val="18"/>
                    </w:rPr>
                  </w:pPr>
                  <w:r>
                    <w:rPr>
                      <w:sz w:val="18"/>
                      <w:szCs w:val="18"/>
                    </w:rPr>
                    <w:t>要求</w:t>
                  </w:r>
                </w:p>
              </w:tc>
              <w:tc>
                <w:tcPr>
                  <w:tcW w:w="6165" w:type="dxa"/>
                  <w:gridSpan w:val="3"/>
                  <w:tcBorders>
                    <w:tl2br w:val="nil"/>
                    <w:tr2bl w:val="nil"/>
                  </w:tcBorders>
                  <w:vAlign w:val="center"/>
                </w:tcPr>
                <w:p w14:paraId="51754A53">
                  <w:pPr>
                    <w:adjustRightInd w:val="0"/>
                    <w:textAlignment w:val="baseline"/>
                    <w:rPr>
                      <w:sz w:val="18"/>
                      <w:szCs w:val="18"/>
                    </w:rPr>
                  </w:pPr>
                  <w:r>
                    <w:rPr>
                      <w:sz w:val="18"/>
                      <w:szCs w:val="18"/>
                    </w:rPr>
                    <w:t>生态空间包括生态保护红线和一般生态空间，生态保护红线及一般生态空间均属于优先保护区，其余区域属于一般管控区。</w:t>
                  </w:r>
                </w:p>
              </w:tc>
            </w:tr>
            <w:tr w14:paraId="536F4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76F180F1">
                  <w:pPr>
                    <w:adjustRightInd w:val="0"/>
                    <w:jc w:val="center"/>
                    <w:textAlignment w:val="baseline"/>
                    <w:rPr>
                      <w:sz w:val="18"/>
                      <w:szCs w:val="18"/>
                    </w:rPr>
                  </w:pPr>
                  <w:r>
                    <w:rPr>
                      <w:sz w:val="18"/>
                      <w:szCs w:val="18"/>
                    </w:rPr>
                    <w:t>符合性</w:t>
                  </w:r>
                </w:p>
                <w:p w14:paraId="29EC9D4E">
                  <w:pPr>
                    <w:adjustRightInd w:val="0"/>
                    <w:jc w:val="center"/>
                    <w:textAlignment w:val="baseline"/>
                    <w:rPr>
                      <w:sz w:val="18"/>
                      <w:szCs w:val="18"/>
                    </w:rPr>
                  </w:pPr>
                  <w:r>
                    <w:rPr>
                      <w:sz w:val="18"/>
                      <w:szCs w:val="18"/>
                    </w:rPr>
                    <w:t>分析</w:t>
                  </w:r>
                </w:p>
              </w:tc>
              <w:tc>
                <w:tcPr>
                  <w:tcW w:w="6165" w:type="dxa"/>
                  <w:gridSpan w:val="3"/>
                  <w:tcBorders>
                    <w:tl2br w:val="nil"/>
                    <w:tr2bl w:val="nil"/>
                  </w:tcBorders>
                  <w:vAlign w:val="center"/>
                </w:tcPr>
                <w:p w14:paraId="755B87A2">
                  <w:pPr>
                    <w:adjustRightInd w:val="0"/>
                    <w:textAlignment w:val="baseline"/>
                    <w:rPr>
                      <w:sz w:val="18"/>
                      <w:szCs w:val="18"/>
                    </w:rPr>
                  </w:pPr>
                  <w:r>
                    <w:rPr>
                      <w:sz w:val="18"/>
                      <w:szCs w:val="18"/>
                    </w:rPr>
                    <w:t>本项目选址不在生态保护红线范围内，不在一般生态空间及各类保护地内，不涉及国家、省、市级自然保护区、自然文化遗产、风景名胜区、文物古迹、生态红线、饮用水水源保护区、重要湿地等区域；不在优先保护单元内，所在区域属于一般管控单元，符合生态保护红线要求。</w:t>
                  </w:r>
                </w:p>
              </w:tc>
            </w:tr>
            <w:tr w14:paraId="1A210441">
              <w:tblPrEx>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6F9AA10B">
                  <w:pPr>
                    <w:adjustRightInd w:val="0"/>
                    <w:jc w:val="center"/>
                    <w:textAlignment w:val="baseline"/>
                    <w:rPr>
                      <w:sz w:val="18"/>
                      <w:szCs w:val="18"/>
                    </w:rPr>
                  </w:pPr>
                  <w:r>
                    <w:rPr>
                      <w:sz w:val="18"/>
                      <w:szCs w:val="18"/>
                    </w:rPr>
                    <w:t>二、环境质量底线</w:t>
                  </w:r>
                </w:p>
              </w:tc>
            </w:tr>
            <w:tr w14:paraId="2B4FC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7FAD02C2">
                  <w:pPr>
                    <w:adjustRightInd w:val="0"/>
                    <w:jc w:val="center"/>
                    <w:textAlignment w:val="baseline"/>
                    <w:rPr>
                      <w:sz w:val="18"/>
                      <w:szCs w:val="18"/>
                    </w:rPr>
                  </w:pPr>
                  <w:r>
                    <w:rPr>
                      <w:sz w:val="18"/>
                      <w:szCs w:val="18"/>
                    </w:rPr>
                    <w:t>大气环境</w:t>
                  </w:r>
                </w:p>
              </w:tc>
            </w:tr>
            <w:tr w14:paraId="60619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2DCB33C9">
                  <w:pPr>
                    <w:adjustRightInd w:val="0"/>
                    <w:jc w:val="center"/>
                    <w:textAlignment w:val="baseline"/>
                    <w:rPr>
                      <w:sz w:val="18"/>
                      <w:szCs w:val="18"/>
                    </w:rPr>
                  </w:pPr>
                  <w:r>
                    <w:rPr>
                      <w:sz w:val="18"/>
                      <w:szCs w:val="18"/>
                    </w:rPr>
                    <w:t>管控单元类别</w:t>
                  </w:r>
                </w:p>
              </w:tc>
              <w:tc>
                <w:tcPr>
                  <w:tcW w:w="6165" w:type="dxa"/>
                  <w:gridSpan w:val="3"/>
                  <w:tcBorders>
                    <w:tl2br w:val="nil"/>
                    <w:tr2bl w:val="nil"/>
                  </w:tcBorders>
                  <w:vAlign w:val="center"/>
                </w:tcPr>
                <w:p w14:paraId="678E7D16">
                  <w:pPr>
                    <w:adjustRightInd w:val="0"/>
                    <w:jc w:val="center"/>
                    <w:textAlignment w:val="baseline"/>
                    <w:rPr>
                      <w:sz w:val="18"/>
                      <w:szCs w:val="18"/>
                    </w:rPr>
                  </w:pPr>
                  <w:r>
                    <w:rPr>
                      <w:sz w:val="18"/>
                      <w:szCs w:val="18"/>
                    </w:rPr>
                    <w:t>大气环境受体敏感重点管控区</w:t>
                  </w:r>
                </w:p>
              </w:tc>
            </w:tr>
            <w:tr w14:paraId="155D1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1A130EA8">
                  <w:pPr>
                    <w:adjustRightInd w:val="0"/>
                    <w:jc w:val="center"/>
                    <w:textAlignment w:val="baseline"/>
                    <w:rPr>
                      <w:sz w:val="18"/>
                      <w:szCs w:val="18"/>
                    </w:rPr>
                  </w:pPr>
                  <w:r>
                    <w:rPr>
                      <w:sz w:val="18"/>
                      <w:szCs w:val="18"/>
                    </w:rPr>
                    <w:t>管控要求</w:t>
                  </w:r>
                </w:p>
              </w:tc>
              <w:tc>
                <w:tcPr>
                  <w:tcW w:w="6165" w:type="dxa"/>
                  <w:gridSpan w:val="3"/>
                  <w:tcBorders>
                    <w:tl2br w:val="nil"/>
                    <w:tr2bl w:val="nil"/>
                  </w:tcBorders>
                  <w:vAlign w:val="center"/>
                </w:tcPr>
                <w:p w14:paraId="68260364">
                  <w:pPr>
                    <w:adjustRightInd w:val="0"/>
                    <w:jc w:val="center"/>
                    <w:textAlignment w:val="baseline"/>
                    <w:rPr>
                      <w:sz w:val="18"/>
                      <w:szCs w:val="18"/>
                    </w:rPr>
                  </w:pPr>
                  <w:r>
                    <w:rPr>
                      <w:sz w:val="18"/>
                      <w:szCs w:val="18"/>
                    </w:rPr>
                    <w:t>/</w:t>
                  </w:r>
                </w:p>
              </w:tc>
            </w:tr>
            <w:tr w14:paraId="03EC7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2EEE3824">
                  <w:pPr>
                    <w:adjustRightInd w:val="0"/>
                    <w:jc w:val="center"/>
                    <w:textAlignment w:val="baseline"/>
                    <w:rPr>
                      <w:sz w:val="18"/>
                      <w:szCs w:val="18"/>
                    </w:rPr>
                  </w:pPr>
                  <w:r>
                    <w:rPr>
                      <w:sz w:val="18"/>
                      <w:szCs w:val="18"/>
                    </w:rPr>
                    <w:t>水环境</w:t>
                  </w:r>
                </w:p>
              </w:tc>
            </w:tr>
            <w:tr w14:paraId="0B4CD5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22D1904D">
                  <w:pPr>
                    <w:adjustRightInd w:val="0"/>
                    <w:jc w:val="center"/>
                    <w:textAlignment w:val="baseline"/>
                    <w:rPr>
                      <w:sz w:val="18"/>
                      <w:szCs w:val="18"/>
                    </w:rPr>
                  </w:pPr>
                  <w:r>
                    <w:rPr>
                      <w:sz w:val="18"/>
                      <w:szCs w:val="18"/>
                    </w:rPr>
                    <w:t>管控单元类别</w:t>
                  </w:r>
                </w:p>
              </w:tc>
              <w:tc>
                <w:tcPr>
                  <w:tcW w:w="6165" w:type="dxa"/>
                  <w:gridSpan w:val="3"/>
                  <w:tcBorders>
                    <w:tl2br w:val="nil"/>
                    <w:tr2bl w:val="nil"/>
                  </w:tcBorders>
                  <w:vAlign w:val="center"/>
                </w:tcPr>
                <w:p w14:paraId="5C999743">
                  <w:pPr>
                    <w:adjustRightInd w:val="0"/>
                    <w:jc w:val="center"/>
                    <w:textAlignment w:val="baseline"/>
                    <w:rPr>
                      <w:sz w:val="18"/>
                      <w:szCs w:val="18"/>
                    </w:rPr>
                  </w:pPr>
                  <w:r>
                    <w:rPr>
                      <w:rFonts w:hint="eastAsia"/>
                      <w:sz w:val="18"/>
                      <w:szCs w:val="18"/>
                    </w:rPr>
                    <w:t>/</w:t>
                  </w:r>
                </w:p>
              </w:tc>
            </w:tr>
            <w:tr w14:paraId="15C84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1DA7B2D9">
                  <w:pPr>
                    <w:adjustRightInd w:val="0"/>
                    <w:jc w:val="center"/>
                    <w:textAlignment w:val="baseline"/>
                    <w:rPr>
                      <w:sz w:val="18"/>
                      <w:szCs w:val="18"/>
                    </w:rPr>
                  </w:pPr>
                  <w:r>
                    <w:rPr>
                      <w:sz w:val="18"/>
                      <w:szCs w:val="18"/>
                    </w:rPr>
                    <w:t>管控要求</w:t>
                  </w:r>
                </w:p>
              </w:tc>
              <w:tc>
                <w:tcPr>
                  <w:tcW w:w="6165" w:type="dxa"/>
                  <w:gridSpan w:val="3"/>
                  <w:tcBorders>
                    <w:tl2br w:val="nil"/>
                    <w:tr2bl w:val="nil"/>
                  </w:tcBorders>
                  <w:vAlign w:val="center"/>
                </w:tcPr>
                <w:p w14:paraId="4584E169">
                  <w:pPr>
                    <w:adjustRightInd w:val="0"/>
                    <w:jc w:val="center"/>
                    <w:textAlignment w:val="baseline"/>
                    <w:rPr>
                      <w:sz w:val="18"/>
                      <w:szCs w:val="18"/>
                    </w:rPr>
                  </w:pPr>
                  <w:r>
                    <w:rPr>
                      <w:sz w:val="18"/>
                      <w:szCs w:val="18"/>
                    </w:rPr>
                    <w:t>/</w:t>
                  </w:r>
                </w:p>
              </w:tc>
            </w:tr>
            <w:tr w14:paraId="4B7A5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3EE29937">
                  <w:pPr>
                    <w:adjustRightInd w:val="0"/>
                    <w:jc w:val="center"/>
                    <w:textAlignment w:val="baseline"/>
                    <w:rPr>
                      <w:sz w:val="18"/>
                      <w:szCs w:val="18"/>
                    </w:rPr>
                  </w:pPr>
                  <w:r>
                    <w:rPr>
                      <w:sz w:val="18"/>
                      <w:szCs w:val="18"/>
                    </w:rPr>
                    <w:t>环境管控区名称</w:t>
                  </w:r>
                </w:p>
              </w:tc>
              <w:tc>
                <w:tcPr>
                  <w:tcW w:w="6165" w:type="dxa"/>
                  <w:gridSpan w:val="3"/>
                  <w:tcBorders>
                    <w:tl2br w:val="nil"/>
                    <w:tr2bl w:val="nil"/>
                  </w:tcBorders>
                  <w:vAlign w:val="center"/>
                </w:tcPr>
                <w:p w14:paraId="161C9CB6">
                  <w:pPr>
                    <w:pStyle w:val="91"/>
                    <w:jc w:val="center"/>
                    <w:rPr>
                      <w:rFonts w:ascii="Times New Roman" w:hAnsi="Times New Roman"/>
                      <w:color w:val="auto"/>
                      <w:sz w:val="18"/>
                      <w:szCs w:val="18"/>
                    </w:rPr>
                  </w:pPr>
                  <w:r>
                    <w:rPr>
                      <w:rFonts w:hint="eastAsia" w:ascii="Times New Roman" w:hAnsi="Times New Roman"/>
                      <w:color w:val="auto"/>
                      <w:sz w:val="18"/>
                      <w:szCs w:val="18"/>
                      <w:lang w:eastAsia="zh-CN"/>
                    </w:rPr>
                    <w:t>伊美区</w:t>
                  </w:r>
                  <w:r>
                    <w:rPr>
                      <w:rFonts w:ascii="Times New Roman" w:hAnsi="Times New Roman"/>
                      <w:color w:val="auto"/>
                      <w:sz w:val="18"/>
                      <w:szCs w:val="18"/>
                    </w:rPr>
                    <w:t>地下水</w:t>
                  </w:r>
                  <w:r>
                    <w:rPr>
                      <w:rFonts w:ascii="Times New Roman" w:hAnsi="Times New Roman"/>
                      <w:color w:val="auto"/>
                      <w:sz w:val="18"/>
                      <w:szCs w:val="18"/>
                      <w:lang w:eastAsia="zh-CN"/>
                    </w:rPr>
                    <w:t>环境一般</w:t>
                  </w:r>
                  <w:r>
                    <w:rPr>
                      <w:rFonts w:ascii="Times New Roman" w:hAnsi="Times New Roman"/>
                      <w:color w:val="auto"/>
                      <w:sz w:val="18"/>
                      <w:szCs w:val="18"/>
                    </w:rPr>
                    <w:t>管控区</w:t>
                  </w:r>
                </w:p>
                <w:p w14:paraId="62B4C1C4">
                  <w:pPr>
                    <w:adjustRightInd w:val="0"/>
                    <w:textAlignment w:val="baseline"/>
                    <w:rPr>
                      <w:sz w:val="18"/>
                      <w:szCs w:val="18"/>
                    </w:rPr>
                  </w:pPr>
                </w:p>
              </w:tc>
            </w:tr>
            <w:tr w14:paraId="5FABF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2FBF501C">
                  <w:pPr>
                    <w:adjustRightInd w:val="0"/>
                    <w:jc w:val="center"/>
                    <w:textAlignment w:val="baseline"/>
                    <w:rPr>
                      <w:sz w:val="18"/>
                      <w:szCs w:val="18"/>
                    </w:rPr>
                  </w:pPr>
                  <w:r>
                    <w:rPr>
                      <w:sz w:val="18"/>
                      <w:szCs w:val="18"/>
                    </w:rPr>
                    <w:t>环境管控区编码</w:t>
                  </w:r>
                </w:p>
              </w:tc>
              <w:tc>
                <w:tcPr>
                  <w:tcW w:w="6165" w:type="dxa"/>
                  <w:gridSpan w:val="3"/>
                  <w:tcBorders>
                    <w:tl2br w:val="nil"/>
                    <w:tr2bl w:val="nil"/>
                  </w:tcBorders>
                  <w:vAlign w:val="center"/>
                </w:tcPr>
                <w:p w14:paraId="597103CF">
                  <w:pPr>
                    <w:pStyle w:val="91"/>
                    <w:jc w:val="center"/>
                    <w:rPr>
                      <w:sz w:val="21"/>
                      <w:szCs w:val="21"/>
                      <w:lang w:eastAsia="zh-CN"/>
                    </w:rPr>
                  </w:pPr>
                  <w:r>
                    <w:rPr>
                      <w:rFonts w:ascii="Times New Roman" w:hAnsi="Times New Roman"/>
                      <w:color w:val="auto"/>
                      <w:sz w:val="18"/>
                      <w:szCs w:val="18"/>
                    </w:rPr>
                    <w:t>YS2307176310001</w:t>
                  </w:r>
                </w:p>
              </w:tc>
            </w:tr>
            <w:tr w14:paraId="2FA8A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63B7278B">
                  <w:pPr>
                    <w:adjustRightInd w:val="0"/>
                    <w:textAlignment w:val="baseline"/>
                    <w:rPr>
                      <w:sz w:val="18"/>
                      <w:szCs w:val="18"/>
                    </w:rPr>
                  </w:pPr>
                  <w:r>
                    <w:rPr>
                      <w:sz w:val="18"/>
                      <w:szCs w:val="18"/>
                    </w:rPr>
                    <w:t>管控要求</w:t>
                  </w:r>
                </w:p>
              </w:tc>
              <w:tc>
                <w:tcPr>
                  <w:tcW w:w="793" w:type="dxa"/>
                  <w:tcBorders>
                    <w:tl2br w:val="nil"/>
                    <w:tr2bl w:val="nil"/>
                  </w:tcBorders>
                  <w:vAlign w:val="center"/>
                </w:tcPr>
                <w:p w14:paraId="0474EE2B">
                  <w:pPr>
                    <w:widowControl/>
                    <w:rPr>
                      <w:sz w:val="18"/>
                      <w:szCs w:val="18"/>
                    </w:rPr>
                  </w:pPr>
                  <w:r>
                    <w:rPr>
                      <w:sz w:val="18"/>
                      <w:szCs w:val="18"/>
                    </w:rPr>
                    <w:t>环境风险防控</w:t>
                  </w:r>
                </w:p>
              </w:tc>
              <w:tc>
                <w:tcPr>
                  <w:tcW w:w="5372" w:type="dxa"/>
                  <w:gridSpan w:val="2"/>
                  <w:tcBorders>
                    <w:tl2br w:val="nil"/>
                    <w:tr2bl w:val="nil"/>
                  </w:tcBorders>
                  <w:vAlign w:val="center"/>
                </w:tcPr>
                <w:p w14:paraId="14E1A5F7">
                  <w:pPr>
                    <w:widowControl/>
                    <w:rPr>
                      <w:sz w:val="18"/>
                      <w:szCs w:val="18"/>
                    </w:rPr>
                  </w:pPr>
                  <w:r>
                    <w:rPr>
                      <w:sz w:val="18"/>
                      <w:szCs w:val="18"/>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r>
            <w:tr w14:paraId="7AA4F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7501C2A5">
                  <w:pPr>
                    <w:adjustRightInd w:val="0"/>
                    <w:jc w:val="center"/>
                    <w:textAlignment w:val="baseline"/>
                    <w:rPr>
                      <w:sz w:val="18"/>
                      <w:szCs w:val="18"/>
                    </w:rPr>
                  </w:pPr>
                  <w:r>
                    <w:rPr>
                      <w:sz w:val="18"/>
                      <w:szCs w:val="18"/>
                    </w:rPr>
                    <w:t>符合性分析</w:t>
                  </w:r>
                </w:p>
              </w:tc>
              <w:tc>
                <w:tcPr>
                  <w:tcW w:w="6165" w:type="dxa"/>
                  <w:gridSpan w:val="3"/>
                  <w:tcBorders>
                    <w:tl2br w:val="nil"/>
                    <w:tr2bl w:val="nil"/>
                  </w:tcBorders>
                  <w:vAlign w:val="center"/>
                </w:tcPr>
                <w:p w14:paraId="5F95387D">
                  <w:pPr>
                    <w:adjustRightInd w:val="0"/>
                    <w:jc w:val="center"/>
                    <w:textAlignment w:val="baseline"/>
                    <w:rPr>
                      <w:sz w:val="18"/>
                      <w:szCs w:val="18"/>
                    </w:rPr>
                  </w:pPr>
                  <w:r>
                    <w:rPr>
                      <w:sz w:val="18"/>
                      <w:szCs w:val="18"/>
                    </w:rPr>
                    <w:t>本项目不会造成土壤污染，不属于化学品生产企业、“两高”项目，不排放有毒有害物质。</w:t>
                  </w:r>
                </w:p>
              </w:tc>
            </w:tr>
            <w:tr w14:paraId="28E3B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260BAC75">
                  <w:pPr>
                    <w:adjustRightInd w:val="0"/>
                    <w:jc w:val="center"/>
                    <w:textAlignment w:val="baseline"/>
                    <w:rPr>
                      <w:sz w:val="18"/>
                      <w:szCs w:val="18"/>
                    </w:rPr>
                  </w:pPr>
                  <w:r>
                    <w:rPr>
                      <w:sz w:val="18"/>
                      <w:szCs w:val="18"/>
                    </w:rPr>
                    <w:t>土壤环境</w:t>
                  </w:r>
                </w:p>
              </w:tc>
            </w:tr>
            <w:tr w14:paraId="7A15F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43FBDF82">
                  <w:pPr>
                    <w:adjustRightInd w:val="0"/>
                    <w:jc w:val="center"/>
                    <w:textAlignment w:val="baseline"/>
                    <w:rPr>
                      <w:sz w:val="18"/>
                      <w:szCs w:val="18"/>
                    </w:rPr>
                  </w:pPr>
                  <w:r>
                    <w:rPr>
                      <w:sz w:val="18"/>
                      <w:szCs w:val="18"/>
                    </w:rPr>
                    <w:t>管控单元类别</w:t>
                  </w:r>
                </w:p>
              </w:tc>
              <w:tc>
                <w:tcPr>
                  <w:tcW w:w="6165" w:type="dxa"/>
                  <w:gridSpan w:val="3"/>
                  <w:tcBorders>
                    <w:tl2br w:val="nil"/>
                    <w:tr2bl w:val="nil"/>
                  </w:tcBorders>
                  <w:vAlign w:val="center"/>
                </w:tcPr>
                <w:p w14:paraId="30BA6734">
                  <w:pPr>
                    <w:adjustRightInd w:val="0"/>
                    <w:jc w:val="center"/>
                    <w:textAlignment w:val="baseline"/>
                    <w:rPr>
                      <w:sz w:val="18"/>
                      <w:szCs w:val="18"/>
                    </w:rPr>
                  </w:pPr>
                  <w:r>
                    <w:rPr>
                      <w:sz w:val="18"/>
                      <w:szCs w:val="18"/>
                    </w:rPr>
                    <w:t>一般管控区</w:t>
                  </w:r>
                </w:p>
              </w:tc>
            </w:tr>
            <w:tr w14:paraId="7C2715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vMerge w:val="restart"/>
                  <w:tcBorders>
                    <w:tl2br w:val="nil"/>
                    <w:tr2bl w:val="nil"/>
                  </w:tcBorders>
                  <w:vAlign w:val="center"/>
                </w:tcPr>
                <w:p w14:paraId="3866CD23">
                  <w:pPr>
                    <w:adjustRightInd w:val="0"/>
                    <w:jc w:val="center"/>
                    <w:textAlignment w:val="baseline"/>
                    <w:rPr>
                      <w:sz w:val="18"/>
                      <w:szCs w:val="18"/>
                    </w:rPr>
                  </w:pPr>
                  <w:r>
                    <w:rPr>
                      <w:sz w:val="18"/>
                      <w:szCs w:val="18"/>
                    </w:rPr>
                    <w:t>管控</w:t>
                  </w:r>
                </w:p>
                <w:p w14:paraId="5AD884F7">
                  <w:pPr>
                    <w:adjustRightInd w:val="0"/>
                    <w:jc w:val="center"/>
                    <w:textAlignment w:val="baseline"/>
                    <w:rPr>
                      <w:sz w:val="18"/>
                      <w:szCs w:val="18"/>
                    </w:rPr>
                  </w:pPr>
                  <w:r>
                    <w:rPr>
                      <w:sz w:val="18"/>
                      <w:szCs w:val="18"/>
                    </w:rPr>
                    <w:t>要求</w:t>
                  </w:r>
                </w:p>
              </w:tc>
              <w:tc>
                <w:tcPr>
                  <w:tcW w:w="839" w:type="dxa"/>
                  <w:gridSpan w:val="2"/>
                  <w:tcBorders>
                    <w:tl2br w:val="nil"/>
                    <w:tr2bl w:val="nil"/>
                  </w:tcBorders>
                  <w:vAlign w:val="center"/>
                </w:tcPr>
                <w:p w14:paraId="3F71DBFC">
                  <w:pPr>
                    <w:adjustRightInd w:val="0"/>
                    <w:jc w:val="center"/>
                    <w:textAlignment w:val="baseline"/>
                    <w:rPr>
                      <w:sz w:val="18"/>
                      <w:szCs w:val="18"/>
                    </w:rPr>
                  </w:pPr>
                  <w:r>
                    <w:rPr>
                      <w:sz w:val="18"/>
                      <w:szCs w:val="18"/>
                    </w:rPr>
                    <w:t>空间布局约束</w:t>
                  </w:r>
                </w:p>
              </w:tc>
              <w:tc>
                <w:tcPr>
                  <w:tcW w:w="5326" w:type="dxa"/>
                  <w:tcBorders>
                    <w:tl2br w:val="nil"/>
                    <w:tr2bl w:val="nil"/>
                  </w:tcBorders>
                  <w:vAlign w:val="center"/>
                </w:tcPr>
                <w:p w14:paraId="0E112DBD">
                  <w:pPr>
                    <w:widowControl/>
                    <w:rPr>
                      <w:sz w:val="18"/>
                      <w:szCs w:val="18"/>
                    </w:rPr>
                  </w:pPr>
                  <w:r>
                    <w:rPr>
                      <w:sz w:val="18"/>
                      <w:szCs w:val="18"/>
                    </w:rPr>
                    <w:t>1.严格建设项目环境准入。在规划和建设项目环评中，强化土壤环境调查，增加对土壤环境影响评价内容，明确防范土壤污染具体措施，纳入环保“三同时”管理。</w:t>
                  </w:r>
                </w:p>
                <w:p w14:paraId="4414614F">
                  <w:pPr>
                    <w:widowControl/>
                    <w:rPr>
                      <w:sz w:val="18"/>
                      <w:szCs w:val="18"/>
                    </w:rPr>
                  </w:pPr>
                  <w:r>
                    <w:rPr>
                      <w:sz w:val="18"/>
                      <w:szCs w:val="18"/>
                    </w:rPr>
                    <w:t>2.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w:t>
                  </w:r>
                </w:p>
                <w:p w14:paraId="5CE5EFA3">
                  <w:pPr>
                    <w:pStyle w:val="92"/>
                    <w:rPr>
                      <w:rFonts w:ascii="Times New Roman"/>
                      <w:sz w:val="18"/>
                      <w:szCs w:val="18"/>
                    </w:rPr>
                  </w:pPr>
                  <w:r>
                    <w:rPr>
                      <w:rFonts w:ascii="Times New Roman"/>
                      <w:sz w:val="18"/>
                      <w:szCs w:val="18"/>
                    </w:rPr>
                    <w:t>3.结合区域功能定位和土壤污染防治需要，科学布局城乡生活垃圾处理、危险废物处置、废旧资源再生利用等设施和场所，合理确定畜禽养殖布局和规模。</w:t>
                  </w:r>
                </w:p>
              </w:tc>
            </w:tr>
            <w:tr w14:paraId="7FDCA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vMerge w:val="continue"/>
                  <w:tcBorders>
                    <w:tl2br w:val="nil"/>
                    <w:tr2bl w:val="nil"/>
                  </w:tcBorders>
                  <w:vAlign w:val="center"/>
                </w:tcPr>
                <w:p w14:paraId="0264852B">
                  <w:pPr>
                    <w:adjustRightInd w:val="0"/>
                    <w:jc w:val="center"/>
                    <w:textAlignment w:val="baseline"/>
                    <w:rPr>
                      <w:sz w:val="18"/>
                      <w:szCs w:val="18"/>
                    </w:rPr>
                  </w:pPr>
                </w:p>
              </w:tc>
              <w:tc>
                <w:tcPr>
                  <w:tcW w:w="839" w:type="dxa"/>
                  <w:gridSpan w:val="2"/>
                  <w:tcBorders>
                    <w:tl2br w:val="nil"/>
                    <w:tr2bl w:val="nil"/>
                  </w:tcBorders>
                  <w:vAlign w:val="center"/>
                </w:tcPr>
                <w:p w14:paraId="6555750C">
                  <w:pPr>
                    <w:adjustRightInd w:val="0"/>
                    <w:jc w:val="center"/>
                    <w:textAlignment w:val="baseline"/>
                    <w:rPr>
                      <w:sz w:val="18"/>
                      <w:szCs w:val="18"/>
                    </w:rPr>
                  </w:pPr>
                  <w:r>
                    <w:rPr>
                      <w:sz w:val="18"/>
                      <w:szCs w:val="18"/>
                    </w:rPr>
                    <w:t>环境风险防控</w:t>
                  </w:r>
                </w:p>
              </w:tc>
              <w:tc>
                <w:tcPr>
                  <w:tcW w:w="5326" w:type="dxa"/>
                  <w:tcBorders>
                    <w:tl2br w:val="nil"/>
                    <w:tr2bl w:val="nil"/>
                  </w:tcBorders>
                  <w:vAlign w:val="center"/>
                </w:tcPr>
                <w:p w14:paraId="1A783092">
                  <w:pPr>
                    <w:widowControl/>
                    <w:rPr>
                      <w:sz w:val="18"/>
                      <w:szCs w:val="18"/>
                    </w:rPr>
                  </w:pPr>
                  <w:r>
                    <w:rPr>
                      <w:sz w:val="18"/>
                      <w:szCs w:val="18"/>
                    </w:rPr>
                    <w:t>1.各类涉及土地利用的规划和可能造成土壤污染的建设项目，应当依法进行环评。环评文件应当包括对土壤可能造成的不良影响及应当采取的相应预防措施等内容。</w:t>
                  </w:r>
                </w:p>
                <w:p w14:paraId="0FEC080A">
                  <w:pPr>
                    <w:widowControl/>
                    <w:rPr>
                      <w:sz w:val="18"/>
                      <w:szCs w:val="18"/>
                    </w:rPr>
                  </w:pPr>
                  <w:r>
                    <w:rPr>
                      <w:sz w:val="18"/>
                      <w:szCs w:val="18"/>
                    </w:rPr>
                    <w:t>2.生产、使用、贮存、运输、回收、处置、排放有毒有害物质的单位和个人，应当采取有效措施，防止有毒有害物质渗漏、流失、扬散，避免土壤受到污染。</w:t>
                  </w:r>
                </w:p>
                <w:p w14:paraId="6CFD278B">
                  <w:pPr>
                    <w:widowControl/>
                    <w:rPr>
                      <w:sz w:val="18"/>
                      <w:szCs w:val="18"/>
                    </w:rPr>
                  </w:pPr>
                  <w:r>
                    <w:rPr>
                      <w:sz w:val="18"/>
                      <w:szCs w:val="18"/>
                    </w:rPr>
                    <w:t>3.开展建设用地调查评估。对已搬迁、关闭企业原址场地土壤污染状况进行排查，建立已搬迁、关闭企业原址场地的潜在污染地块清单，并及时更新。</w:t>
                  </w:r>
                </w:p>
                <w:p w14:paraId="46E2FD60">
                  <w:pPr>
                    <w:widowControl/>
                    <w:rPr>
                      <w:sz w:val="18"/>
                      <w:szCs w:val="18"/>
                    </w:rPr>
                  </w:pPr>
                  <w:r>
                    <w:rPr>
                      <w:sz w:val="18"/>
                      <w:szCs w:val="18"/>
                    </w:rPr>
                    <w:t>4.健全垃圾处理处置体系。</w:t>
                  </w:r>
                </w:p>
                <w:p w14:paraId="0D1F2BB6">
                  <w:pPr>
                    <w:widowControl/>
                    <w:rPr>
                      <w:sz w:val="18"/>
                      <w:szCs w:val="18"/>
                    </w:rPr>
                  </w:pPr>
                  <w:r>
                    <w:rPr>
                      <w:sz w:val="18"/>
                      <w:szCs w:val="18"/>
                    </w:rPr>
                    <w:t>5.加强对尾矿坝安全监控及对其周边地下水水质监测。</w:t>
                  </w:r>
                </w:p>
              </w:tc>
            </w:tr>
            <w:tr w14:paraId="2B94E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4EAB5BCF">
                  <w:pPr>
                    <w:pStyle w:val="92"/>
                    <w:ind w:firstLine="360"/>
                    <w:jc w:val="center"/>
                    <w:rPr>
                      <w:rFonts w:ascii="Times New Roman"/>
                      <w:sz w:val="18"/>
                      <w:szCs w:val="18"/>
                    </w:rPr>
                  </w:pPr>
                  <w:r>
                    <w:rPr>
                      <w:rFonts w:ascii="Times New Roman"/>
                      <w:sz w:val="18"/>
                      <w:szCs w:val="18"/>
                    </w:rPr>
                    <w:t>符合性分析</w:t>
                  </w:r>
                </w:p>
              </w:tc>
              <w:tc>
                <w:tcPr>
                  <w:tcW w:w="6165" w:type="dxa"/>
                  <w:gridSpan w:val="3"/>
                  <w:tcBorders>
                    <w:tl2br w:val="nil"/>
                    <w:tr2bl w:val="nil"/>
                  </w:tcBorders>
                  <w:vAlign w:val="center"/>
                </w:tcPr>
                <w:p w14:paraId="1EEE0079">
                  <w:pPr>
                    <w:rPr>
                      <w:sz w:val="18"/>
                      <w:szCs w:val="18"/>
                    </w:rPr>
                  </w:pPr>
                  <w:r>
                    <w:rPr>
                      <w:sz w:val="18"/>
                      <w:szCs w:val="18"/>
                    </w:rPr>
                    <w:t>本项目不属于需考虑大气沉降影响的行业，且项目不涉及地面漫流等。故本项目不需要开展土壤环境影响评价。产生的固体废物进行合理处置，处置率100%。故本项目不需要开展土壤环境影响评价。本项目符合土壤一般管控区要求。</w:t>
                  </w:r>
                </w:p>
              </w:tc>
            </w:tr>
            <w:tr w14:paraId="285DC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0A8195D5">
                  <w:pPr>
                    <w:adjustRightInd w:val="0"/>
                    <w:jc w:val="center"/>
                    <w:textAlignment w:val="baseline"/>
                    <w:rPr>
                      <w:sz w:val="18"/>
                      <w:szCs w:val="18"/>
                    </w:rPr>
                  </w:pPr>
                  <w:r>
                    <w:rPr>
                      <w:sz w:val="18"/>
                      <w:szCs w:val="18"/>
                    </w:rPr>
                    <w:t>三、资源利用上线</w:t>
                  </w:r>
                </w:p>
              </w:tc>
            </w:tr>
            <w:tr w14:paraId="2180F7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30289FA3">
                  <w:pPr>
                    <w:adjustRightInd w:val="0"/>
                    <w:jc w:val="center"/>
                    <w:textAlignment w:val="baseline"/>
                    <w:rPr>
                      <w:sz w:val="18"/>
                      <w:szCs w:val="18"/>
                    </w:rPr>
                  </w:pPr>
                  <w:r>
                    <w:rPr>
                      <w:sz w:val="18"/>
                      <w:szCs w:val="18"/>
                    </w:rPr>
                    <w:t>自然资源一般管控区</w:t>
                  </w:r>
                </w:p>
              </w:tc>
            </w:tr>
            <w:tr w14:paraId="7ECBB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6B9A0D37">
                  <w:pPr>
                    <w:adjustRightInd w:val="0"/>
                    <w:jc w:val="center"/>
                    <w:textAlignment w:val="baseline"/>
                    <w:rPr>
                      <w:sz w:val="18"/>
                      <w:szCs w:val="18"/>
                    </w:rPr>
                  </w:pPr>
                  <w:r>
                    <w:rPr>
                      <w:sz w:val="18"/>
                      <w:szCs w:val="18"/>
                    </w:rPr>
                    <w:t>管控</w:t>
                  </w:r>
                </w:p>
                <w:p w14:paraId="0FF9F550">
                  <w:pPr>
                    <w:adjustRightInd w:val="0"/>
                    <w:jc w:val="center"/>
                    <w:textAlignment w:val="baseline"/>
                    <w:rPr>
                      <w:sz w:val="18"/>
                      <w:szCs w:val="18"/>
                    </w:rPr>
                  </w:pPr>
                  <w:r>
                    <w:rPr>
                      <w:sz w:val="18"/>
                      <w:szCs w:val="18"/>
                    </w:rPr>
                    <w:t>要求</w:t>
                  </w:r>
                </w:p>
              </w:tc>
              <w:tc>
                <w:tcPr>
                  <w:tcW w:w="6165" w:type="dxa"/>
                  <w:gridSpan w:val="3"/>
                  <w:tcBorders>
                    <w:tl2br w:val="nil"/>
                    <w:tr2bl w:val="nil"/>
                  </w:tcBorders>
                  <w:vAlign w:val="center"/>
                </w:tcPr>
                <w:p w14:paraId="0344BB22">
                  <w:pPr>
                    <w:jc w:val="center"/>
                    <w:rPr>
                      <w:sz w:val="18"/>
                      <w:szCs w:val="18"/>
                    </w:rPr>
                  </w:pPr>
                  <w:r>
                    <w:rPr>
                      <w:sz w:val="18"/>
                      <w:szCs w:val="18"/>
                    </w:rPr>
                    <w:t>/</w:t>
                  </w:r>
                </w:p>
              </w:tc>
            </w:tr>
            <w:tr w14:paraId="28F5ED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6901C63B">
                  <w:pPr>
                    <w:adjustRightInd w:val="0"/>
                    <w:jc w:val="center"/>
                    <w:textAlignment w:val="baseline"/>
                    <w:rPr>
                      <w:sz w:val="18"/>
                      <w:szCs w:val="18"/>
                    </w:rPr>
                  </w:pPr>
                  <w:r>
                    <w:rPr>
                      <w:sz w:val="18"/>
                      <w:szCs w:val="18"/>
                    </w:rPr>
                    <w:t>符合性分析</w:t>
                  </w:r>
                </w:p>
              </w:tc>
              <w:tc>
                <w:tcPr>
                  <w:tcW w:w="6165" w:type="dxa"/>
                  <w:gridSpan w:val="3"/>
                  <w:tcBorders>
                    <w:tl2br w:val="nil"/>
                    <w:tr2bl w:val="nil"/>
                  </w:tcBorders>
                  <w:vAlign w:val="center"/>
                </w:tcPr>
                <w:p w14:paraId="041EB442">
                  <w:pPr>
                    <w:rPr>
                      <w:sz w:val="18"/>
                      <w:szCs w:val="18"/>
                    </w:rPr>
                  </w:pPr>
                  <w:r>
                    <w:rPr>
                      <w:sz w:val="18"/>
                      <w:szCs w:val="18"/>
                    </w:rPr>
                    <w:t>本项目资源均得到妥善利用及处置。项目在运营过程中消耗一定量的电源、水资源，但资源消耗量相对于区域资源利用总量较小，符合资源利用上线要求。</w:t>
                  </w:r>
                </w:p>
              </w:tc>
            </w:tr>
            <w:tr w14:paraId="015EC0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02" w:type="dxa"/>
                  <w:gridSpan w:val="4"/>
                  <w:tcBorders>
                    <w:tl2br w:val="nil"/>
                    <w:tr2bl w:val="nil"/>
                  </w:tcBorders>
                  <w:vAlign w:val="center"/>
                </w:tcPr>
                <w:p w14:paraId="7DB41A38">
                  <w:pPr>
                    <w:adjustRightInd w:val="0"/>
                    <w:jc w:val="center"/>
                    <w:textAlignment w:val="baseline"/>
                    <w:rPr>
                      <w:sz w:val="18"/>
                      <w:szCs w:val="18"/>
                    </w:rPr>
                  </w:pPr>
                  <w:r>
                    <w:rPr>
                      <w:sz w:val="18"/>
                      <w:szCs w:val="18"/>
                    </w:rPr>
                    <w:t>四、环境准入清单</w:t>
                  </w:r>
                </w:p>
              </w:tc>
            </w:tr>
            <w:tr w14:paraId="298AA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5EFC6423">
                  <w:pPr>
                    <w:adjustRightInd w:val="0"/>
                    <w:jc w:val="center"/>
                    <w:textAlignment w:val="baseline"/>
                    <w:rPr>
                      <w:kern w:val="0"/>
                      <w:sz w:val="18"/>
                      <w:szCs w:val="18"/>
                    </w:rPr>
                  </w:pPr>
                  <w:r>
                    <w:rPr>
                      <w:sz w:val="18"/>
                      <w:szCs w:val="18"/>
                    </w:rPr>
                    <w:t>环境管控单元名称</w:t>
                  </w:r>
                </w:p>
              </w:tc>
              <w:tc>
                <w:tcPr>
                  <w:tcW w:w="6165" w:type="dxa"/>
                  <w:gridSpan w:val="3"/>
                  <w:tcBorders>
                    <w:tl2br w:val="nil"/>
                    <w:tr2bl w:val="nil"/>
                  </w:tcBorders>
                  <w:vAlign w:val="center"/>
                </w:tcPr>
                <w:p w14:paraId="139A8270">
                  <w:pPr>
                    <w:adjustRightInd w:val="0"/>
                    <w:jc w:val="center"/>
                    <w:textAlignment w:val="baseline"/>
                    <w:rPr>
                      <w:sz w:val="18"/>
                      <w:szCs w:val="18"/>
                    </w:rPr>
                  </w:pPr>
                  <w:r>
                    <w:rPr>
                      <w:sz w:val="18"/>
                      <w:szCs w:val="18"/>
                    </w:rPr>
                    <w:t>伊美区大气环境受体敏感重点管控区</w:t>
                  </w:r>
                </w:p>
              </w:tc>
            </w:tr>
            <w:tr w14:paraId="7B49B8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487B6671">
                  <w:pPr>
                    <w:adjustRightInd w:val="0"/>
                    <w:jc w:val="center"/>
                    <w:textAlignment w:val="baseline"/>
                    <w:rPr>
                      <w:kern w:val="0"/>
                      <w:sz w:val="18"/>
                      <w:szCs w:val="18"/>
                    </w:rPr>
                  </w:pPr>
                  <w:r>
                    <w:rPr>
                      <w:sz w:val="18"/>
                      <w:szCs w:val="18"/>
                    </w:rPr>
                    <w:t>环境管控单元编码</w:t>
                  </w:r>
                </w:p>
              </w:tc>
              <w:tc>
                <w:tcPr>
                  <w:tcW w:w="6165" w:type="dxa"/>
                  <w:gridSpan w:val="3"/>
                  <w:tcBorders>
                    <w:tl2br w:val="nil"/>
                    <w:tr2bl w:val="nil"/>
                  </w:tcBorders>
                  <w:vAlign w:val="center"/>
                </w:tcPr>
                <w:p w14:paraId="4115C595">
                  <w:pPr>
                    <w:adjustRightInd w:val="0"/>
                    <w:jc w:val="center"/>
                    <w:textAlignment w:val="baseline"/>
                    <w:rPr>
                      <w:sz w:val="18"/>
                      <w:szCs w:val="18"/>
                    </w:rPr>
                  </w:pPr>
                  <w:r>
                    <w:rPr>
                      <w:sz w:val="18"/>
                      <w:szCs w:val="18"/>
                    </w:rPr>
                    <w:t>ZH23071720002</w:t>
                  </w:r>
                </w:p>
              </w:tc>
            </w:tr>
            <w:tr w14:paraId="4001E458">
              <w:tblPrEx>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56330D25">
                  <w:pPr>
                    <w:adjustRightInd w:val="0"/>
                    <w:jc w:val="center"/>
                    <w:textAlignment w:val="baseline"/>
                    <w:rPr>
                      <w:kern w:val="0"/>
                      <w:sz w:val="18"/>
                      <w:szCs w:val="18"/>
                    </w:rPr>
                  </w:pPr>
                  <w:r>
                    <w:rPr>
                      <w:sz w:val="18"/>
                      <w:szCs w:val="18"/>
                    </w:rPr>
                    <w:t>管控单元类别</w:t>
                  </w:r>
                </w:p>
              </w:tc>
              <w:tc>
                <w:tcPr>
                  <w:tcW w:w="6165" w:type="dxa"/>
                  <w:gridSpan w:val="3"/>
                  <w:tcBorders>
                    <w:tl2br w:val="nil"/>
                    <w:tr2bl w:val="nil"/>
                  </w:tcBorders>
                  <w:vAlign w:val="center"/>
                </w:tcPr>
                <w:p w14:paraId="7F8C2F5C">
                  <w:pPr>
                    <w:autoSpaceDE w:val="0"/>
                    <w:autoSpaceDN w:val="0"/>
                    <w:adjustRightInd w:val="0"/>
                    <w:snapToGrid w:val="0"/>
                    <w:jc w:val="center"/>
                    <w:rPr>
                      <w:kern w:val="0"/>
                      <w:sz w:val="18"/>
                      <w:szCs w:val="18"/>
                    </w:rPr>
                  </w:pPr>
                  <w:r>
                    <w:rPr>
                      <w:sz w:val="18"/>
                      <w:szCs w:val="18"/>
                    </w:rPr>
                    <w:t>重点管控单元</w:t>
                  </w:r>
                </w:p>
              </w:tc>
            </w:tr>
            <w:tr w14:paraId="46A4B9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vMerge w:val="restart"/>
                  <w:tcBorders>
                    <w:tl2br w:val="nil"/>
                    <w:tr2bl w:val="nil"/>
                  </w:tcBorders>
                  <w:vAlign w:val="center"/>
                </w:tcPr>
                <w:p w14:paraId="23A1CAA1">
                  <w:pPr>
                    <w:adjustRightInd w:val="0"/>
                    <w:jc w:val="center"/>
                    <w:textAlignment w:val="baseline"/>
                    <w:rPr>
                      <w:sz w:val="18"/>
                      <w:szCs w:val="18"/>
                    </w:rPr>
                  </w:pPr>
                  <w:r>
                    <w:rPr>
                      <w:sz w:val="18"/>
                      <w:szCs w:val="18"/>
                    </w:rPr>
                    <w:t>管控</w:t>
                  </w:r>
                </w:p>
                <w:p w14:paraId="10E740FB">
                  <w:pPr>
                    <w:adjustRightInd w:val="0"/>
                    <w:jc w:val="center"/>
                    <w:textAlignment w:val="baseline"/>
                    <w:rPr>
                      <w:kern w:val="0"/>
                      <w:sz w:val="18"/>
                      <w:szCs w:val="18"/>
                    </w:rPr>
                  </w:pPr>
                  <w:r>
                    <w:rPr>
                      <w:sz w:val="18"/>
                      <w:szCs w:val="18"/>
                    </w:rPr>
                    <w:t>要求</w:t>
                  </w:r>
                </w:p>
              </w:tc>
              <w:tc>
                <w:tcPr>
                  <w:tcW w:w="839" w:type="dxa"/>
                  <w:gridSpan w:val="2"/>
                  <w:tcBorders>
                    <w:tl2br w:val="nil"/>
                    <w:tr2bl w:val="nil"/>
                  </w:tcBorders>
                  <w:vAlign w:val="center"/>
                </w:tcPr>
                <w:p w14:paraId="12B4A365">
                  <w:pPr>
                    <w:autoSpaceDE w:val="0"/>
                    <w:autoSpaceDN w:val="0"/>
                    <w:adjustRightInd w:val="0"/>
                    <w:snapToGrid w:val="0"/>
                    <w:rPr>
                      <w:kern w:val="0"/>
                      <w:sz w:val="18"/>
                      <w:szCs w:val="18"/>
                    </w:rPr>
                  </w:pPr>
                  <w:r>
                    <w:rPr>
                      <w:kern w:val="0"/>
                      <w:sz w:val="18"/>
                      <w:szCs w:val="18"/>
                    </w:rPr>
                    <w:t>空间布局约束</w:t>
                  </w:r>
                </w:p>
              </w:tc>
              <w:tc>
                <w:tcPr>
                  <w:tcW w:w="5326" w:type="dxa"/>
                  <w:tcBorders>
                    <w:tl2br w:val="nil"/>
                    <w:tr2bl w:val="nil"/>
                  </w:tcBorders>
                  <w:vAlign w:val="center"/>
                </w:tcPr>
                <w:p w14:paraId="615A0CDF">
                  <w:pPr>
                    <w:rPr>
                      <w:sz w:val="18"/>
                      <w:szCs w:val="18"/>
                    </w:rPr>
                  </w:pPr>
                  <w:r>
                    <w:rPr>
                      <w:sz w:val="18"/>
                      <w:szCs w:val="18"/>
                    </w:rPr>
                    <w:t>1.严控“两高”行业产能。严格执行钢铁、水泥、平板玻璃等行业产能置换实施办法。</w:t>
                  </w:r>
                </w:p>
                <w:p w14:paraId="24896998">
                  <w:pPr>
                    <w:rPr>
                      <w:sz w:val="18"/>
                      <w:szCs w:val="18"/>
                    </w:rPr>
                  </w:pPr>
                  <w:r>
                    <w:rPr>
                      <w:sz w:val="18"/>
                      <w:szCs w:val="18"/>
                    </w:rPr>
                    <w:t>2.利用水泥窑协同处置城市生活垃圾、危险废弃物、电石渣等固废伴生水泥项目，必须依托现有新型干法水泥熟料生产线进行不扩产能改造。</w:t>
                  </w:r>
                </w:p>
              </w:tc>
            </w:tr>
            <w:tr w14:paraId="697FF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vMerge w:val="continue"/>
                  <w:tcBorders>
                    <w:tl2br w:val="nil"/>
                    <w:tr2bl w:val="nil"/>
                  </w:tcBorders>
                  <w:vAlign w:val="center"/>
                </w:tcPr>
                <w:p w14:paraId="387D5413">
                  <w:pPr>
                    <w:adjustRightInd w:val="0"/>
                    <w:jc w:val="center"/>
                    <w:textAlignment w:val="baseline"/>
                    <w:rPr>
                      <w:kern w:val="0"/>
                      <w:sz w:val="18"/>
                      <w:szCs w:val="18"/>
                    </w:rPr>
                  </w:pPr>
                </w:p>
              </w:tc>
              <w:tc>
                <w:tcPr>
                  <w:tcW w:w="839" w:type="dxa"/>
                  <w:gridSpan w:val="2"/>
                  <w:tcBorders>
                    <w:tl2br w:val="nil"/>
                    <w:tr2bl w:val="nil"/>
                  </w:tcBorders>
                  <w:vAlign w:val="center"/>
                </w:tcPr>
                <w:p w14:paraId="3B0F1F5D">
                  <w:pPr>
                    <w:autoSpaceDE w:val="0"/>
                    <w:autoSpaceDN w:val="0"/>
                    <w:adjustRightInd w:val="0"/>
                    <w:snapToGrid w:val="0"/>
                    <w:rPr>
                      <w:kern w:val="0"/>
                      <w:sz w:val="18"/>
                      <w:szCs w:val="18"/>
                    </w:rPr>
                  </w:pPr>
                  <w:r>
                    <w:rPr>
                      <w:kern w:val="0"/>
                      <w:sz w:val="18"/>
                      <w:szCs w:val="18"/>
                    </w:rPr>
                    <w:t>污染物排放管控</w:t>
                  </w:r>
                </w:p>
              </w:tc>
              <w:tc>
                <w:tcPr>
                  <w:tcW w:w="5326" w:type="dxa"/>
                  <w:tcBorders>
                    <w:tl2br w:val="nil"/>
                    <w:tr2bl w:val="nil"/>
                  </w:tcBorders>
                  <w:vAlign w:val="center"/>
                </w:tcPr>
                <w:p w14:paraId="731BE96E">
                  <w:pPr>
                    <w:rPr>
                      <w:sz w:val="18"/>
                      <w:szCs w:val="18"/>
                    </w:rPr>
                  </w:pPr>
                  <w:r>
                    <w:rPr>
                      <w:sz w:val="18"/>
                      <w:szCs w:val="18"/>
                    </w:rPr>
                    <w:t>1.对以煤、石焦油、渣油、重油等为燃料的锅炉和工业炉窑，加快使用清洁低碳能源以及工厂余热、电力热力等进行替代。</w:t>
                  </w:r>
                </w:p>
                <w:p w14:paraId="61D5FE0C">
                  <w:pPr>
                    <w:rPr>
                      <w:sz w:val="18"/>
                      <w:szCs w:val="18"/>
                    </w:rPr>
                  </w:pPr>
                  <w:r>
                    <w:rPr>
                      <w:sz w:val="18"/>
                      <w:szCs w:val="18"/>
                    </w:rPr>
                    <w:t>2.到2025年，在用65蒸吨/小时以上的燃煤锅炉（含电力）实现超低排放，钢铁企业基本实现超低排放。</w:t>
                  </w:r>
                </w:p>
              </w:tc>
            </w:tr>
            <w:tr w14:paraId="41A550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vMerge w:val="continue"/>
                  <w:tcBorders>
                    <w:tl2br w:val="nil"/>
                    <w:tr2bl w:val="nil"/>
                  </w:tcBorders>
                  <w:vAlign w:val="center"/>
                </w:tcPr>
                <w:p w14:paraId="6D27A017">
                  <w:pPr>
                    <w:autoSpaceDE w:val="0"/>
                    <w:autoSpaceDN w:val="0"/>
                    <w:adjustRightInd w:val="0"/>
                    <w:snapToGrid w:val="0"/>
                    <w:rPr>
                      <w:kern w:val="0"/>
                      <w:sz w:val="18"/>
                      <w:szCs w:val="18"/>
                    </w:rPr>
                  </w:pPr>
                </w:p>
              </w:tc>
              <w:tc>
                <w:tcPr>
                  <w:tcW w:w="839" w:type="dxa"/>
                  <w:gridSpan w:val="2"/>
                  <w:tcBorders>
                    <w:tl2br w:val="nil"/>
                    <w:tr2bl w:val="nil"/>
                  </w:tcBorders>
                  <w:vAlign w:val="center"/>
                </w:tcPr>
                <w:p w14:paraId="2435909D">
                  <w:pPr>
                    <w:autoSpaceDE w:val="0"/>
                    <w:autoSpaceDN w:val="0"/>
                    <w:adjustRightInd w:val="0"/>
                    <w:snapToGrid w:val="0"/>
                    <w:rPr>
                      <w:kern w:val="0"/>
                      <w:sz w:val="18"/>
                      <w:szCs w:val="18"/>
                    </w:rPr>
                  </w:pPr>
                  <w:r>
                    <w:rPr>
                      <w:kern w:val="0"/>
                      <w:sz w:val="18"/>
                      <w:szCs w:val="18"/>
                    </w:rPr>
                    <w:t>环境风险防控</w:t>
                  </w:r>
                </w:p>
              </w:tc>
              <w:tc>
                <w:tcPr>
                  <w:tcW w:w="5326" w:type="dxa"/>
                  <w:tcBorders>
                    <w:tl2br w:val="nil"/>
                    <w:tr2bl w:val="nil"/>
                  </w:tcBorders>
                  <w:vAlign w:val="center"/>
                </w:tcPr>
                <w:p w14:paraId="35F98D0F">
                  <w:pPr>
                    <w:rPr>
                      <w:sz w:val="18"/>
                      <w:szCs w:val="18"/>
                    </w:rPr>
                  </w:pPr>
                  <w:r>
                    <w:rPr>
                      <w:sz w:val="18"/>
                      <w:szCs w:val="18"/>
                    </w:rPr>
                    <w:t>禁止在居民区、学校、医疗和养老机构等周边新建有色金属冶炼、焦化等行业企业。</w:t>
                  </w:r>
                </w:p>
              </w:tc>
            </w:tr>
            <w:tr w14:paraId="08136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7" w:type="dxa"/>
                  <w:tcBorders>
                    <w:tl2br w:val="nil"/>
                    <w:tr2bl w:val="nil"/>
                  </w:tcBorders>
                  <w:vAlign w:val="center"/>
                </w:tcPr>
                <w:p w14:paraId="04548EF2">
                  <w:pPr>
                    <w:adjustRightInd w:val="0"/>
                    <w:jc w:val="center"/>
                    <w:textAlignment w:val="baseline"/>
                    <w:rPr>
                      <w:kern w:val="0"/>
                      <w:sz w:val="18"/>
                      <w:szCs w:val="18"/>
                    </w:rPr>
                  </w:pPr>
                  <w:r>
                    <w:rPr>
                      <w:kern w:val="0"/>
                      <w:sz w:val="18"/>
                      <w:szCs w:val="18"/>
                    </w:rPr>
                    <w:t>符合性分析</w:t>
                  </w:r>
                </w:p>
              </w:tc>
              <w:tc>
                <w:tcPr>
                  <w:tcW w:w="6165" w:type="dxa"/>
                  <w:gridSpan w:val="3"/>
                  <w:tcBorders>
                    <w:tl2br w:val="nil"/>
                    <w:tr2bl w:val="nil"/>
                  </w:tcBorders>
                  <w:vAlign w:val="center"/>
                </w:tcPr>
                <w:p w14:paraId="3AFC9CAD">
                  <w:pPr>
                    <w:autoSpaceDE w:val="0"/>
                    <w:autoSpaceDN w:val="0"/>
                    <w:adjustRightInd w:val="0"/>
                    <w:snapToGrid w:val="0"/>
                    <w:rPr>
                      <w:kern w:val="0"/>
                      <w:sz w:val="18"/>
                      <w:szCs w:val="18"/>
                    </w:rPr>
                  </w:pPr>
                  <w:r>
                    <w:rPr>
                      <w:kern w:val="0"/>
                      <w:sz w:val="18"/>
                      <w:szCs w:val="18"/>
                    </w:rPr>
                    <w:t>本项目为</w:t>
                  </w:r>
                  <w:r>
                    <w:rPr>
                      <w:rFonts w:hint="eastAsia"/>
                      <w:kern w:val="0"/>
                      <w:sz w:val="18"/>
                      <w:szCs w:val="18"/>
                    </w:rPr>
                    <w:t>河湖整治工程和</w:t>
                  </w:r>
                  <w:r>
                    <w:rPr>
                      <w:kern w:val="0"/>
                      <w:sz w:val="18"/>
                      <w:szCs w:val="18"/>
                    </w:rPr>
                    <w:t>热力生产项目，不属于</w:t>
                  </w:r>
                  <w:r>
                    <w:rPr>
                      <w:sz w:val="18"/>
                      <w:szCs w:val="18"/>
                    </w:rPr>
                    <w:t>有色金属冶炼、焦化等行业企业</w:t>
                  </w:r>
                  <w:r>
                    <w:rPr>
                      <w:rFonts w:hint="eastAsia"/>
                      <w:sz w:val="18"/>
                      <w:szCs w:val="18"/>
                    </w:rPr>
                    <w:t>，不属于</w:t>
                  </w:r>
                  <w:r>
                    <w:rPr>
                      <w:sz w:val="18"/>
                      <w:szCs w:val="18"/>
                    </w:rPr>
                    <w:t>“两高”行业</w:t>
                  </w:r>
                  <w:r>
                    <w:rPr>
                      <w:kern w:val="0"/>
                      <w:sz w:val="18"/>
                      <w:szCs w:val="18"/>
                    </w:rPr>
                    <w:t>。</w:t>
                  </w:r>
                </w:p>
              </w:tc>
            </w:tr>
          </w:tbl>
          <w:p w14:paraId="6C3AC615">
            <w:pPr>
              <w:autoSpaceDE w:val="0"/>
              <w:autoSpaceDN w:val="0"/>
              <w:adjustRightInd w:val="0"/>
              <w:snapToGrid w:val="0"/>
              <w:spacing w:line="360" w:lineRule="auto"/>
              <w:ind w:firstLine="420" w:firstLineChars="200"/>
              <w:rPr>
                <w:color w:val="000000" w:themeColor="text1"/>
                <w:szCs w:val="21"/>
                <w14:textFill>
                  <w14:solidFill>
                    <w14:schemeClr w14:val="tx1"/>
                  </w14:solidFill>
                </w14:textFill>
              </w:rPr>
            </w:pPr>
            <w:r>
              <w:rPr>
                <w:rFonts w:ascii="Cambria Math" w:hAnsi="Cambria Math" w:cs="Cambria Math"/>
                <w:color w:val="000000" w:themeColor="text1"/>
                <w:szCs w:val="21"/>
                <w14:textFill>
                  <w14:solidFill>
                    <w14:schemeClr w14:val="tx1"/>
                  </w14:solidFill>
                </w14:textFill>
              </w:rPr>
              <w:t>③</w:t>
            </w:r>
            <w:r>
              <w:rPr>
                <w:color w:val="000000" w:themeColor="text1"/>
                <w:szCs w:val="21"/>
                <w14:textFill>
                  <w14:solidFill>
                    <w14:schemeClr w14:val="tx1"/>
                  </w14:solidFill>
                </w14:textFill>
              </w:rPr>
              <w:t>一说明</w:t>
            </w:r>
          </w:p>
          <w:p w14:paraId="2BD0AE55">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根据《梅花河度假村水上乐园、冷水鱼养殖综合项目生态环境分区管控分析报告》分析成果，冷水项目位置涉及伊春市伊美区；项目占地总面积0.36平方公里。</w:t>
            </w:r>
          </w:p>
          <w:p w14:paraId="7FBCBD21">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与生态保护红线交集面积为0.00平方公里，占项目占地面积的0.00%。</w:t>
            </w:r>
          </w:p>
          <w:p w14:paraId="06B09B6B">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与自然保护地整合优化方案数据交集面积为0.00平方公里，占项目占地面积的0.00%。保护地涉及等类型。与自然保护地（现状管理数据）交集面积为0.00平方公里，占项目占地面积的0.00%。保护地涉及等类型。</w:t>
            </w:r>
          </w:p>
          <w:p w14:paraId="4047183C">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与饮用水水源保护区交集面积为0.00平方公里，占项目占地面积的0.00%。与国家级水产种质资源保护区交集面积为0.00平方公里，占项目占地面积的0.00%。</w:t>
            </w:r>
          </w:p>
          <w:p w14:paraId="027990C4">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与环境管控单元优先保护单元交集面积为0.00平方公里，占项目占地面积的0.00%；与重点管控单元交集面积为0.36平方公里，占项目占地面积的100.00%；一般管控单元交集面积为0.00平方公里，占项目占地面积的0.00%。</w:t>
            </w:r>
          </w:p>
          <w:p w14:paraId="69C1B538">
            <w:pPr>
              <w:snapToGrid w:val="0"/>
              <w:spacing w:line="360" w:lineRule="auto"/>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与地下水环境优先保护区交集面积为0.00平方公里，占项目占地面积的0.00%；与地下水环境重点管控区交集面积为0.00平方公里，占项目占地面积的0.00%，与地下水环境一般管控区交集面积为0.36平方公里，占项目占地面积的100.00%。</w:t>
            </w:r>
          </w:p>
          <w:p w14:paraId="45C5521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三、其他符合性分析</w:t>
            </w:r>
          </w:p>
          <w:p w14:paraId="251EE07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1、本项目与“水利建设项目（河湖整治与防洪除涝工程）环境影响评价文件审批原则”的符合性分析。</w:t>
            </w:r>
          </w:p>
          <w:p w14:paraId="2C96D57B">
            <w:pPr>
              <w:pStyle w:val="46"/>
              <w:rPr>
                <w:color w:val="000000" w:themeColor="text1"/>
                <w14:textFill>
                  <w14:solidFill>
                    <w14:schemeClr w14:val="tx1"/>
                  </w14:solidFill>
                </w14:textFill>
              </w:rPr>
            </w:pPr>
            <w:r>
              <w:rPr>
                <w:color w:val="000000" w:themeColor="text1"/>
                <w14:textFill>
                  <w14:solidFill>
                    <w14:schemeClr w14:val="tx1"/>
                  </w14:solidFill>
                </w14:textFill>
              </w:rPr>
              <w:t>表1-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项目与“</w:t>
            </w:r>
            <w:r>
              <w:rPr>
                <w:rFonts w:hint="eastAsia"/>
                <w:color w:val="000000" w:themeColor="text1"/>
                <w14:textFill>
                  <w14:solidFill>
                    <w14:schemeClr w14:val="tx1"/>
                  </w14:solidFill>
                </w14:textFill>
              </w:rPr>
              <w:t>水利建设项目（河湖整治与防洪除涝工程）环境影响评价文件审批原则</w:t>
            </w:r>
            <w:r>
              <w:rPr>
                <w:color w:val="000000" w:themeColor="text1"/>
                <w14:textFill>
                  <w14:solidFill>
                    <w14:schemeClr w14:val="tx1"/>
                  </w14:solidFill>
                </w14:textFill>
              </w:rPr>
              <w:t>”符合性分析</w:t>
            </w:r>
          </w:p>
          <w:tbl>
            <w:tblPr>
              <w:tblStyle w:val="19"/>
              <w:tblW w:w="494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21"/>
              <w:gridCol w:w="3195"/>
              <w:gridCol w:w="463"/>
            </w:tblGrid>
            <w:tr w14:paraId="11DA9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3188A0C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文件要求</w:t>
                  </w:r>
                </w:p>
              </w:tc>
              <w:tc>
                <w:tcPr>
                  <w:tcW w:w="2195" w:type="pct"/>
                  <w:vAlign w:val="center"/>
                </w:tcPr>
                <w:p w14:paraId="618BFA7B">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项目与“</w:t>
                  </w:r>
                  <w:r>
                    <w:rPr>
                      <w:rFonts w:hint="eastAsia"/>
                      <w:color w:val="000000" w:themeColor="text1"/>
                      <w14:textFill>
                        <w14:solidFill>
                          <w14:schemeClr w14:val="tx1"/>
                        </w14:solidFill>
                      </w14:textFill>
                    </w:rPr>
                    <w:t>水利建设项目（河湖整治与防洪除涝工程）环境影响评价文件审批原则</w:t>
                  </w:r>
                  <w:r>
                    <w:rPr>
                      <w:color w:val="000000" w:themeColor="text1"/>
                      <w14:textFill>
                        <w14:solidFill>
                          <w14:schemeClr w14:val="tx1"/>
                        </w14:solidFill>
                      </w14:textFill>
                    </w:rPr>
                    <w:t>”符合性分析</w:t>
                  </w:r>
                </w:p>
              </w:tc>
              <w:tc>
                <w:tcPr>
                  <w:tcW w:w="318" w:type="pct"/>
                  <w:vAlign w:val="center"/>
                </w:tcPr>
                <w:p w14:paraId="52152FE0">
                  <w:pPr>
                    <w:pStyle w:val="43"/>
                    <w:rPr>
                      <w:color w:val="000000" w:themeColor="text1"/>
                      <w14:textFill>
                        <w14:solidFill>
                          <w14:schemeClr w14:val="tx1"/>
                        </w14:solidFill>
                      </w14:textFill>
                    </w:rPr>
                  </w:pPr>
                  <w:r>
                    <w:rPr>
                      <w:color w:val="000000" w:themeColor="text1"/>
                      <w14:textFill>
                        <w14:solidFill>
                          <w14:schemeClr w14:val="tx1"/>
                        </w14:solidFill>
                      </w14:textFill>
                    </w:rPr>
                    <w:t>符合性</w:t>
                  </w:r>
                </w:p>
              </w:tc>
            </w:tr>
            <w:tr w14:paraId="014C6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095930ED">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2195" w:type="pct"/>
                  <w:vAlign w:val="center"/>
                </w:tcPr>
                <w:p w14:paraId="3DB6BA02">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河湖整治工程，符合环境保护相关法律法规和政策要求；并与《黑龙江省主体功能区规划》、《黑龙江省生态功能区划》、《黑龙江省人民政府关于实施“三线一单”生态环境分区管控的意见》、《黑龙江省水土保持规划（2015-2030年）》等相协调。工程所在区域流域目前无综合规划、防洪规划等，项目建设符合实施方案规划布局。工程不涉及岸线调整(治导线变化)、裁弯取直、围垦水面和占用河湖滩地等建设内容。</w:t>
                  </w:r>
                </w:p>
              </w:tc>
              <w:tc>
                <w:tcPr>
                  <w:tcW w:w="318" w:type="pct"/>
                  <w:vAlign w:val="center"/>
                </w:tcPr>
                <w:p w14:paraId="260AA443">
                  <w:pPr>
                    <w:pStyle w:val="43"/>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15DE0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6B276B59">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195" w:type="pct"/>
                  <w:vAlign w:val="center"/>
                </w:tcPr>
                <w:p w14:paraId="624E377B">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选址位置不占用自然保护区、风景名胜区、世界文化和自然遗产地以及其他生态保护红线等环境敏感区中法律法规禁止占用的区域，本项目施工期在采取各项保护措施后，污染物排放能够达到相应的排放标准，且污染主要集中在施工期，施工期结束后污染随即消失，不会造成区域环境污染和生态破坏。</w:t>
                  </w:r>
                </w:p>
              </w:tc>
              <w:tc>
                <w:tcPr>
                  <w:tcW w:w="318" w:type="pct"/>
                  <w:vAlign w:val="center"/>
                </w:tcPr>
                <w:p w14:paraId="6DB362B1">
                  <w:pPr>
                    <w:pStyle w:val="43"/>
                    <w:rPr>
                      <w:color w:val="000000" w:themeColor="text1"/>
                      <w14:textFill>
                        <w14:solidFill>
                          <w14:schemeClr w14:val="tx1"/>
                        </w14:solidFill>
                      </w14:textFill>
                    </w:rPr>
                  </w:pPr>
                  <w:r>
                    <w:rPr>
                      <w:color w:val="000000" w:themeColor="text1"/>
                      <w14:textFill>
                        <w14:solidFill>
                          <w14:schemeClr w14:val="tx1"/>
                        </w14:solidFill>
                      </w14:textFill>
                    </w:rPr>
                    <w:t>符合</w:t>
                  </w:r>
                </w:p>
              </w:tc>
            </w:tr>
            <w:tr w14:paraId="29C15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01D491C1">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项目对鱼类等水生生物的洄游通道及“三场”等重要生境、物种多样性及资源量等产生不利影响的，提出了下泄生态流量、恢复鱼类洄游通道、采用生态友好型护岸（坡、底）、生态修复、增殖放流等措施。</w:t>
                  </w:r>
                </w:p>
              </w:tc>
              <w:tc>
                <w:tcPr>
                  <w:tcW w:w="2195" w:type="pct"/>
                  <w:vAlign w:val="center"/>
                </w:tcPr>
                <w:p w14:paraId="52E8514F">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w:t>
                  </w:r>
                  <w:r>
                    <w:rPr>
                      <w:color w:val="000000" w:themeColor="text1"/>
                      <w14:textFill>
                        <w14:solidFill>
                          <w14:schemeClr w14:val="tx1"/>
                        </w14:solidFill>
                      </w14:textFill>
                    </w:rPr>
                    <w:t>水生生物的洄游通道及“</w:t>
                  </w:r>
                  <w:r>
                    <w:rPr>
                      <w:rFonts w:hint="eastAsia"/>
                      <w:color w:val="000000" w:themeColor="text1"/>
                      <w14:textFill>
                        <w14:solidFill>
                          <w14:schemeClr w14:val="tx1"/>
                        </w14:solidFill>
                      </w14:textFill>
                    </w:rPr>
                    <w:t>鱼类</w:t>
                  </w:r>
                  <w:r>
                    <w:rPr>
                      <w:color w:val="000000" w:themeColor="text1"/>
                      <w14:textFill>
                        <w14:solidFill>
                          <w14:schemeClr w14:val="tx1"/>
                        </w14:solidFill>
                      </w14:textFill>
                    </w:rPr>
                    <w:t>三场”等重要</w:t>
                  </w:r>
                  <w:r>
                    <w:rPr>
                      <w:rFonts w:hint="eastAsia"/>
                      <w:color w:val="000000" w:themeColor="text1"/>
                      <w14:textFill>
                        <w14:solidFill>
                          <w14:schemeClr w14:val="tx1"/>
                        </w14:solidFill>
                      </w14:textFill>
                    </w:rPr>
                    <w:t>生态环境.</w:t>
                  </w:r>
                </w:p>
              </w:tc>
              <w:tc>
                <w:tcPr>
                  <w:tcW w:w="318" w:type="pct"/>
                  <w:vAlign w:val="center"/>
                </w:tcPr>
                <w:p w14:paraId="3584266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E30A2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783BE79E">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r>
                    <w:rPr>
                      <w:rFonts w:hint="eastAsia"/>
                      <w:color w:val="000000" w:themeColor="text1"/>
                      <w14:textFill>
                        <w14:solidFill>
                          <w14:schemeClr w14:val="tx1"/>
                        </w14:solidFill>
                      </w14:textFill>
                    </w:rPr>
                    <w:t>在采取上述措施后，施工期的不利环境影响能够得到缓解和控制，不会对周围环境和敏感保护目标造成重大不利影响。</w:t>
                  </w:r>
                </w:p>
              </w:tc>
              <w:tc>
                <w:tcPr>
                  <w:tcW w:w="2195" w:type="pct"/>
                  <w:vAlign w:val="center"/>
                </w:tcPr>
                <w:p w14:paraId="01A56463">
                  <w:pPr>
                    <w:pStyle w:val="43"/>
                    <w:jc w:val="both"/>
                    <w:rPr>
                      <w:color w:val="000000" w:themeColor="text1"/>
                      <w:highlight w:val="yellow"/>
                      <w14:textFill>
                        <w14:solidFill>
                          <w14:schemeClr w14:val="tx1"/>
                        </w14:solidFill>
                      </w14:textFill>
                    </w:rPr>
                  </w:pPr>
                </w:p>
                <w:p w14:paraId="0C6626C1">
                  <w:pPr>
                    <w:pStyle w:val="43"/>
                    <w:jc w:val="both"/>
                    <w:rPr>
                      <w:color w:val="000000" w:themeColor="text1"/>
                      <w:highlight w:val="yellow"/>
                      <w14:textFill>
                        <w14:solidFill>
                          <w14:schemeClr w14:val="tx1"/>
                        </w14:solidFill>
                      </w14:textFill>
                    </w:rPr>
                  </w:pPr>
                  <w:r>
                    <w:rPr>
                      <w:color w:val="000000" w:themeColor="text1"/>
                      <w14:textFill>
                        <w14:solidFill>
                          <w14:schemeClr w14:val="tx1"/>
                        </w14:solidFill>
                      </w14:textFill>
                    </w:rPr>
                    <w:t>本工程设置临时堆土区进行暂存，临时堆土区距位于疏浚工程区约3km，有公路可直达，交通便利。</w:t>
                  </w:r>
                </w:p>
                <w:p w14:paraId="2D3193A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项目实施</w:t>
                  </w:r>
                  <w:r>
                    <w:rPr>
                      <w:color w:val="000000" w:themeColor="text1"/>
                      <w14:textFill>
                        <w14:solidFill>
                          <w14:schemeClr w14:val="tx1"/>
                        </w14:solidFill>
                      </w14:textFill>
                    </w:rPr>
                    <w:t>对施工期各类废（污）水、扬尘、废气、噪声、固体废物等提出了防治或处置措施。</w:t>
                  </w:r>
                  <w:r>
                    <w:rPr>
                      <w:rFonts w:hint="eastAsia"/>
                      <w:color w:val="000000" w:themeColor="text1"/>
                      <w14:textFill>
                        <w14:solidFill>
                          <w14:schemeClr w14:val="tx1"/>
                        </w14:solidFill>
                      </w14:textFill>
                    </w:rPr>
                    <w:t>在采取报告提出的固体废物处置方案、其他生态环境避让、生态恢复措施后，施工期的不利环境影响能够得到缓解和控制，不会对周围环境和敏感保护目标造成重大不利影响。</w:t>
                  </w:r>
                </w:p>
              </w:tc>
              <w:tc>
                <w:tcPr>
                  <w:tcW w:w="318" w:type="pct"/>
                  <w:vAlign w:val="center"/>
                </w:tcPr>
                <w:p w14:paraId="61FA663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0D05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3F0276F1">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14:paraId="1218E44F">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在采取上述措施后，对湿地以及陆生动植物的不利影响能够得到缓解和控制，与区域景观相协调，不会造成原有珍稀濒危保护动物植物在相关区域消失，不会对陆生生态系统造成重大不利影响。</w:t>
                  </w:r>
                </w:p>
              </w:tc>
              <w:tc>
                <w:tcPr>
                  <w:tcW w:w="2195" w:type="pct"/>
                  <w:vAlign w:val="center"/>
                </w:tcPr>
                <w:p w14:paraId="146D085F">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项目临时占地占用</w:t>
                  </w:r>
                  <w:r>
                    <w:rPr>
                      <w:color w:val="000000" w:themeColor="text1"/>
                      <w14:textFill>
                        <w14:solidFill>
                          <w14:schemeClr w14:val="tx1"/>
                        </w14:solidFill>
                      </w14:textFill>
                    </w:rPr>
                    <w:t>水域及水利设施用地和其他土地</w:t>
                  </w:r>
                  <w:r>
                    <w:rPr>
                      <w:rFonts w:hint="eastAsia"/>
                      <w:color w:val="000000" w:themeColor="text1"/>
                      <w14:textFill>
                        <w14:solidFill>
                          <w14:schemeClr w14:val="tx1"/>
                        </w14:solidFill>
                      </w14:textFill>
                    </w:rPr>
                    <w:t>，不占用湿地。</w:t>
                  </w:r>
                </w:p>
                <w:p w14:paraId="5FFB77A6">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珍稀濒危保护动物及其生境，不会造成原有珍稀濒危保护动物植物在相关区域消失；在采取上述措施后，对湿地以及陆生动植物的不利影响能够得到缓解和控制，与区域景观相协调，不会对陆生生态系统造成重大不利影响。</w:t>
                  </w:r>
                </w:p>
              </w:tc>
              <w:tc>
                <w:tcPr>
                  <w:tcW w:w="318" w:type="pct"/>
                  <w:vAlign w:val="center"/>
                </w:tcPr>
                <w:p w14:paraId="4D2A0A0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9348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400C7BC3">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项目存在河湖水质污染、富营养化或外来物种入侵等环境风险的，提出了针对性的风险防范措施以及环境应急预案编制.建立必要的应急联动机制等要求。</w:t>
                  </w:r>
                </w:p>
              </w:tc>
              <w:tc>
                <w:tcPr>
                  <w:tcW w:w="2195" w:type="pct"/>
                  <w:vAlign w:val="center"/>
                </w:tcPr>
                <w:p w14:paraId="39F4B6E4">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本项目不存在河湖水质污染、富营养化或外来物种入侵等环境风险。</w:t>
                  </w:r>
                </w:p>
              </w:tc>
              <w:tc>
                <w:tcPr>
                  <w:tcW w:w="318" w:type="pct"/>
                  <w:vAlign w:val="center"/>
                </w:tcPr>
                <w:p w14:paraId="7C19148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700BF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411D8C33">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项目移民安置的选址和建设方式具有环境合理性，提出了生态保护、污水处理、固体废物处置等措施。针对蓄滞洪区的环境污染、新增占地涉及污染场地等，提出了环境管理对策建议。</w:t>
                  </w:r>
                </w:p>
              </w:tc>
              <w:tc>
                <w:tcPr>
                  <w:tcW w:w="2195" w:type="pct"/>
                  <w:vAlign w:val="center"/>
                </w:tcPr>
                <w:p w14:paraId="25985520">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本项目不涉及移民安置。针对蓄滞洪区的环境污染、新增占地涉及污染场地等，提出了环境管理对策建议。</w:t>
                  </w:r>
                </w:p>
              </w:tc>
              <w:tc>
                <w:tcPr>
                  <w:tcW w:w="318" w:type="pct"/>
                  <w:vAlign w:val="center"/>
                </w:tcPr>
                <w:p w14:paraId="600662D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5866E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30D68465">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对环境保护措施进行了深入论证，建设单位主体责任、投资估算、时间节点、预期效果明确，确保科学有效、安全可行、绿色协调。</w:t>
                  </w:r>
                </w:p>
              </w:tc>
              <w:tc>
                <w:tcPr>
                  <w:tcW w:w="2195" w:type="pct"/>
                  <w:vAlign w:val="center"/>
                </w:tcPr>
                <w:p w14:paraId="30A1F0E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本项目对环境保护措施进行了深入论证，建设单位主体责任、投资估算、时间节点、预期效果明确，确保科学有效、安全可行、绿色协调。</w:t>
                  </w:r>
                </w:p>
              </w:tc>
              <w:tc>
                <w:tcPr>
                  <w:tcW w:w="318" w:type="pct"/>
                  <w:vAlign w:val="center"/>
                </w:tcPr>
                <w:p w14:paraId="4FA3C26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r w14:paraId="6EB6C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 w:hRule="atLeast"/>
                <w:jc w:val="center"/>
              </w:trPr>
              <w:tc>
                <w:tcPr>
                  <w:tcW w:w="2487" w:type="pct"/>
                  <w:vAlign w:val="center"/>
                </w:tcPr>
                <w:p w14:paraId="0AE5431F">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按相关导则及规定要求，制定了水环境、生态等环境监测计划，明确了监测网点、因子、频次等有关要求，提出了开展环境影响后评价及根据监测评估结果优化环境保护措施的要求。根据需要和相关规定，提出了环境保护设计、开展相关科学研究、环境管理等要求。</w:t>
                  </w:r>
                </w:p>
              </w:tc>
              <w:tc>
                <w:tcPr>
                  <w:tcW w:w="2195" w:type="pct"/>
                  <w:vAlign w:val="center"/>
                </w:tcPr>
                <w:p w14:paraId="184CA447">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制定了</w:t>
                  </w:r>
                  <w:r>
                    <w:rPr>
                      <w:rFonts w:hint="eastAsia"/>
                      <w:color w:val="000000" w:themeColor="text1"/>
                      <w14:textFill>
                        <w14:solidFill>
                          <w14:schemeClr w14:val="tx1"/>
                        </w14:solidFill>
                      </w14:textFill>
                    </w:rPr>
                    <w:t>大气</w:t>
                  </w:r>
                  <w:r>
                    <w:rPr>
                      <w:color w:val="000000" w:themeColor="text1"/>
                      <w14:textFill>
                        <w14:solidFill>
                          <w14:schemeClr w14:val="tx1"/>
                        </w14:solidFill>
                      </w14:textFill>
                    </w:rPr>
                    <w:t>环境、</w:t>
                  </w:r>
                  <w:r>
                    <w:rPr>
                      <w:rFonts w:hint="eastAsia"/>
                      <w:color w:val="000000" w:themeColor="text1"/>
                      <w14:textFill>
                        <w14:solidFill>
                          <w14:schemeClr w14:val="tx1"/>
                        </w14:solidFill>
                      </w14:textFill>
                    </w:rPr>
                    <w:t>声</w:t>
                  </w:r>
                  <w:r>
                    <w:rPr>
                      <w:color w:val="000000" w:themeColor="text1"/>
                      <w14:textFill>
                        <w14:solidFill>
                          <w14:schemeClr w14:val="tx1"/>
                        </w14:solidFill>
                      </w14:textFill>
                    </w:rPr>
                    <w:t>环境</w:t>
                  </w:r>
                  <w:r>
                    <w:rPr>
                      <w:rFonts w:hint="eastAsia"/>
                      <w:color w:val="000000" w:themeColor="text1"/>
                      <w14:textFill>
                        <w14:solidFill>
                          <w14:schemeClr w14:val="tx1"/>
                        </w14:solidFill>
                      </w14:textFill>
                    </w:rPr>
                    <w:t>、水环境</w:t>
                  </w:r>
                  <w:r>
                    <w:rPr>
                      <w:color w:val="000000" w:themeColor="text1"/>
                      <w14:textFill>
                        <w14:solidFill>
                          <w14:schemeClr w14:val="tx1"/>
                        </w14:solidFill>
                      </w14:textFill>
                    </w:rPr>
                    <w:t>监测计划，明确了监测网点、因子、频次等有关要求</w:t>
                  </w:r>
                  <w:r>
                    <w:rPr>
                      <w:rFonts w:hint="eastAsia"/>
                      <w:color w:val="000000" w:themeColor="text1"/>
                      <w14:textFill>
                        <w14:solidFill>
                          <w14:schemeClr w14:val="tx1"/>
                        </w14:solidFill>
                      </w14:textFill>
                    </w:rPr>
                    <w:t>。</w:t>
                  </w:r>
                </w:p>
              </w:tc>
              <w:tc>
                <w:tcPr>
                  <w:tcW w:w="318" w:type="pct"/>
                  <w:vAlign w:val="center"/>
                </w:tcPr>
                <w:p w14:paraId="4F46EB1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符合</w:t>
                  </w:r>
                </w:p>
              </w:tc>
            </w:tr>
          </w:tbl>
          <w:p w14:paraId="59B7B2F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综上所述，本项目建设符合“水利建设项目（河湖整治与防洪除涝工程）环境影响评价文件审批原则”相关要求。</w:t>
            </w:r>
          </w:p>
          <w:p w14:paraId="08D231C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2、与《黑龙江省水土保持规划》（2015-2030）的符合性分析</w:t>
            </w:r>
          </w:p>
          <w:p w14:paraId="3CC1514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本工程位于</w:t>
            </w:r>
            <w:bookmarkStart w:id="8" w:name="OLE_LINK22"/>
            <w:r>
              <w:rPr>
                <w:rFonts w:hint="eastAsia"/>
                <w:bCs/>
                <w:color w:val="000000" w:themeColor="text1"/>
                <w14:textFill>
                  <w14:solidFill>
                    <w14:schemeClr w14:val="tx1"/>
                  </w14:solidFill>
                </w14:textFill>
              </w:rPr>
              <w:t>黑龙江省伊春市伊美区</w:t>
            </w:r>
            <w:bookmarkEnd w:id="8"/>
            <w:r>
              <w:rPr>
                <w:rFonts w:hint="eastAsia"/>
                <w:color w:val="000000" w:themeColor="text1"/>
                <w14:textFill>
                  <w14:solidFill>
                    <w14:schemeClr w14:val="tx1"/>
                  </w14:solidFill>
                </w14:textFill>
              </w:rPr>
              <w:t>，根据黑龙江省水土保持规划（2015-2030年），</w:t>
            </w:r>
            <w:r>
              <w:rPr>
                <w:rFonts w:hint="eastAsia"/>
                <w:szCs w:val="21"/>
              </w:rPr>
              <w:t>本项目所在区域属于水土流失重点治理区。重点预防区应采取预防保护措施，维护生态环境质量，保持区域生态屏障功能；促进东南部山地生态保育与提高，维持水源涵养和水质维护功能，增强区域防灾减灾能力。本区应按照《水土保持法》及其配套的法律法规，全面实施天然林资源保护工程，保护和恢复天然植被，防止乱砍滥伐，同时加强生产建设项目监督管理，搞好局部严重水土流失地区的综合治理工作。</w:t>
            </w:r>
          </w:p>
          <w:p w14:paraId="27CBACA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位于黑龙江省伊春市伊美区，通过河道清淤的建设，增强河岸的稳定性，保护梅花河水质，减少水土流失，改善区域生态环境。项目建成后，对提升本河段生产、生活区的防洪除涝安全，保持生产生活的正常秩序，维持社会和谐稳定、减少水土流失有着重要作用。符合《黑龙江省水土保持规划》（2015-2030）的规划要求。</w:t>
            </w:r>
          </w:p>
          <w:p w14:paraId="3CDC5AC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3、《黑龙江省“十四五”水土保持规划》的符合性分析</w:t>
            </w:r>
          </w:p>
          <w:p w14:paraId="7D10C29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保障黑土地资源可持续利用。开展全省黑土耕地保护行动，扩大黑土地保护利用试点面积。探索建立政府主导、承包者与经营者实施、公众参与的多元化黑土地保护长效机制。探索建立黑土地保护考核机制，压实市县乡村黑土地保护责任。实施耕地质量保护与提升行动，采取工程、农艺、生物等多种措施提高耕地质量，保护好耕地中的大熊猫，确保国家粮食安全。</w:t>
            </w:r>
          </w:p>
          <w:p w14:paraId="6D4BF098">
            <w:pPr>
              <w:pStyle w:val="47"/>
              <w:ind w:firstLine="420"/>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本次环评已按表土防护方式提出了表土保护措施。施工道路前采取钢板铺垫形式，该防护措施可降低机械及车辆对原地貌的扰动，保护表土，防止水土流失，施工结束后进行土地整治、恢复植被。采取以上措施后，对施工区土壤影响很小。</w:t>
            </w:r>
            <w:r>
              <w:rPr>
                <w:rFonts w:hint="eastAsia"/>
                <w:color w:val="000000" w:themeColor="text1"/>
                <w14:textFill>
                  <w14:solidFill>
                    <w14:schemeClr w14:val="tx1"/>
                  </w14:solidFill>
                </w14:textFill>
              </w:rPr>
              <w:t>符合《黑龙江省“十四五”水土保持规划》</w:t>
            </w:r>
            <w:r>
              <w:rPr>
                <w:color w:val="000000" w:themeColor="text1"/>
                <w:kern w:val="0"/>
                <w14:textFill>
                  <w14:solidFill>
                    <w14:schemeClr w14:val="tx1"/>
                  </w14:solidFill>
                </w14:textFill>
              </w:rPr>
              <w:t>保护黑土地</w:t>
            </w:r>
            <w:r>
              <w:rPr>
                <w:rFonts w:hint="eastAsia"/>
                <w:color w:val="000000" w:themeColor="text1"/>
                <w:kern w:val="0"/>
                <w14:textFill>
                  <w14:solidFill>
                    <w14:schemeClr w14:val="tx1"/>
                  </w14:solidFill>
                </w14:textFill>
              </w:rPr>
              <w:t>的</w:t>
            </w:r>
            <w:r>
              <w:rPr>
                <w:rFonts w:hint="eastAsia"/>
                <w:color w:val="000000" w:themeColor="text1"/>
                <w14:textFill>
                  <w14:solidFill>
                    <w14:schemeClr w14:val="tx1"/>
                  </w14:solidFill>
                </w14:textFill>
              </w:rPr>
              <w:t>要求。</w:t>
            </w:r>
          </w:p>
          <w:p w14:paraId="76BCB1A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4、《自然资源部关于规范临时用地管理的通知》（自然资规〔2021〕2号）符合性分析</w:t>
            </w:r>
          </w:p>
          <w:p w14:paraId="268574C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临时用地是指建设项目施工、地质勘查等临时使用，不修建永久性建（构）筑物，使用后可恢复的土地（通过复垦可恢复原地类或者达到可供利用状态）。临时用地具有临时性和可恢复性等特点，与建设项目施工、地质勘查等无关的用地，使用后无法恢复到原地类或者复垦达不到可供利用状态的用地，不得使用临时用地。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3928322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严格落实临时用地恢复责任，临时用地期满后应当拆除临时建（构）筑物，使用耕地的应当复垦为耕地，确保耕地面积不减少、质量不降低；使用耕地以外的其他农用地的应当恢复为农用地；使用未利用地的，对于符合条件的鼓励复垦为耕地。</w:t>
            </w:r>
          </w:p>
          <w:p w14:paraId="0C18571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临时用地均为本项目施工相关用地，采取本项目提出的临时用地表土保护措施、生态恢复、补偿措施后，本项目临时用地均可恢复原有用地性质，因此本项目建设符合《自然资源部关于规范临时用地管理的通知》（自然资规〔2021〕2号）。</w:t>
            </w:r>
          </w:p>
          <w:p w14:paraId="796C895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5、《黑龙江省“十四五”黑土地保护规划的通知》（黑政办规〔2021〕48号）符合性分析</w:t>
            </w:r>
          </w:p>
          <w:p w14:paraId="0905472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平原旱田类型区保护措施：（1）以有机质全耕层补给、增加耕层厚度、建立肥沃耕作层为重点，推广以秸秆翻埋（压）还田为核心技术，因地制宜实施秸秆碎混还田、少免耕秸秆覆盖还田等保护性耕作技术。（2）在种养结合区因地制宜实施畜禽粪污无害化处理还田，与秸秆粉碎深翻还田同步作业。（3）推广“一主多辅”轮作模式。（4）白浆土耕地可结合秸秆粉碎+有机肥翻埋（压）还田等技术，消减白浆障碍层，快速培肥耕作层。（5）完善灌排设施，规范化改造低洼内涝区排水系统。（6）因地制宜开展田块整治，完善包括农田防护林在内的农田基础设施建设。</w:t>
            </w:r>
          </w:p>
          <w:p w14:paraId="7F79B05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w:t>
            </w:r>
            <w:r>
              <w:rPr>
                <w:rFonts w:hint="eastAsia"/>
                <w:bCs/>
                <w:color w:val="000000" w:themeColor="text1"/>
                <w14:textFill>
                  <w14:solidFill>
                    <w14:schemeClr w14:val="tx1"/>
                  </w14:solidFill>
                </w14:textFill>
              </w:rPr>
              <w:t>黑龙江省伊春市伊美区</w:t>
            </w:r>
            <w:r>
              <w:rPr>
                <w:rFonts w:hint="eastAsia"/>
                <w:color w:val="000000" w:themeColor="text1"/>
                <w14:textFill>
                  <w14:solidFill>
                    <w14:schemeClr w14:val="tx1"/>
                  </w14:solidFill>
                </w14:textFill>
              </w:rPr>
              <w:t>，临时工程占地占用</w:t>
            </w:r>
            <w:r>
              <w:rPr>
                <w:color w:val="000000" w:themeColor="text1"/>
                <w14:textFill>
                  <w14:solidFill>
                    <w14:schemeClr w14:val="tx1"/>
                  </w14:solidFill>
                </w14:textFill>
              </w:rPr>
              <w:t>水域及水利设施用地和其他土地</w:t>
            </w:r>
            <w:r>
              <w:rPr>
                <w:rFonts w:hint="eastAsia"/>
                <w:color w:val="000000" w:themeColor="text1"/>
                <w14:textFill>
                  <w14:solidFill>
                    <w14:schemeClr w14:val="tx1"/>
                  </w14:solidFill>
                </w14:textFill>
              </w:rPr>
              <w:t>，施工前进行表土保护措施，施工道路前采取钢板铺垫形式，该防护措施可降低机械及车辆对原地貌的扰动，保护表土，防止水土流失，施工结束后进行土地整治、恢复植被。采取上述生态环境保护措施后，本项目的建设符合《黑龙江省“十四五”黑土地保护规划的通知》（黑政办规〔2021〕48号）相关要求。</w:t>
            </w:r>
          </w:p>
          <w:p w14:paraId="33E0B64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6、自然资源部《关于进一步做好用地用海要素保障的通知》（自然资发〔2023〕89号）符合性分析</w:t>
            </w:r>
          </w:p>
          <w:p w14:paraId="2985DD5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优化临时用地政策。直接服务于铁路、公路、水利工程施工的制梁场、拌合站，需临时使用土地的，其土地复垦方案通过论证，业主单位签订承诺书，明确了复垦完成时限和恢复责任，确保能够恢复种植条件的，可以占用耕地，不得占用永久基本农田。</w:t>
            </w:r>
          </w:p>
          <w:p w14:paraId="1CEA245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制梁场、拌合站，本项目施工相关用地均为临时占地，本项目施工区域不涉及生态保护红线，不涉及自然保护区、风景名胜区、饮用水水源保护区等环境敏感区域。本项目施工区域均不在环境制约因素区域内，采取本项目提出的临时用地表土保护措施、生态恢复、补偿措施后，本项目临时用地均可恢复原有用地性质，因此本项目建设符合自然资源部《关于进一步做好用地用海要素保障的通知》（自然资发〔2023〕89号）。</w:t>
            </w:r>
          </w:p>
          <w:p w14:paraId="5BE5FEF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本项目与《黑龙江省人民代表大会常务委员会关于修改〈黑龙江省大气污染防治条例〉的决定》（2018年12月27日）符合性分析</w:t>
            </w:r>
          </w:p>
          <w:p w14:paraId="217418A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在条例中“第三章 大气污染防治措施，第一节 燃煤污染防治”中“第三十二条要求燃煤电厂、燃煤供热锅炉以及其他燃煤单位，应当采用清洁生产工艺，配套建设除尘、脱硫、脱硝等装置或者采用技术改造等措施，减少大气污染物的产生和排放，排放的大气污染物应当达到规定标准。”“第三十三条要求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第三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p>
          <w:p w14:paraId="7DE2E2AF">
            <w:pPr>
              <w:pStyle w:val="47"/>
              <w:ind w:firstLine="420"/>
              <w:rPr>
                <w:color w:val="000000" w:themeColor="text1"/>
                <w14:textFill>
                  <w14:solidFill>
                    <w14:schemeClr w14:val="tx1"/>
                  </w14:solidFill>
                </w14:textFill>
              </w:rPr>
            </w:pPr>
            <w:bookmarkStart w:id="9" w:name="OLE_LINK23"/>
            <w:r>
              <w:rPr>
                <w:color w:val="000000" w:themeColor="text1"/>
                <w14:textFill>
                  <w14:solidFill>
                    <w14:schemeClr w14:val="tx1"/>
                  </w14:solidFill>
                </w14:textFill>
              </w:rPr>
              <w:t>本项目新建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5MW专用生物质热水锅炉用于生活供暖。营运期</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5MW燃生物质热水锅炉烟气经除尘效率为99.7%的多管旋风+布袋除尘器+低氮燃烧器处理后，通过35m高烟囱排放</w:t>
            </w:r>
            <w:bookmarkEnd w:id="9"/>
            <w:r>
              <w:rPr>
                <w:color w:val="000000" w:themeColor="text1"/>
                <w14:textFill>
                  <w14:solidFill>
                    <w14:schemeClr w14:val="tx1"/>
                  </w14:solidFill>
                </w14:textFill>
              </w:rPr>
              <w:t>，减少烟气排放量。</w:t>
            </w:r>
          </w:p>
          <w:p w14:paraId="041F44DF">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综上，本项目的建设符合《黑龙江省人民代表大会常务委员会关于修改〈黑龙江省大气污染防治条例〉的决定》（2018年12月27日）的环境管理要求。</w:t>
            </w:r>
          </w:p>
          <w:p w14:paraId="0FABEB5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8、与《伊春市“十四五”生态环境保护规划》符合性分析</w:t>
            </w:r>
          </w:p>
          <w:p w14:paraId="516F83C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规划要求深化燃煤污染治理，严格控制煤炭消费总量。加大清洁能源的供应和</w:t>
            </w:r>
            <w:r>
              <w:rPr>
                <w:color w:val="000000" w:themeColor="text1"/>
                <w14:textFill>
                  <w14:solidFill>
                    <w14:schemeClr w14:val="tx1"/>
                  </w14:solidFill>
                </w14:textFill>
              </w:rPr>
              <w:t>推广力度，推进天然气、电能替代燃煤，深入开展工业企业提标改造，推进火电、钢铁企业实施超低排放改造。县级及以上城市建成区原则上不再新建每小时35蒸吨以下的燃煤锅炉，其他地区原则上不再新建每小时10蒸吨以下的燃煤锅炉，持续巩固燃煤锅炉淘汰改造成果。组织开展重点排放单位数据报送及核查、发电行业重点排放单位开户及配额预分配和清缴。强化移动源污染治理，加强在用机动车污染治理，精细化管控道路、交通、拆迁等各类扬尘污染，降尘量大幅降低，空气质量稳步改善。</w:t>
            </w:r>
          </w:p>
          <w:p w14:paraId="6471417F">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本项目新建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5MW专用生物质热水锅炉用于生活供暖。营运期</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5MW燃生物质热水锅炉烟气经除尘效率为99.7%的多管旋风+布袋除尘器+低氮燃烧器处理后，通过35m高烟囱排放。符合《伊春市“十四五”生态环境保护规划》</w:t>
            </w:r>
            <w:r>
              <w:rPr>
                <w:rFonts w:hint="eastAsia"/>
                <w:color w:val="000000" w:themeColor="text1"/>
                <w14:textFill>
                  <w14:solidFill>
                    <w14:schemeClr w14:val="tx1"/>
                  </w14:solidFill>
                </w14:textFill>
              </w:rPr>
              <w:t>。</w:t>
            </w:r>
          </w:p>
        </w:tc>
      </w:tr>
    </w:tbl>
    <w:p w14:paraId="2DC20434">
      <w:pPr>
        <w:spacing w:line="360" w:lineRule="auto"/>
        <w:outlineLvl w:val="0"/>
        <w:rPr>
          <w:rFonts w:eastAsia="黑体"/>
          <w:color w:val="000000" w:themeColor="text1"/>
          <w:sz w:val="30"/>
          <w14:textFill>
            <w14:solidFill>
              <w14:schemeClr w14:val="tx1"/>
            </w14:solidFill>
          </w14:textFill>
        </w:rPr>
        <w:sectPr>
          <w:footerReference r:id="rId4" w:type="default"/>
          <w:footerReference r:id="rId5" w:type="even"/>
          <w:pgSz w:w="11906" w:h="16838"/>
          <w:pgMar w:top="1701" w:right="1531" w:bottom="1701" w:left="1531" w:header="851" w:footer="1077" w:gutter="0"/>
          <w:pgNumType w:start="1"/>
          <w:cols w:space="720" w:num="1"/>
          <w:docGrid w:linePitch="312" w:charSpace="0"/>
        </w:sectPr>
      </w:pPr>
    </w:p>
    <w:p w14:paraId="0728136A">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10" w:name="_Toc232073024"/>
      <w:r>
        <w:rPr>
          <w:rFonts w:ascii="Times New Roman" w:hAnsi="Times New Roman" w:eastAsia="黑体"/>
          <w:snapToGrid w:val="0"/>
          <w:color w:val="000000" w:themeColor="text1"/>
          <w:sz w:val="30"/>
          <w:szCs w:val="30"/>
          <w14:textFill>
            <w14:solidFill>
              <w14:schemeClr w14:val="tx1"/>
            </w14:solidFill>
          </w14:textFill>
        </w:rPr>
        <w:t>二、建设内容</w:t>
      </w:r>
      <w:bookmarkEnd w:id="10"/>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7788"/>
      </w:tblGrid>
      <w:tr w14:paraId="25619F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391" w:type="pct"/>
            <w:vAlign w:val="center"/>
          </w:tcPr>
          <w:p w14:paraId="277D78CA">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地理位置</w:t>
            </w:r>
          </w:p>
        </w:tc>
        <w:tc>
          <w:tcPr>
            <w:tcW w:w="4609" w:type="pct"/>
            <w:vAlign w:val="center"/>
          </w:tcPr>
          <w:p w14:paraId="138FA877">
            <w:pPr>
              <w:pStyle w:val="47"/>
              <w:ind w:firstLine="42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本次梅花河度假村水上乐园、冷水鱼养殖综合项目位于黑龙江省伊春市伊美区，</w:t>
            </w:r>
            <w:r>
              <w:rPr>
                <w:rFonts w:hint="eastAsia"/>
                <w:color w:val="000000" w:themeColor="text1"/>
                <w:szCs w:val="21"/>
                <w14:textFill>
                  <w14:solidFill>
                    <w14:schemeClr w14:val="tx1"/>
                  </w14:solidFill>
                </w14:textFill>
              </w:rPr>
              <w:t>具体见附图1地理位置图。</w:t>
            </w:r>
          </w:p>
          <w:p w14:paraId="4048012B">
            <w:pPr>
              <w:pStyle w:val="47"/>
              <w:ind w:firstLine="420"/>
              <w:rPr>
                <w:color w:val="000000" w:themeColor="text1"/>
                <w14:textFill>
                  <w14:solidFill>
                    <w14:schemeClr w14:val="tx1"/>
                  </w14:solidFill>
                </w14:textFill>
              </w:rPr>
            </w:pPr>
          </w:p>
        </w:tc>
      </w:tr>
      <w:tr w14:paraId="08AB03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391" w:type="pct"/>
            <w:vAlign w:val="center"/>
          </w:tcPr>
          <w:p w14:paraId="2D3B178B">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项目组成及规模</w:t>
            </w:r>
          </w:p>
        </w:tc>
        <w:tc>
          <w:tcPr>
            <w:tcW w:w="4609" w:type="pct"/>
            <w:vAlign w:val="center"/>
          </w:tcPr>
          <w:p w14:paraId="490FB2D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一、工程建设内容</w:t>
            </w:r>
          </w:p>
          <w:p w14:paraId="7126376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工程规模为建设水上游乐园（包括室内外场馆）、服务中心及宾馆餐厅升级改造，生态园、采摘园、中草药基地（科普研学）观光园</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冷水鱼养殖</w:t>
            </w:r>
            <w:r>
              <w:rPr>
                <w:rFonts w:hint="eastAsia"/>
                <w:color w:val="000000" w:themeColor="text1"/>
                <w14:textFill>
                  <w14:solidFill>
                    <w14:schemeClr w14:val="tx1"/>
                  </w14:solidFill>
                </w14:textFill>
              </w:rPr>
              <w:t>，年接待游客50万人</w:t>
            </w:r>
            <w:r>
              <w:rPr>
                <w:color w:val="000000" w:themeColor="text1"/>
                <w14:textFill>
                  <w14:solidFill>
                    <w14:schemeClr w14:val="tx1"/>
                  </w14:solidFill>
                </w14:textFill>
              </w:rPr>
              <w:t>。梅花河水域面积35公顷，清淤通水面积35公顷，疏浚整治梅花河伊东段，河道疏浚总长度为570m，左右岸宽580m，疏浚总面积167691m²，疏浚总工程量143164m³，属小型河道整治工程。</w:t>
            </w:r>
          </w:p>
          <w:p w14:paraId="0071DF0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主要工程组成一览表见下表。</w:t>
            </w:r>
          </w:p>
          <w:p w14:paraId="65DBB5BB">
            <w:pPr>
              <w:pStyle w:val="46"/>
              <w:rPr>
                <w:color w:val="000000" w:themeColor="text1"/>
                <w14:textFill>
                  <w14:solidFill>
                    <w14:schemeClr w14:val="tx1"/>
                  </w14:solidFill>
                </w14:textFill>
              </w:rPr>
            </w:pPr>
            <w:r>
              <w:rPr>
                <w:color w:val="000000" w:themeColor="text1"/>
                <w14:textFill>
                  <w14:solidFill>
                    <w14:schemeClr w14:val="tx1"/>
                  </w14:solidFill>
                </w14:textFill>
              </w:rPr>
              <w:t>表2-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工程内容一览表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0"/>
              <w:gridCol w:w="487"/>
              <w:gridCol w:w="1031"/>
              <w:gridCol w:w="4520"/>
              <w:gridCol w:w="1124"/>
            </w:tblGrid>
            <w:tr w14:paraId="1F2D5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90" w:type="dxa"/>
                  <w:gridSpan w:val="3"/>
                  <w:vAlign w:val="center"/>
                </w:tcPr>
                <w:p w14:paraId="38D7C08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项目组成</w:t>
                  </w:r>
                </w:p>
              </w:tc>
              <w:tc>
                <w:tcPr>
                  <w:tcW w:w="4430" w:type="dxa"/>
                  <w:vAlign w:val="center"/>
                </w:tcPr>
                <w:p w14:paraId="480266C4">
                  <w:pPr>
                    <w:pStyle w:val="43"/>
                    <w:rPr>
                      <w:color w:val="000000" w:themeColor="text1"/>
                      <w14:textFill>
                        <w14:solidFill>
                          <w14:schemeClr w14:val="tx1"/>
                        </w14:solidFill>
                      </w14:textFill>
                    </w:rPr>
                  </w:pPr>
                  <w:r>
                    <w:rPr>
                      <w:szCs w:val="21"/>
                    </w:rPr>
                    <w:t>工程内容</w:t>
                  </w:r>
                </w:p>
              </w:tc>
              <w:tc>
                <w:tcPr>
                  <w:tcW w:w="1102" w:type="dxa"/>
                  <w:vAlign w:val="center"/>
                </w:tcPr>
                <w:p w14:paraId="1093FFBD">
                  <w:pPr>
                    <w:pStyle w:val="43"/>
                    <w:rPr>
                      <w:color w:val="000000" w:themeColor="text1"/>
                      <w14:textFill>
                        <w14:solidFill>
                          <w14:schemeClr w14:val="tx1"/>
                        </w14:solidFill>
                      </w14:textFill>
                    </w:rPr>
                  </w:pPr>
                  <w:r>
                    <w:rPr>
                      <w:szCs w:val="21"/>
                    </w:rPr>
                    <w:t>备注</w:t>
                  </w:r>
                </w:p>
              </w:tc>
            </w:tr>
            <w:tr w14:paraId="14BED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restart"/>
                  <w:vAlign w:val="center"/>
                </w:tcPr>
                <w:p w14:paraId="2994E57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w:t>
                  </w:r>
                </w:p>
              </w:tc>
              <w:tc>
                <w:tcPr>
                  <w:tcW w:w="1011" w:type="dxa"/>
                  <w:vAlign w:val="center"/>
                </w:tcPr>
                <w:p w14:paraId="5032EEC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疏浚工程</w:t>
                  </w:r>
                </w:p>
              </w:tc>
              <w:tc>
                <w:tcPr>
                  <w:tcW w:w="4430" w:type="dxa"/>
                  <w:vAlign w:val="center"/>
                </w:tcPr>
                <w:p w14:paraId="4D0004A4">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疏浚整治梅花河伊东段，河道疏浚总长度为570m，左右岸宽580m，疏浚总面积167691</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，疏浚总工程量143164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color w:val="000000" w:themeColor="text1"/>
                      <w14:textFill>
                        <w14:solidFill>
                          <w14:schemeClr w14:val="tx1"/>
                        </w14:solidFill>
                      </w14:textFill>
                    </w:rPr>
                    <w:t>，属小型河道整治工程。</w:t>
                  </w:r>
                </w:p>
              </w:tc>
              <w:tc>
                <w:tcPr>
                  <w:tcW w:w="1102" w:type="dxa"/>
                  <w:vAlign w:val="center"/>
                </w:tcPr>
                <w:p w14:paraId="1B391406">
                  <w:pPr>
                    <w:pStyle w:val="43"/>
                    <w:rPr>
                      <w:color w:val="000000" w:themeColor="text1"/>
                      <w14:textFill>
                        <w14:solidFill>
                          <w14:schemeClr w14:val="tx1"/>
                        </w14:solidFill>
                      </w14:textFill>
                    </w:rPr>
                  </w:pPr>
                  <w:r>
                    <w:rPr>
                      <w:szCs w:val="21"/>
                    </w:rPr>
                    <w:t>新建</w:t>
                  </w:r>
                </w:p>
              </w:tc>
            </w:tr>
            <w:tr w14:paraId="189EF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1B6D754D">
                  <w:pPr>
                    <w:pStyle w:val="43"/>
                    <w:rPr>
                      <w:color w:val="000000" w:themeColor="text1"/>
                      <w14:textFill>
                        <w14:solidFill>
                          <w14:schemeClr w14:val="tx1"/>
                        </w14:solidFill>
                      </w14:textFill>
                    </w:rPr>
                  </w:pPr>
                </w:p>
              </w:tc>
              <w:tc>
                <w:tcPr>
                  <w:tcW w:w="1011" w:type="dxa"/>
                  <w:vMerge w:val="restart"/>
                  <w:vAlign w:val="center"/>
                </w:tcPr>
                <w:p w14:paraId="5139BA1A">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水上娱乐区</w:t>
                  </w:r>
                </w:p>
              </w:tc>
              <w:tc>
                <w:tcPr>
                  <w:tcW w:w="4430" w:type="dxa"/>
                  <w:vAlign w:val="center"/>
                </w:tcPr>
                <w:p w14:paraId="2EA55AF4">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水上住宿娱乐中心占地面积4500m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，建筑面积3200m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，建设酒店、餐饮、游客服务中心，3层建筑，高度10.5</w:t>
                  </w:r>
                  <w:r>
                    <w:rPr>
                      <w:color w:val="000000" w:themeColor="text1"/>
                      <w:kern w:val="0"/>
                      <w:sz w:val="18"/>
                      <w:szCs w:val="20"/>
                      <w14:textFill>
                        <w14:solidFill>
                          <w14:schemeClr w14:val="tx1"/>
                        </w14:solidFill>
                      </w14:textFill>
                    </w:rPr>
                    <w:t>m</w:t>
                  </w:r>
                  <w:r>
                    <w:rPr>
                      <w:rFonts w:hint="eastAsia"/>
                      <w:color w:val="000000" w:themeColor="text1"/>
                      <w:kern w:val="0"/>
                      <w:sz w:val="18"/>
                      <w:szCs w:val="20"/>
                      <w14:textFill>
                        <w14:solidFill>
                          <w14:schemeClr w14:val="tx1"/>
                        </w14:solidFill>
                      </w14:textFill>
                    </w:rPr>
                    <w:t>，容纳住客150人。</w:t>
                  </w:r>
                </w:p>
              </w:tc>
              <w:tc>
                <w:tcPr>
                  <w:tcW w:w="1102" w:type="dxa"/>
                  <w:vAlign w:val="center"/>
                </w:tcPr>
                <w:p w14:paraId="64F3B598">
                  <w:pPr>
                    <w:pStyle w:val="43"/>
                    <w:rPr>
                      <w:szCs w:val="21"/>
                    </w:rPr>
                  </w:pPr>
                  <w:r>
                    <w:rPr>
                      <w:szCs w:val="21"/>
                    </w:rPr>
                    <w:t>新建</w:t>
                  </w:r>
                </w:p>
              </w:tc>
            </w:tr>
            <w:tr w14:paraId="411B02EC">
              <w:tblPrEx>
                <w:tblCellMar>
                  <w:top w:w="0" w:type="dxa"/>
                  <w:left w:w="108" w:type="dxa"/>
                  <w:bottom w:w="0" w:type="dxa"/>
                  <w:right w:w="108" w:type="dxa"/>
                </w:tblCellMar>
              </w:tblPrEx>
              <w:tc>
                <w:tcPr>
                  <w:tcW w:w="879" w:type="dxa"/>
                  <w:gridSpan w:val="2"/>
                  <w:vMerge w:val="continue"/>
                  <w:vAlign w:val="center"/>
                </w:tcPr>
                <w:p w14:paraId="3B66B869">
                  <w:pPr>
                    <w:pStyle w:val="43"/>
                    <w:rPr>
                      <w:color w:val="000000" w:themeColor="text1"/>
                      <w14:textFill>
                        <w14:solidFill>
                          <w14:schemeClr w14:val="tx1"/>
                        </w14:solidFill>
                      </w14:textFill>
                    </w:rPr>
                  </w:pPr>
                </w:p>
              </w:tc>
              <w:tc>
                <w:tcPr>
                  <w:tcW w:w="1011" w:type="dxa"/>
                  <w:vMerge w:val="continue"/>
                  <w:vAlign w:val="center"/>
                </w:tcPr>
                <w:p w14:paraId="6EBD72B4">
                  <w:pPr>
                    <w:jc w:val="center"/>
                    <w:rPr>
                      <w:color w:val="000000" w:themeColor="text1"/>
                      <w:kern w:val="0"/>
                      <w:sz w:val="18"/>
                      <w:szCs w:val="20"/>
                      <w14:textFill>
                        <w14:solidFill>
                          <w14:schemeClr w14:val="tx1"/>
                        </w14:solidFill>
                      </w14:textFill>
                    </w:rPr>
                  </w:pPr>
                </w:p>
              </w:tc>
              <w:tc>
                <w:tcPr>
                  <w:tcW w:w="4430" w:type="dxa"/>
                  <w:vAlign w:val="center"/>
                </w:tcPr>
                <w:p w14:paraId="74E64611">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亲水广场占地面积700m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。设置球形星空帐篷、坡顶游牧帐篷、休息区、垂钓区、公厕等。</w:t>
                  </w:r>
                </w:p>
              </w:tc>
              <w:tc>
                <w:tcPr>
                  <w:tcW w:w="1102" w:type="dxa"/>
                  <w:vAlign w:val="center"/>
                </w:tcPr>
                <w:p w14:paraId="015B6C04">
                  <w:pPr>
                    <w:pStyle w:val="43"/>
                    <w:rPr>
                      <w:szCs w:val="21"/>
                    </w:rPr>
                  </w:pPr>
                  <w:r>
                    <w:rPr>
                      <w:szCs w:val="21"/>
                    </w:rPr>
                    <w:t>新建</w:t>
                  </w:r>
                </w:p>
              </w:tc>
            </w:tr>
            <w:tr w14:paraId="6E6E7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05D31C3F">
                  <w:pPr>
                    <w:pStyle w:val="43"/>
                    <w:rPr>
                      <w:color w:val="000000" w:themeColor="text1"/>
                      <w14:textFill>
                        <w14:solidFill>
                          <w14:schemeClr w14:val="tx1"/>
                        </w14:solidFill>
                      </w14:textFill>
                    </w:rPr>
                  </w:pPr>
                </w:p>
              </w:tc>
              <w:tc>
                <w:tcPr>
                  <w:tcW w:w="1011" w:type="dxa"/>
                  <w:vMerge w:val="continue"/>
                  <w:vAlign w:val="center"/>
                </w:tcPr>
                <w:p w14:paraId="0EEF5E87">
                  <w:pPr>
                    <w:jc w:val="center"/>
                    <w:rPr>
                      <w:color w:val="000000" w:themeColor="text1"/>
                      <w:kern w:val="0"/>
                      <w:sz w:val="18"/>
                      <w:szCs w:val="20"/>
                      <w14:textFill>
                        <w14:solidFill>
                          <w14:schemeClr w14:val="tx1"/>
                        </w14:solidFill>
                      </w14:textFill>
                    </w:rPr>
                  </w:pPr>
                </w:p>
              </w:tc>
              <w:tc>
                <w:tcPr>
                  <w:tcW w:w="4430" w:type="dxa"/>
                  <w:vAlign w:val="center"/>
                </w:tcPr>
                <w:p w14:paraId="100A1905">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亲水栈道450m。</w:t>
                  </w:r>
                </w:p>
              </w:tc>
              <w:tc>
                <w:tcPr>
                  <w:tcW w:w="1102" w:type="dxa"/>
                  <w:vAlign w:val="center"/>
                </w:tcPr>
                <w:p w14:paraId="09588097">
                  <w:pPr>
                    <w:pStyle w:val="43"/>
                    <w:rPr>
                      <w:szCs w:val="21"/>
                    </w:rPr>
                  </w:pPr>
                  <w:r>
                    <w:rPr>
                      <w:szCs w:val="21"/>
                    </w:rPr>
                    <w:t>新建</w:t>
                  </w:r>
                </w:p>
              </w:tc>
            </w:tr>
            <w:tr w14:paraId="1B570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49996411">
                  <w:pPr>
                    <w:pStyle w:val="43"/>
                    <w:rPr>
                      <w:color w:val="000000" w:themeColor="text1"/>
                      <w14:textFill>
                        <w14:solidFill>
                          <w14:schemeClr w14:val="tx1"/>
                        </w14:solidFill>
                      </w14:textFill>
                    </w:rPr>
                  </w:pPr>
                </w:p>
              </w:tc>
              <w:tc>
                <w:tcPr>
                  <w:tcW w:w="1011" w:type="dxa"/>
                  <w:vMerge w:val="continue"/>
                  <w:vAlign w:val="center"/>
                </w:tcPr>
                <w:p w14:paraId="1CA0B705">
                  <w:pPr>
                    <w:jc w:val="center"/>
                    <w:rPr>
                      <w:color w:val="000000" w:themeColor="text1"/>
                      <w:kern w:val="0"/>
                      <w:sz w:val="18"/>
                      <w:szCs w:val="20"/>
                      <w14:textFill>
                        <w14:solidFill>
                          <w14:schemeClr w14:val="tx1"/>
                        </w14:solidFill>
                      </w14:textFill>
                    </w:rPr>
                  </w:pPr>
                </w:p>
              </w:tc>
              <w:tc>
                <w:tcPr>
                  <w:tcW w:w="4430" w:type="dxa"/>
                  <w:vAlign w:val="center"/>
                </w:tcPr>
                <w:p w14:paraId="5C9A024C">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水上娱乐区占地面积490000m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w:t>
                  </w:r>
                </w:p>
              </w:tc>
              <w:tc>
                <w:tcPr>
                  <w:tcW w:w="1102" w:type="dxa"/>
                  <w:vAlign w:val="center"/>
                </w:tcPr>
                <w:p w14:paraId="61EF27C9">
                  <w:pPr>
                    <w:pStyle w:val="43"/>
                    <w:rPr>
                      <w:szCs w:val="21"/>
                    </w:rPr>
                  </w:pPr>
                  <w:r>
                    <w:rPr>
                      <w:szCs w:val="21"/>
                    </w:rPr>
                    <w:t>新建</w:t>
                  </w:r>
                </w:p>
              </w:tc>
            </w:tr>
            <w:tr w14:paraId="671B7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198AFB9C">
                  <w:pPr>
                    <w:pStyle w:val="43"/>
                    <w:rPr>
                      <w:color w:val="000000" w:themeColor="text1"/>
                      <w14:textFill>
                        <w14:solidFill>
                          <w14:schemeClr w14:val="tx1"/>
                        </w14:solidFill>
                      </w14:textFill>
                    </w:rPr>
                  </w:pPr>
                </w:p>
              </w:tc>
              <w:tc>
                <w:tcPr>
                  <w:tcW w:w="1011" w:type="dxa"/>
                  <w:vAlign w:val="center"/>
                </w:tcPr>
                <w:p w14:paraId="03E357D5">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漂流服务站</w:t>
                  </w:r>
                </w:p>
              </w:tc>
              <w:tc>
                <w:tcPr>
                  <w:tcW w:w="4430" w:type="dxa"/>
                  <w:vAlign w:val="center"/>
                </w:tcPr>
                <w:p w14:paraId="43AD36C8">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占地面积1000 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，建筑面积2100m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，3层建筑，高度9</w:t>
                  </w:r>
                  <w:r>
                    <w:rPr>
                      <w:color w:val="000000" w:themeColor="text1"/>
                      <w:kern w:val="0"/>
                      <w:sz w:val="18"/>
                      <w:szCs w:val="20"/>
                      <w14:textFill>
                        <w14:solidFill>
                          <w14:schemeClr w14:val="tx1"/>
                        </w14:solidFill>
                      </w14:textFill>
                    </w:rPr>
                    <w:t>m</w:t>
                  </w:r>
                  <w:r>
                    <w:rPr>
                      <w:rFonts w:hint="eastAsia"/>
                      <w:color w:val="000000" w:themeColor="text1"/>
                      <w:kern w:val="0"/>
                      <w:sz w:val="18"/>
                      <w:szCs w:val="20"/>
                      <w14:textFill>
                        <w14:solidFill>
                          <w14:schemeClr w14:val="tx1"/>
                        </w14:solidFill>
                      </w14:textFill>
                    </w:rPr>
                    <w:t>。</w:t>
                  </w:r>
                </w:p>
              </w:tc>
              <w:tc>
                <w:tcPr>
                  <w:tcW w:w="1102" w:type="dxa"/>
                  <w:vAlign w:val="center"/>
                </w:tcPr>
                <w:p w14:paraId="6CFD1915">
                  <w:pPr>
                    <w:pStyle w:val="43"/>
                    <w:rPr>
                      <w:szCs w:val="21"/>
                    </w:rPr>
                  </w:pPr>
                  <w:r>
                    <w:rPr>
                      <w:szCs w:val="21"/>
                    </w:rPr>
                    <w:t>新建</w:t>
                  </w:r>
                </w:p>
              </w:tc>
            </w:tr>
            <w:tr w14:paraId="0EFC55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09CFD29D">
                  <w:pPr>
                    <w:pStyle w:val="43"/>
                    <w:rPr>
                      <w:color w:val="000000" w:themeColor="text1"/>
                      <w14:textFill>
                        <w14:solidFill>
                          <w14:schemeClr w14:val="tx1"/>
                        </w14:solidFill>
                      </w14:textFill>
                    </w:rPr>
                  </w:pPr>
                </w:p>
              </w:tc>
              <w:tc>
                <w:tcPr>
                  <w:tcW w:w="1011" w:type="dxa"/>
                  <w:vAlign w:val="center"/>
                </w:tcPr>
                <w:p w14:paraId="04CF87F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养殖区</w:t>
                  </w:r>
                </w:p>
              </w:tc>
              <w:tc>
                <w:tcPr>
                  <w:tcW w:w="4430" w:type="dxa"/>
                  <w:vAlign w:val="center"/>
                </w:tcPr>
                <w:p w14:paraId="289FA150">
                  <w:pPr>
                    <w:rPr>
                      <w:sz w:val="28"/>
                      <w:szCs w:val="28"/>
                    </w:rPr>
                  </w:pPr>
                  <w:r>
                    <w:rPr>
                      <w:rFonts w:hint="eastAsia"/>
                      <w:color w:val="000000" w:themeColor="text1"/>
                      <w:kern w:val="0"/>
                      <w:sz w:val="18"/>
                      <w:szCs w:val="20"/>
                      <w14:textFill>
                        <w14:solidFill>
                          <w14:schemeClr w14:val="tx1"/>
                        </w14:solidFill>
                      </w14:textFill>
                    </w:rPr>
                    <w:t>占地面积172000m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，水深8m，养殖冷水鱼如虹鳟、金鳟、哲罗蛙等，养殖数量12万尾，养殖周期三年，用于观赏、食用和销售。</w:t>
                  </w:r>
                </w:p>
              </w:tc>
              <w:tc>
                <w:tcPr>
                  <w:tcW w:w="1102" w:type="dxa"/>
                  <w:vAlign w:val="center"/>
                </w:tcPr>
                <w:p w14:paraId="6A5F9301">
                  <w:pPr>
                    <w:pStyle w:val="43"/>
                    <w:rPr>
                      <w:szCs w:val="21"/>
                    </w:rPr>
                  </w:pPr>
                  <w:r>
                    <w:rPr>
                      <w:szCs w:val="21"/>
                    </w:rPr>
                    <w:t>新建</w:t>
                  </w:r>
                </w:p>
              </w:tc>
            </w:tr>
            <w:tr w14:paraId="2210F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3E4C3E88">
                  <w:pPr>
                    <w:pStyle w:val="43"/>
                    <w:rPr>
                      <w:color w:val="000000" w:themeColor="text1"/>
                      <w14:textFill>
                        <w14:solidFill>
                          <w14:schemeClr w14:val="tx1"/>
                        </w14:solidFill>
                      </w14:textFill>
                    </w:rPr>
                  </w:pPr>
                </w:p>
              </w:tc>
              <w:tc>
                <w:tcPr>
                  <w:tcW w:w="1011" w:type="dxa"/>
                  <w:vAlign w:val="center"/>
                </w:tcPr>
                <w:p w14:paraId="0E07BEED">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酒店</w:t>
                  </w:r>
                </w:p>
              </w:tc>
              <w:tc>
                <w:tcPr>
                  <w:tcW w:w="4430" w:type="dxa"/>
                  <w:vAlign w:val="center"/>
                </w:tcPr>
                <w:p w14:paraId="5A344391">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酒店总建筑面积9272.5</w:t>
                  </w:r>
                  <w:bookmarkStart w:id="11" w:name="OLE_LINK28"/>
                  <w:r>
                    <w:rPr>
                      <w:rFonts w:hint="eastAsia"/>
                      <w:color w:val="000000" w:themeColor="text1"/>
                      <w:kern w:val="0"/>
                      <w:sz w:val="18"/>
                      <w:szCs w:val="20"/>
                      <w14:textFill>
                        <w14:solidFill>
                          <w14:schemeClr w14:val="tx1"/>
                        </w14:solidFill>
                      </w14:textFill>
                    </w:rPr>
                    <w:t>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w:t>
                  </w:r>
                  <w:bookmarkEnd w:id="11"/>
                  <w:r>
                    <w:rPr>
                      <w:rFonts w:hint="eastAsia"/>
                      <w:color w:val="000000" w:themeColor="text1"/>
                      <w:kern w:val="0"/>
                      <w:sz w:val="18"/>
                      <w:szCs w:val="20"/>
                      <w14:textFill>
                        <w14:solidFill>
                          <w14:schemeClr w14:val="tx1"/>
                        </w14:solidFill>
                      </w14:textFill>
                    </w:rPr>
                    <w:t>5层建筑，高度16.5m，容纳住客220人。</w:t>
                  </w:r>
                </w:p>
              </w:tc>
              <w:tc>
                <w:tcPr>
                  <w:tcW w:w="1102" w:type="dxa"/>
                  <w:vAlign w:val="center"/>
                </w:tcPr>
                <w:p w14:paraId="20A0CD92">
                  <w:pPr>
                    <w:pStyle w:val="43"/>
                    <w:rPr>
                      <w:szCs w:val="21"/>
                    </w:rPr>
                  </w:pPr>
                  <w:r>
                    <w:rPr>
                      <w:szCs w:val="21"/>
                    </w:rPr>
                    <w:t>新建</w:t>
                  </w:r>
                </w:p>
              </w:tc>
            </w:tr>
            <w:tr w14:paraId="405C9F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12D0682F">
                  <w:pPr>
                    <w:pStyle w:val="43"/>
                    <w:rPr>
                      <w:color w:val="000000" w:themeColor="text1"/>
                      <w14:textFill>
                        <w14:solidFill>
                          <w14:schemeClr w14:val="tx1"/>
                        </w14:solidFill>
                      </w14:textFill>
                    </w:rPr>
                  </w:pPr>
                </w:p>
              </w:tc>
              <w:tc>
                <w:tcPr>
                  <w:tcW w:w="1011" w:type="dxa"/>
                  <w:vAlign w:val="center"/>
                </w:tcPr>
                <w:p w14:paraId="60398CC4">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药田</w:t>
                  </w:r>
                </w:p>
              </w:tc>
              <w:tc>
                <w:tcPr>
                  <w:tcW w:w="4430" w:type="dxa"/>
                  <w:vAlign w:val="center"/>
                </w:tcPr>
                <w:p w14:paraId="1ADA362A">
                  <w:pPr>
                    <w:rPr>
                      <w:color w:val="000000" w:themeColor="text1"/>
                      <w:kern w:val="0"/>
                      <w:sz w:val="18"/>
                      <w:szCs w:val="20"/>
                      <w14:textFill>
                        <w14:solidFill>
                          <w14:schemeClr w14:val="tx1"/>
                        </w14:solidFill>
                      </w14:textFill>
                    </w:rPr>
                  </w:pPr>
                  <w:bookmarkStart w:id="12" w:name="OLE_LINK27"/>
                  <w:r>
                    <w:rPr>
                      <w:rFonts w:hint="eastAsia"/>
                      <w:color w:val="000000" w:themeColor="text1"/>
                      <w:kern w:val="0"/>
                      <w:sz w:val="18"/>
                      <w:szCs w:val="20"/>
                      <w14:textFill>
                        <w14:solidFill>
                          <w14:schemeClr w14:val="tx1"/>
                        </w14:solidFill>
                      </w14:textFill>
                    </w:rPr>
                    <w:t>占地面积</w:t>
                  </w:r>
                  <w:r>
                    <w:rPr>
                      <w:color w:val="000000" w:themeColor="text1"/>
                      <w:kern w:val="0"/>
                      <w:sz w:val="18"/>
                      <w:szCs w:val="20"/>
                      <w14:textFill>
                        <w14:solidFill>
                          <w14:schemeClr w14:val="tx1"/>
                        </w14:solidFill>
                      </w14:textFill>
                    </w:rPr>
                    <w:t>533336</w:t>
                  </w:r>
                  <w:r>
                    <w:rPr>
                      <w:rFonts w:hint="eastAsia"/>
                      <w:color w:val="000000" w:themeColor="text1"/>
                      <w:kern w:val="0"/>
                      <w:sz w:val="18"/>
                      <w:szCs w:val="20"/>
                      <w14:textFill>
                        <w14:solidFill>
                          <w14:schemeClr w14:val="tx1"/>
                        </w14:solidFill>
                      </w14:textFill>
                    </w:rPr>
                    <w:t>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，种植800亩</w:t>
                  </w:r>
                  <w:bookmarkEnd w:id="12"/>
                  <w:r>
                    <w:rPr>
                      <w:rFonts w:hint="eastAsia"/>
                      <w:color w:val="000000" w:themeColor="text1"/>
                      <w:kern w:val="0"/>
                      <w:sz w:val="18"/>
                      <w:szCs w:val="20"/>
                      <w14:textFill>
                        <w14:solidFill>
                          <w14:schemeClr w14:val="tx1"/>
                        </w14:solidFill>
                      </w14:textFill>
                    </w:rPr>
                    <w:t>,主要种植刺五加、人参、白芍、三七等，种植周期一年，产量销售30吨。</w:t>
                  </w:r>
                </w:p>
              </w:tc>
              <w:tc>
                <w:tcPr>
                  <w:tcW w:w="1102" w:type="dxa"/>
                  <w:vAlign w:val="center"/>
                </w:tcPr>
                <w:p w14:paraId="638CB83E">
                  <w:pPr>
                    <w:pStyle w:val="43"/>
                    <w:rPr>
                      <w:szCs w:val="21"/>
                    </w:rPr>
                  </w:pPr>
                  <w:r>
                    <w:rPr>
                      <w:szCs w:val="21"/>
                    </w:rPr>
                    <w:t>新建</w:t>
                  </w:r>
                </w:p>
              </w:tc>
            </w:tr>
            <w:tr w14:paraId="5D144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2B69B9E4">
                  <w:pPr>
                    <w:pStyle w:val="43"/>
                    <w:rPr>
                      <w:color w:val="000000" w:themeColor="text1"/>
                      <w14:textFill>
                        <w14:solidFill>
                          <w14:schemeClr w14:val="tx1"/>
                        </w14:solidFill>
                      </w14:textFill>
                    </w:rPr>
                  </w:pPr>
                </w:p>
              </w:tc>
              <w:tc>
                <w:tcPr>
                  <w:tcW w:w="1011" w:type="dxa"/>
                  <w:vAlign w:val="center"/>
                </w:tcPr>
                <w:p w14:paraId="120D219E">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农田</w:t>
                  </w:r>
                </w:p>
              </w:tc>
              <w:tc>
                <w:tcPr>
                  <w:tcW w:w="4430" w:type="dxa"/>
                  <w:vAlign w:val="center"/>
                </w:tcPr>
                <w:p w14:paraId="1CCF704F">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w:t>
                  </w:r>
                  <w:r>
                    <w:rPr>
                      <w:color w:val="000000" w:themeColor="text1"/>
                      <w:kern w:val="0"/>
                      <w:sz w:val="18"/>
                      <w:szCs w:val="20"/>
                      <w14:textFill>
                        <w14:solidFill>
                          <w14:schemeClr w14:val="tx1"/>
                        </w14:solidFill>
                      </w14:textFill>
                    </w:rPr>
                    <w:t>800004</w:t>
                  </w:r>
                  <w:bookmarkStart w:id="13" w:name="OLE_LINK30"/>
                  <w:r>
                    <w:rPr>
                      <w:rFonts w:hint="eastAsia"/>
                      <w:color w:val="000000" w:themeColor="text1"/>
                      <w:kern w:val="0"/>
                      <w:sz w:val="18"/>
                      <w:szCs w:val="20"/>
                      <w14:textFill>
                        <w14:solidFill>
                          <w14:schemeClr w14:val="tx1"/>
                        </w14:solidFill>
                      </w14:textFill>
                    </w:rPr>
                    <w:t>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w:t>
                  </w:r>
                  <w:bookmarkEnd w:id="13"/>
                  <w:r>
                    <w:rPr>
                      <w:color w:val="000000" w:themeColor="text1"/>
                      <w:kern w:val="0"/>
                      <w:sz w:val="18"/>
                      <w:szCs w:val="20"/>
                      <w14:textFill>
                        <w14:solidFill>
                          <w14:schemeClr w14:val="tx1"/>
                        </w14:solidFill>
                      </w14:textFill>
                    </w:rPr>
                    <w:t xml:space="preserve"> </w:t>
                  </w:r>
                  <w:r>
                    <w:rPr>
                      <w:rFonts w:hint="eastAsia"/>
                      <w:color w:val="000000" w:themeColor="text1"/>
                      <w:kern w:val="0"/>
                      <w:sz w:val="18"/>
                      <w:szCs w:val="20"/>
                      <w14:textFill>
                        <w14:solidFill>
                          <w14:schemeClr w14:val="tx1"/>
                        </w14:solidFill>
                      </w14:textFill>
                    </w:rPr>
                    <w:t>种植面积</w:t>
                  </w:r>
                  <w:bookmarkStart w:id="14" w:name="OLE_LINK29"/>
                  <w:r>
                    <w:rPr>
                      <w:rFonts w:hint="eastAsia"/>
                      <w:color w:val="000000" w:themeColor="text1"/>
                      <w:kern w:val="0"/>
                      <w:sz w:val="18"/>
                      <w:szCs w:val="20"/>
                      <w14:textFill>
                        <w14:solidFill>
                          <w14:schemeClr w14:val="tx1"/>
                        </w14:solidFill>
                      </w14:textFill>
                    </w:rPr>
                    <w:t>1200亩</w:t>
                  </w:r>
                  <w:bookmarkEnd w:id="14"/>
                  <w:r>
                    <w:rPr>
                      <w:rFonts w:hint="eastAsia"/>
                      <w:color w:val="000000" w:themeColor="text1"/>
                      <w:kern w:val="0"/>
                      <w:sz w:val="18"/>
                      <w:szCs w:val="20"/>
                      <w14:textFill>
                        <w14:solidFill>
                          <w14:schemeClr w14:val="tx1"/>
                        </w14:solidFill>
                      </w14:textFill>
                    </w:rPr>
                    <w:t>，种植黄豆、玉米、蔬菜等，种植周期4个月，产量100吨，部分销售、部分餐饮自用。</w:t>
                  </w:r>
                </w:p>
              </w:tc>
              <w:tc>
                <w:tcPr>
                  <w:tcW w:w="1102" w:type="dxa"/>
                  <w:vAlign w:val="center"/>
                </w:tcPr>
                <w:p w14:paraId="113F888C">
                  <w:pPr>
                    <w:pStyle w:val="43"/>
                    <w:rPr>
                      <w:szCs w:val="21"/>
                    </w:rPr>
                  </w:pPr>
                  <w:r>
                    <w:rPr>
                      <w:szCs w:val="21"/>
                    </w:rPr>
                    <w:t>新建</w:t>
                  </w:r>
                </w:p>
              </w:tc>
            </w:tr>
            <w:tr w14:paraId="6DCC05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27D12110">
                  <w:pPr>
                    <w:pStyle w:val="43"/>
                    <w:rPr>
                      <w:color w:val="000000" w:themeColor="text1"/>
                      <w14:textFill>
                        <w14:solidFill>
                          <w14:schemeClr w14:val="tx1"/>
                        </w14:solidFill>
                      </w14:textFill>
                    </w:rPr>
                  </w:pPr>
                </w:p>
              </w:tc>
              <w:tc>
                <w:tcPr>
                  <w:tcW w:w="1011" w:type="dxa"/>
                  <w:vAlign w:val="center"/>
                </w:tcPr>
                <w:p w14:paraId="1CEE2AD2">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会议中心</w:t>
                  </w:r>
                </w:p>
              </w:tc>
              <w:tc>
                <w:tcPr>
                  <w:tcW w:w="4430" w:type="dxa"/>
                  <w:vAlign w:val="center"/>
                </w:tcPr>
                <w:p w14:paraId="77ED831E">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占地面积3500m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，总建筑面积2472.65m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，1层建筑，高度4.5m，可容纳800人。</w:t>
                  </w:r>
                </w:p>
              </w:tc>
              <w:tc>
                <w:tcPr>
                  <w:tcW w:w="1102" w:type="dxa"/>
                  <w:vAlign w:val="center"/>
                </w:tcPr>
                <w:p w14:paraId="5FE9B91F">
                  <w:pPr>
                    <w:pStyle w:val="43"/>
                    <w:rPr>
                      <w:szCs w:val="21"/>
                    </w:rPr>
                  </w:pPr>
                  <w:r>
                    <w:rPr>
                      <w:szCs w:val="21"/>
                    </w:rPr>
                    <w:t>新建</w:t>
                  </w:r>
                </w:p>
              </w:tc>
            </w:tr>
            <w:tr w14:paraId="6AA66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37465B2D">
                  <w:pPr>
                    <w:pStyle w:val="43"/>
                    <w:rPr>
                      <w:color w:val="000000" w:themeColor="text1"/>
                      <w14:textFill>
                        <w14:solidFill>
                          <w14:schemeClr w14:val="tx1"/>
                        </w14:solidFill>
                      </w14:textFill>
                    </w:rPr>
                  </w:pPr>
                </w:p>
              </w:tc>
              <w:tc>
                <w:tcPr>
                  <w:tcW w:w="1011" w:type="dxa"/>
                  <w:vAlign w:val="center"/>
                </w:tcPr>
                <w:p w14:paraId="2124A398">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生态餐厅</w:t>
                  </w:r>
                </w:p>
              </w:tc>
              <w:tc>
                <w:tcPr>
                  <w:tcW w:w="4430" w:type="dxa"/>
                  <w:vAlign w:val="center"/>
                </w:tcPr>
                <w:p w14:paraId="15A4B452">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占地面积21291.24 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，建筑面积7621.32m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w:t>
                  </w:r>
                  <w:bookmarkStart w:id="15" w:name="OLE_LINK31"/>
                  <w:r>
                    <w:rPr>
                      <w:rFonts w:hint="eastAsia"/>
                      <w:color w:val="000000" w:themeColor="text1"/>
                      <w:kern w:val="0"/>
                      <w:sz w:val="18"/>
                      <w:szCs w:val="20"/>
                      <w14:textFill>
                        <w14:solidFill>
                          <w14:schemeClr w14:val="tx1"/>
                        </w14:solidFill>
                      </w14:textFill>
                    </w:rPr>
                    <w:t xml:space="preserve"> 1层建筑，</w:t>
                  </w:r>
                  <w:bookmarkEnd w:id="15"/>
                  <w:r>
                    <w:rPr>
                      <w:rFonts w:hint="eastAsia"/>
                      <w:color w:val="000000" w:themeColor="text1"/>
                      <w:kern w:val="0"/>
                      <w:sz w:val="18"/>
                      <w:szCs w:val="20"/>
                      <w14:textFill>
                        <w14:solidFill>
                          <w14:schemeClr w14:val="tx1"/>
                        </w14:solidFill>
                      </w14:textFill>
                    </w:rPr>
                    <w:t>高度4.5</w:t>
                  </w:r>
                  <w:r>
                    <w:rPr>
                      <w:color w:val="000000" w:themeColor="text1"/>
                      <w:kern w:val="0"/>
                      <w:sz w:val="18"/>
                      <w:szCs w:val="20"/>
                      <w14:textFill>
                        <w14:solidFill>
                          <w14:schemeClr w14:val="tx1"/>
                        </w14:solidFill>
                      </w14:textFill>
                    </w:rPr>
                    <w:t>m</w:t>
                  </w:r>
                  <w:r>
                    <w:rPr>
                      <w:rFonts w:hint="eastAsia"/>
                      <w:color w:val="000000" w:themeColor="text1"/>
                      <w:kern w:val="0"/>
                      <w:sz w:val="18"/>
                      <w:szCs w:val="20"/>
                      <w14:textFill>
                        <w14:solidFill>
                          <w14:schemeClr w14:val="tx1"/>
                        </w14:solidFill>
                      </w14:textFill>
                    </w:rPr>
                    <w:t>，设置6个灶头，可容纳500人就餐，设置油水分离器和油烟净化器，单独的烟道。</w:t>
                  </w:r>
                </w:p>
              </w:tc>
              <w:tc>
                <w:tcPr>
                  <w:tcW w:w="1102" w:type="dxa"/>
                  <w:vAlign w:val="center"/>
                </w:tcPr>
                <w:p w14:paraId="6D31D18B">
                  <w:pPr>
                    <w:pStyle w:val="43"/>
                    <w:rPr>
                      <w:szCs w:val="21"/>
                    </w:rPr>
                  </w:pPr>
                  <w:r>
                    <w:rPr>
                      <w:szCs w:val="21"/>
                    </w:rPr>
                    <w:t>新建</w:t>
                  </w:r>
                </w:p>
              </w:tc>
            </w:tr>
            <w:tr w14:paraId="12DF7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1CF190AF">
                  <w:pPr>
                    <w:pStyle w:val="43"/>
                    <w:rPr>
                      <w:color w:val="000000" w:themeColor="text1"/>
                      <w14:textFill>
                        <w14:solidFill>
                          <w14:schemeClr w14:val="tx1"/>
                        </w14:solidFill>
                      </w14:textFill>
                    </w:rPr>
                  </w:pPr>
                </w:p>
              </w:tc>
              <w:tc>
                <w:tcPr>
                  <w:tcW w:w="1011" w:type="dxa"/>
                  <w:vAlign w:val="center"/>
                </w:tcPr>
                <w:p w14:paraId="7A484032">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大棚</w:t>
                  </w:r>
                </w:p>
              </w:tc>
              <w:tc>
                <w:tcPr>
                  <w:tcW w:w="4430" w:type="dxa"/>
                  <w:vAlign w:val="center"/>
                </w:tcPr>
                <w:p w14:paraId="40D3A7F7">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占地面积1500m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，设置15栋，种植各种瓜类及水果，供游客观赏和食用。</w:t>
                  </w:r>
                </w:p>
              </w:tc>
              <w:tc>
                <w:tcPr>
                  <w:tcW w:w="1102" w:type="dxa"/>
                  <w:vAlign w:val="center"/>
                </w:tcPr>
                <w:p w14:paraId="6E8D3F2F">
                  <w:pPr>
                    <w:pStyle w:val="43"/>
                    <w:rPr>
                      <w:szCs w:val="21"/>
                    </w:rPr>
                  </w:pPr>
                  <w:r>
                    <w:rPr>
                      <w:szCs w:val="21"/>
                    </w:rPr>
                    <w:t>新建</w:t>
                  </w:r>
                </w:p>
              </w:tc>
            </w:tr>
            <w:tr w14:paraId="7F602C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4D266D5E">
                  <w:pPr>
                    <w:pStyle w:val="43"/>
                    <w:rPr>
                      <w:color w:val="000000" w:themeColor="text1"/>
                      <w14:textFill>
                        <w14:solidFill>
                          <w14:schemeClr w14:val="tx1"/>
                        </w14:solidFill>
                      </w14:textFill>
                    </w:rPr>
                  </w:pPr>
                </w:p>
              </w:tc>
              <w:tc>
                <w:tcPr>
                  <w:tcW w:w="1011" w:type="dxa"/>
                  <w:vAlign w:val="center"/>
                </w:tcPr>
                <w:p w14:paraId="563E8624">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鱼宴水榭</w:t>
                  </w:r>
                </w:p>
              </w:tc>
              <w:tc>
                <w:tcPr>
                  <w:tcW w:w="4430" w:type="dxa"/>
                  <w:vAlign w:val="center"/>
                </w:tcPr>
                <w:p w14:paraId="37ACE87F">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占地面积800m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，建筑面积600 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，1层建筑，高度4</w:t>
                  </w:r>
                  <w:r>
                    <w:rPr>
                      <w:color w:val="000000" w:themeColor="text1"/>
                      <w:kern w:val="0"/>
                      <w:sz w:val="18"/>
                      <w:szCs w:val="20"/>
                      <w14:textFill>
                        <w14:solidFill>
                          <w14:schemeClr w14:val="tx1"/>
                        </w14:solidFill>
                      </w14:textFill>
                    </w:rPr>
                    <w:t>m</w:t>
                  </w:r>
                  <w:r>
                    <w:rPr>
                      <w:rFonts w:hint="eastAsia"/>
                      <w:color w:val="000000" w:themeColor="text1"/>
                      <w:kern w:val="0"/>
                      <w:sz w:val="18"/>
                      <w:szCs w:val="20"/>
                      <w14:textFill>
                        <w14:solidFill>
                          <w14:schemeClr w14:val="tx1"/>
                        </w14:solidFill>
                      </w14:textFill>
                    </w:rPr>
                    <w:t>，供游客食用和观赏。</w:t>
                  </w:r>
                </w:p>
              </w:tc>
              <w:tc>
                <w:tcPr>
                  <w:tcW w:w="1102" w:type="dxa"/>
                  <w:vAlign w:val="center"/>
                </w:tcPr>
                <w:p w14:paraId="008A8A32">
                  <w:pPr>
                    <w:pStyle w:val="43"/>
                    <w:rPr>
                      <w:szCs w:val="21"/>
                    </w:rPr>
                  </w:pPr>
                  <w:r>
                    <w:rPr>
                      <w:szCs w:val="21"/>
                    </w:rPr>
                    <w:t>新建</w:t>
                  </w:r>
                </w:p>
              </w:tc>
            </w:tr>
            <w:tr w14:paraId="3CDBE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06716EA7">
                  <w:pPr>
                    <w:pStyle w:val="43"/>
                    <w:rPr>
                      <w:color w:val="000000" w:themeColor="text1"/>
                      <w14:textFill>
                        <w14:solidFill>
                          <w14:schemeClr w14:val="tx1"/>
                        </w14:solidFill>
                      </w14:textFill>
                    </w:rPr>
                  </w:pPr>
                </w:p>
              </w:tc>
              <w:tc>
                <w:tcPr>
                  <w:tcW w:w="1011" w:type="dxa"/>
                  <w:vAlign w:val="center"/>
                </w:tcPr>
                <w:p w14:paraId="48AEAB93">
                  <w:pPr>
                    <w:jc w:val="cente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锅炉房</w:t>
                  </w:r>
                </w:p>
              </w:tc>
              <w:tc>
                <w:tcPr>
                  <w:tcW w:w="4430" w:type="dxa"/>
                  <w:vAlign w:val="center"/>
                </w:tcPr>
                <w:p w14:paraId="6FF8F500">
                  <w:pPr>
                    <w:rPr>
                      <w:color w:val="000000" w:themeColor="text1"/>
                      <w:kern w:val="0"/>
                      <w:sz w:val="18"/>
                      <w:szCs w:val="20"/>
                      <w14:textFill>
                        <w14:solidFill>
                          <w14:schemeClr w14:val="tx1"/>
                        </w14:solidFill>
                      </w14:textFill>
                    </w:rPr>
                  </w:pPr>
                  <w:r>
                    <w:rPr>
                      <w:rFonts w:hint="eastAsia"/>
                      <w:color w:val="000000" w:themeColor="text1"/>
                      <w:kern w:val="0"/>
                      <w:sz w:val="18"/>
                      <w:szCs w:val="20"/>
                      <w14:textFill>
                        <w14:solidFill>
                          <w14:schemeClr w14:val="tx1"/>
                        </w14:solidFill>
                      </w14:textFill>
                    </w:rPr>
                    <w:t>建筑面积50m</w:t>
                  </w:r>
                  <w:r>
                    <w:rPr>
                      <w:rFonts w:hint="eastAsia"/>
                      <w:color w:val="000000" w:themeColor="text1"/>
                      <w:kern w:val="0"/>
                      <w:sz w:val="18"/>
                      <w:szCs w:val="20"/>
                      <w:vertAlign w:val="superscript"/>
                      <w14:textFill>
                        <w14:solidFill>
                          <w14:schemeClr w14:val="tx1"/>
                        </w14:solidFill>
                      </w14:textFill>
                    </w:rPr>
                    <w:t>2</w:t>
                  </w:r>
                  <w:r>
                    <w:rPr>
                      <w:rFonts w:hint="eastAsia"/>
                      <w:color w:val="000000" w:themeColor="text1"/>
                      <w:kern w:val="0"/>
                      <w:sz w:val="18"/>
                      <w:szCs w:val="20"/>
                      <w14:textFill>
                        <w14:solidFill>
                          <w14:schemeClr w14:val="tx1"/>
                        </w14:solidFill>
                      </w14:textFill>
                    </w:rPr>
                    <w:t>，</w:t>
                  </w:r>
                  <w:r>
                    <w:rPr>
                      <w:color w:val="000000" w:themeColor="text1"/>
                      <w:kern w:val="0"/>
                      <w:sz w:val="18"/>
                      <w:szCs w:val="20"/>
                      <w14:textFill>
                        <w14:solidFill>
                          <w14:schemeClr w14:val="tx1"/>
                        </w14:solidFill>
                      </w14:textFill>
                    </w:rPr>
                    <w:t>新建</w:t>
                  </w:r>
                  <w:r>
                    <w:rPr>
                      <w:rFonts w:hint="eastAsia"/>
                      <w:color w:val="000000" w:themeColor="text1"/>
                      <w:kern w:val="0"/>
                      <w:sz w:val="18"/>
                      <w:szCs w:val="20"/>
                      <w14:textFill>
                        <w14:solidFill>
                          <w14:schemeClr w14:val="tx1"/>
                        </w14:solidFill>
                      </w14:textFill>
                    </w:rPr>
                    <w:t>1</w:t>
                  </w:r>
                  <w:r>
                    <w:rPr>
                      <w:color w:val="000000" w:themeColor="text1"/>
                      <w:kern w:val="0"/>
                      <w:sz w:val="18"/>
                      <w:szCs w:val="20"/>
                      <w14:textFill>
                        <w14:solidFill>
                          <w14:schemeClr w14:val="tx1"/>
                        </w14:solidFill>
                      </w14:textFill>
                    </w:rPr>
                    <w:t>台</w:t>
                  </w:r>
                  <w:r>
                    <w:rPr>
                      <w:rFonts w:hint="eastAsia"/>
                      <w:color w:val="000000" w:themeColor="text1"/>
                      <w:kern w:val="0"/>
                      <w:sz w:val="18"/>
                      <w:szCs w:val="20"/>
                      <w14:textFill>
                        <w14:solidFill>
                          <w14:schemeClr w14:val="tx1"/>
                        </w14:solidFill>
                      </w14:textFill>
                    </w:rPr>
                    <w:t>3.</w:t>
                  </w:r>
                  <w:r>
                    <w:rPr>
                      <w:color w:val="000000" w:themeColor="text1"/>
                      <w:kern w:val="0"/>
                      <w:sz w:val="18"/>
                      <w:szCs w:val="20"/>
                      <w14:textFill>
                        <w14:solidFill>
                          <w14:schemeClr w14:val="tx1"/>
                        </w14:solidFill>
                      </w14:textFill>
                    </w:rPr>
                    <w:t>5MW的燃生物质热水锅炉用于</w:t>
                  </w:r>
                  <w:r>
                    <w:rPr>
                      <w:rFonts w:hint="eastAsia"/>
                      <w:color w:val="000000" w:themeColor="text1"/>
                      <w:kern w:val="0"/>
                      <w:sz w:val="18"/>
                      <w:szCs w:val="20"/>
                      <w14:textFill>
                        <w14:solidFill>
                          <w14:schemeClr w14:val="tx1"/>
                        </w14:solidFill>
                      </w14:textFill>
                    </w:rPr>
                    <w:t>度假村</w:t>
                  </w:r>
                  <w:r>
                    <w:rPr>
                      <w:color w:val="000000" w:themeColor="text1"/>
                      <w:kern w:val="0"/>
                      <w:sz w:val="18"/>
                      <w:szCs w:val="20"/>
                      <w14:textFill>
                        <w14:solidFill>
                          <w14:schemeClr w14:val="tx1"/>
                        </w14:solidFill>
                      </w14:textFill>
                    </w:rPr>
                    <w:t>生活供暖，锅炉配备多管旋风+布袋除尘器+低氮燃烧器，锅炉烟气通过一根3</w:t>
                  </w:r>
                  <w:r>
                    <w:rPr>
                      <w:rFonts w:hint="eastAsia"/>
                      <w:color w:val="000000" w:themeColor="text1"/>
                      <w:kern w:val="0"/>
                      <w:sz w:val="18"/>
                      <w:szCs w:val="20"/>
                      <w14:textFill>
                        <w14:solidFill>
                          <w14:schemeClr w14:val="tx1"/>
                        </w14:solidFill>
                      </w14:textFill>
                    </w:rPr>
                    <w:t>5</w:t>
                  </w:r>
                  <w:r>
                    <w:rPr>
                      <w:color w:val="000000" w:themeColor="text1"/>
                      <w:kern w:val="0"/>
                      <w:sz w:val="18"/>
                      <w:szCs w:val="20"/>
                      <w14:textFill>
                        <w14:solidFill>
                          <w14:schemeClr w14:val="tx1"/>
                        </w14:solidFill>
                      </w14:textFill>
                    </w:rPr>
                    <w:t>m高烟囱高空排放。</w:t>
                  </w:r>
                </w:p>
              </w:tc>
              <w:tc>
                <w:tcPr>
                  <w:tcW w:w="1102" w:type="dxa"/>
                  <w:vAlign w:val="center"/>
                </w:tcPr>
                <w:p w14:paraId="1C63A101">
                  <w:pPr>
                    <w:pStyle w:val="43"/>
                    <w:rPr>
                      <w:szCs w:val="21"/>
                    </w:rPr>
                  </w:pPr>
                  <w:r>
                    <w:rPr>
                      <w:szCs w:val="21"/>
                    </w:rPr>
                    <w:t>新建</w:t>
                  </w:r>
                </w:p>
              </w:tc>
            </w:tr>
            <w:tr w14:paraId="474E7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Align w:val="center"/>
                </w:tcPr>
                <w:p w14:paraId="7933DF0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辅助工程</w:t>
                  </w:r>
                </w:p>
              </w:tc>
              <w:tc>
                <w:tcPr>
                  <w:tcW w:w="1011" w:type="dxa"/>
                  <w:vAlign w:val="center"/>
                </w:tcPr>
                <w:p w14:paraId="56008B3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廊桥</w:t>
                  </w:r>
                </w:p>
              </w:tc>
              <w:tc>
                <w:tcPr>
                  <w:tcW w:w="4430" w:type="dxa"/>
                  <w:vAlign w:val="center"/>
                </w:tcPr>
                <w:p w14:paraId="6DEA0F01">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占地面积800m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1102" w:type="dxa"/>
                  <w:vAlign w:val="center"/>
                </w:tcPr>
                <w:p w14:paraId="4DCE0BA8">
                  <w:pPr>
                    <w:pStyle w:val="43"/>
                    <w:rPr>
                      <w:szCs w:val="21"/>
                    </w:rPr>
                  </w:pPr>
                  <w:r>
                    <w:rPr>
                      <w:szCs w:val="21"/>
                    </w:rPr>
                    <w:t>新建</w:t>
                  </w:r>
                </w:p>
              </w:tc>
            </w:tr>
            <w:tr w14:paraId="3FA5F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restart"/>
                  <w:vAlign w:val="center"/>
                </w:tcPr>
                <w:p w14:paraId="794FBE4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1011" w:type="dxa"/>
                  <w:vAlign w:val="center"/>
                </w:tcPr>
                <w:p w14:paraId="0343C7AC">
                  <w:pPr>
                    <w:pStyle w:val="43"/>
                    <w:rPr>
                      <w:color w:val="000000" w:themeColor="text1"/>
                      <w14:textFill>
                        <w14:solidFill>
                          <w14:schemeClr w14:val="tx1"/>
                        </w14:solidFill>
                      </w14:textFill>
                    </w:rPr>
                  </w:pPr>
                  <w:r>
                    <w:rPr>
                      <w:rFonts w:hint="eastAsia"/>
                      <w:szCs w:val="21"/>
                    </w:rPr>
                    <w:t>生物质燃料储存</w:t>
                  </w:r>
                </w:p>
              </w:tc>
              <w:tc>
                <w:tcPr>
                  <w:tcW w:w="4430" w:type="dxa"/>
                  <w:vAlign w:val="center"/>
                </w:tcPr>
                <w:p w14:paraId="5A4FBA2B">
                  <w:pPr>
                    <w:pStyle w:val="43"/>
                    <w:jc w:val="both"/>
                    <w:rPr>
                      <w:color w:val="000000" w:themeColor="text1"/>
                      <w14:textFill>
                        <w14:solidFill>
                          <w14:schemeClr w14:val="tx1"/>
                        </w14:solidFill>
                      </w14:textFill>
                    </w:rPr>
                  </w:pPr>
                  <w:r>
                    <w:rPr>
                      <w:rFonts w:hint="eastAsia"/>
                      <w:szCs w:val="21"/>
                    </w:rPr>
                    <w:t>锅炉房内设燃料暂存区，占地面积10</w:t>
                  </w:r>
                  <w:r>
                    <w:rPr>
                      <w:szCs w:val="21"/>
                    </w:rPr>
                    <w:t>m</w:t>
                  </w:r>
                  <w:r>
                    <w:rPr>
                      <w:szCs w:val="21"/>
                      <w:vertAlign w:val="superscript"/>
                    </w:rPr>
                    <w:t>2</w:t>
                  </w:r>
                  <w:r>
                    <w:rPr>
                      <w:rFonts w:hint="eastAsia"/>
                      <w:szCs w:val="21"/>
                    </w:rPr>
                    <w:t>。生物质颗粒料根据企业的锅炉运行状况有计划的采购入厂、堆存和使用。生物质颗粒燃料最大存储量为35</w:t>
                  </w:r>
                  <w:r>
                    <w:rPr>
                      <w:szCs w:val="21"/>
                    </w:rPr>
                    <w:t>t</w:t>
                  </w:r>
                  <w:r>
                    <w:rPr>
                      <w:rFonts w:hint="eastAsia"/>
                      <w:szCs w:val="21"/>
                    </w:rPr>
                    <w:t>，可满足企业3天燃料需求。</w:t>
                  </w:r>
                </w:p>
              </w:tc>
              <w:tc>
                <w:tcPr>
                  <w:tcW w:w="1102" w:type="dxa"/>
                  <w:vAlign w:val="center"/>
                </w:tcPr>
                <w:p w14:paraId="07FE7FB8">
                  <w:pPr>
                    <w:pStyle w:val="43"/>
                    <w:rPr>
                      <w:szCs w:val="21"/>
                    </w:rPr>
                  </w:pPr>
                  <w:r>
                    <w:rPr>
                      <w:szCs w:val="21"/>
                    </w:rPr>
                    <w:t>新建</w:t>
                  </w:r>
                </w:p>
              </w:tc>
            </w:tr>
            <w:tr w14:paraId="05949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5A7027BA">
                  <w:pPr>
                    <w:pStyle w:val="43"/>
                    <w:rPr>
                      <w:color w:val="000000" w:themeColor="text1"/>
                      <w14:textFill>
                        <w14:solidFill>
                          <w14:schemeClr w14:val="tx1"/>
                        </w14:solidFill>
                      </w14:textFill>
                    </w:rPr>
                  </w:pPr>
                </w:p>
              </w:tc>
              <w:tc>
                <w:tcPr>
                  <w:tcW w:w="1011" w:type="dxa"/>
                  <w:vAlign w:val="center"/>
                </w:tcPr>
                <w:p w14:paraId="1BB0FB44">
                  <w:pPr>
                    <w:pStyle w:val="43"/>
                    <w:rPr>
                      <w:color w:val="000000" w:themeColor="text1"/>
                      <w14:textFill>
                        <w14:solidFill>
                          <w14:schemeClr w14:val="tx1"/>
                        </w14:solidFill>
                      </w14:textFill>
                    </w:rPr>
                  </w:pPr>
                  <w:r>
                    <w:rPr>
                      <w:rFonts w:hint="eastAsia"/>
                      <w:szCs w:val="21"/>
                    </w:rPr>
                    <w:t>灰渣暂存区</w:t>
                  </w:r>
                </w:p>
              </w:tc>
              <w:tc>
                <w:tcPr>
                  <w:tcW w:w="4430" w:type="dxa"/>
                  <w:vAlign w:val="center"/>
                </w:tcPr>
                <w:p w14:paraId="6FA41A5F">
                  <w:pPr>
                    <w:rPr>
                      <w:kern w:val="0"/>
                      <w:sz w:val="18"/>
                      <w:szCs w:val="18"/>
                    </w:rPr>
                  </w:pPr>
                  <w:r>
                    <w:rPr>
                      <w:rFonts w:hint="eastAsia"/>
                      <w:kern w:val="0"/>
                      <w:sz w:val="18"/>
                      <w:szCs w:val="18"/>
                    </w:rPr>
                    <w:t>利用锅炉房内的闲置空间，占地</w:t>
                  </w:r>
                  <w:r>
                    <w:rPr>
                      <w:rFonts w:hint="eastAsia"/>
                      <w:sz w:val="18"/>
                      <w:szCs w:val="18"/>
                    </w:rPr>
                    <w:t>面积10</w:t>
                  </w:r>
                  <w:r>
                    <w:rPr>
                      <w:sz w:val="18"/>
                      <w:szCs w:val="18"/>
                    </w:rPr>
                    <w:t>m</w:t>
                  </w:r>
                  <w:r>
                    <w:rPr>
                      <w:sz w:val="18"/>
                      <w:szCs w:val="18"/>
                      <w:vertAlign w:val="superscript"/>
                    </w:rPr>
                    <w:t>2</w:t>
                  </w:r>
                  <w:r>
                    <w:rPr>
                      <w:rFonts w:hint="eastAsia"/>
                      <w:kern w:val="0"/>
                      <w:sz w:val="18"/>
                      <w:szCs w:val="18"/>
                    </w:rPr>
                    <w:t>。锅炉灰渣产生后暂存于锅炉房内，表面采取洒水降尘措施，避免二次扬尘产生。布袋除尘器收尘则利用袋装收集，避免扬尘产生。灰渣和收尘日产日清，外售综合利用。</w:t>
                  </w:r>
                </w:p>
              </w:tc>
              <w:tc>
                <w:tcPr>
                  <w:tcW w:w="1102" w:type="dxa"/>
                  <w:vAlign w:val="center"/>
                </w:tcPr>
                <w:p w14:paraId="60F22698">
                  <w:pPr>
                    <w:pStyle w:val="43"/>
                    <w:rPr>
                      <w:szCs w:val="21"/>
                    </w:rPr>
                  </w:pPr>
                  <w:r>
                    <w:rPr>
                      <w:szCs w:val="21"/>
                    </w:rPr>
                    <w:t>新建</w:t>
                  </w:r>
                </w:p>
              </w:tc>
            </w:tr>
            <w:tr w14:paraId="256EA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restart"/>
                  <w:vAlign w:val="center"/>
                </w:tcPr>
                <w:p w14:paraId="28727A8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公用工程</w:t>
                  </w:r>
                </w:p>
              </w:tc>
              <w:tc>
                <w:tcPr>
                  <w:tcW w:w="1011" w:type="dxa"/>
                  <w:vAlign w:val="center"/>
                </w:tcPr>
                <w:p w14:paraId="4AD382A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供水</w:t>
                  </w:r>
                </w:p>
              </w:tc>
              <w:tc>
                <w:tcPr>
                  <w:tcW w:w="4430" w:type="dxa"/>
                  <w:vAlign w:val="center"/>
                </w:tcPr>
                <w:p w14:paraId="2F492DCB">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施工期和运营期用水水源为水井。</w:t>
                  </w:r>
                </w:p>
              </w:tc>
              <w:tc>
                <w:tcPr>
                  <w:tcW w:w="1102" w:type="dxa"/>
                  <w:vAlign w:val="center"/>
                </w:tcPr>
                <w:p w14:paraId="01FA02C2">
                  <w:pPr>
                    <w:pStyle w:val="43"/>
                    <w:rPr>
                      <w:szCs w:val="21"/>
                    </w:rPr>
                  </w:pPr>
                  <w:r>
                    <w:rPr>
                      <w:szCs w:val="21"/>
                    </w:rPr>
                    <w:t>新建</w:t>
                  </w:r>
                </w:p>
              </w:tc>
            </w:tr>
            <w:tr w14:paraId="288C2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208D093E">
                  <w:pPr>
                    <w:pStyle w:val="43"/>
                    <w:rPr>
                      <w:color w:val="000000" w:themeColor="text1"/>
                      <w14:textFill>
                        <w14:solidFill>
                          <w14:schemeClr w14:val="tx1"/>
                        </w14:solidFill>
                      </w14:textFill>
                    </w:rPr>
                  </w:pPr>
                </w:p>
              </w:tc>
              <w:tc>
                <w:tcPr>
                  <w:tcW w:w="1011" w:type="dxa"/>
                  <w:vAlign w:val="center"/>
                </w:tcPr>
                <w:p w14:paraId="5DA8591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排水</w:t>
                  </w:r>
                </w:p>
              </w:tc>
              <w:tc>
                <w:tcPr>
                  <w:tcW w:w="4430" w:type="dxa"/>
                  <w:vAlign w:val="center"/>
                </w:tcPr>
                <w:p w14:paraId="1C84ABDA">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生活污水集中排入自建的临时防渗旱厕，定期清掏；</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废水经</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隔油池、</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沉淀池处理后回用于临时道路、施工场地洒水降尘；</w:t>
                  </w:r>
                  <w:r>
                    <w:rPr>
                      <w:rFonts w:hint="eastAsia"/>
                      <w:color w:val="000000" w:themeColor="text1"/>
                      <w14:textFill>
                        <w14:solidFill>
                          <w14:schemeClr w14:val="tx1"/>
                        </w14:solidFill>
                      </w14:textFill>
                    </w:rPr>
                    <w:t>沉淀池和防渗旱厕施工结束后拆除。</w:t>
                  </w:r>
                </w:p>
                <w:p w14:paraId="1E6F2286">
                  <w:pPr>
                    <w:pStyle w:val="43"/>
                    <w:jc w:val="both"/>
                    <w:rPr>
                      <w:color w:val="000000" w:themeColor="text1"/>
                      <w14:textFill>
                        <w14:solidFill>
                          <w14:schemeClr w14:val="tx1"/>
                        </w14:solidFill>
                      </w14:textFill>
                    </w:rPr>
                  </w:pPr>
                  <w:r>
                    <w:rPr>
                      <w:rFonts w:hint="eastAsia"/>
                      <w:szCs w:val="21"/>
                    </w:rPr>
                    <w:t>运营期</w:t>
                  </w:r>
                  <w:r>
                    <w:rPr>
                      <w:szCs w:val="21"/>
                    </w:rPr>
                    <w:t>锅炉排污水和软化处理废水用于锅炉除渣、除灰和锅炉间地面洒水降尘，不外排。</w:t>
                  </w:r>
                  <w:bookmarkStart w:id="16" w:name="OLE_LINK15"/>
                  <w:r>
                    <w:rPr>
                      <w:rFonts w:hint="eastAsia"/>
                      <w:szCs w:val="21"/>
                    </w:rPr>
                    <w:t>生活污水（餐饮废水经隔油池预处理）排放浓度满足</w:t>
                  </w:r>
                  <w:r>
                    <w:rPr>
                      <w:szCs w:val="21"/>
                    </w:rPr>
                    <w:t>《污水综合排放标准》（GB8978-1996）表4中三级标准</w:t>
                  </w:r>
                  <w:r>
                    <w:rPr>
                      <w:rFonts w:hint="eastAsia"/>
                      <w:szCs w:val="21"/>
                    </w:rPr>
                    <w:t>后拉运至进入伊春市中心城污水处理厂（伊春市百斯特环保有限公司）处理，处理达标后排入汤旺河</w:t>
                  </w:r>
                  <w:r>
                    <w:rPr>
                      <w:szCs w:val="21"/>
                    </w:rPr>
                    <w:t>。</w:t>
                  </w:r>
                  <w:bookmarkEnd w:id="16"/>
                </w:p>
              </w:tc>
              <w:tc>
                <w:tcPr>
                  <w:tcW w:w="1102" w:type="dxa"/>
                  <w:vAlign w:val="center"/>
                </w:tcPr>
                <w:p w14:paraId="4CF3F335">
                  <w:pPr>
                    <w:pStyle w:val="43"/>
                    <w:rPr>
                      <w:szCs w:val="21"/>
                    </w:rPr>
                  </w:pPr>
                  <w:r>
                    <w:rPr>
                      <w:szCs w:val="21"/>
                    </w:rPr>
                    <w:t>新建</w:t>
                  </w:r>
                </w:p>
              </w:tc>
            </w:tr>
            <w:tr w14:paraId="2B9B00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24BEF66B">
                  <w:pPr>
                    <w:pStyle w:val="43"/>
                    <w:rPr>
                      <w:color w:val="000000" w:themeColor="text1"/>
                      <w14:textFill>
                        <w14:solidFill>
                          <w14:schemeClr w14:val="tx1"/>
                        </w14:solidFill>
                      </w14:textFill>
                    </w:rPr>
                  </w:pPr>
                </w:p>
              </w:tc>
              <w:tc>
                <w:tcPr>
                  <w:tcW w:w="1011" w:type="dxa"/>
                  <w:vAlign w:val="center"/>
                </w:tcPr>
                <w:p w14:paraId="4D002F8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供电</w:t>
                  </w:r>
                </w:p>
              </w:tc>
              <w:tc>
                <w:tcPr>
                  <w:tcW w:w="4430" w:type="dxa"/>
                  <w:vAlign w:val="center"/>
                </w:tcPr>
                <w:p w14:paraId="1B2D1568">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市政电网提供。</w:t>
                  </w:r>
                </w:p>
              </w:tc>
              <w:tc>
                <w:tcPr>
                  <w:tcW w:w="1102" w:type="dxa"/>
                  <w:vAlign w:val="center"/>
                </w:tcPr>
                <w:p w14:paraId="5DDB8FEB">
                  <w:pPr>
                    <w:pStyle w:val="43"/>
                    <w:rPr>
                      <w:szCs w:val="21"/>
                    </w:rPr>
                  </w:pPr>
                  <w:r>
                    <w:rPr>
                      <w:szCs w:val="21"/>
                    </w:rPr>
                    <w:t>新建</w:t>
                  </w:r>
                </w:p>
              </w:tc>
            </w:tr>
            <w:tr w14:paraId="72711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747AF0B8">
                  <w:pPr>
                    <w:pStyle w:val="43"/>
                    <w:rPr>
                      <w:color w:val="000000" w:themeColor="text1"/>
                      <w14:textFill>
                        <w14:solidFill>
                          <w14:schemeClr w14:val="tx1"/>
                        </w14:solidFill>
                      </w14:textFill>
                    </w:rPr>
                  </w:pPr>
                </w:p>
              </w:tc>
              <w:tc>
                <w:tcPr>
                  <w:tcW w:w="1011" w:type="dxa"/>
                  <w:vAlign w:val="center"/>
                </w:tcPr>
                <w:p w14:paraId="2B71B5C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供暖</w:t>
                  </w:r>
                </w:p>
              </w:tc>
              <w:tc>
                <w:tcPr>
                  <w:tcW w:w="4430" w:type="dxa"/>
                  <w:vAlign w:val="center"/>
                </w:tcPr>
                <w:p w14:paraId="4457AC12">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本项目供暖由</w:t>
                  </w:r>
                  <w:r>
                    <w:rPr>
                      <w:color w:val="000000" w:themeColor="text1"/>
                      <w14:textFill>
                        <w14:solidFill>
                          <w14:schemeClr w14:val="tx1"/>
                        </w14:solidFill>
                      </w14:textFill>
                    </w:rPr>
                    <w:t>新建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5MW的燃生物质热水锅炉</w:t>
                  </w:r>
                  <w:r>
                    <w:rPr>
                      <w:rFonts w:hint="eastAsia"/>
                      <w:color w:val="000000" w:themeColor="text1"/>
                      <w14:textFill>
                        <w14:solidFill>
                          <w14:schemeClr w14:val="tx1"/>
                        </w14:solidFill>
                      </w14:textFill>
                    </w:rPr>
                    <w:t>提供。</w:t>
                  </w:r>
                </w:p>
              </w:tc>
              <w:tc>
                <w:tcPr>
                  <w:tcW w:w="1102" w:type="dxa"/>
                  <w:vAlign w:val="center"/>
                </w:tcPr>
                <w:p w14:paraId="1D06AF40">
                  <w:pPr>
                    <w:pStyle w:val="43"/>
                    <w:rPr>
                      <w:szCs w:val="21"/>
                    </w:rPr>
                  </w:pPr>
                  <w:r>
                    <w:rPr>
                      <w:szCs w:val="21"/>
                    </w:rPr>
                    <w:t>新建</w:t>
                  </w:r>
                </w:p>
              </w:tc>
            </w:tr>
            <w:tr w14:paraId="3E73A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restart"/>
                  <w:vAlign w:val="center"/>
                </w:tcPr>
                <w:p w14:paraId="795B8C6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w:t>
                  </w:r>
                </w:p>
              </w:tc>
              <w:tc>
                <w:tcPr>
                  <w:tcW w:w="477" w:type="dxa"/>
                  <w:vMerge w:val="restart"/>
                  <w:vAlign w:val="center"/>
                </w:tcPr>
                <w:p w14:paraId="48262E2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tc>
              <w:tc>
                <w:tcPr>
                  <w:tcW w:w="1011" w:type="dxa"/>
                  <w:vAlign w:val="center"/>
                </w:tcPr>
                <w:p w14:paraId="7BC63768">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废气治理</w:t>
                  </w:r>
                </w:p>
              </w:tc>
              <w:tc>
                <w:tcPr>
                  <w:tcW w:w="4430" w:type="dxa"/>
                  <w:vAlign w:val="center"/>
                </w:tcPr>
                <w:p w14:paraId="7E48806C">
                  <w:pPr>
                    <w:pStyle w:val="43"/>
                    <w:jc w:val="both"/>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疏浚工程应选择在枯水期分段进行，洒水抑尘措施，禁止大风天气施工，施工场地周边应设置围挡等措施，物料堆放场采取洒水保湿、苫布覆盖等措施可有效减小堆场扬尘。风大天气禁止土方开挖。车辆路过村屯，车速低于20km/h。清淤过程中，在施工场地周围建设围栏，对施工工人采取保护措施，每处清淤作业区完成后，淤泥堆放在淤泥临时堆放场地的临时占地进行晾晒，晾晒过程做好拦挡、遮盖等措施，并及时喷洒除臭剂，干化后立即同工程弃方一同运至本项目设置的临时推土区。</w:t>
                  </w:r>
                </w:p>
              </w:tc>
              <w:tc>
                <w:tcPr>
                  <w:tcW w:w="1102" w:type="dxa"/>
                  <w:vAlign w:val="center"/>
                </w:tcPr>
                <w:p w14:paraId="46098DB1">
                  <w:pPr>
                    <w:pStyle w:val="43"/>
                    <w:rPr>
                      <w:color w:val="000000" w:themeColor="text1"/>
                      <w:szCs w:val="21"/>
                      <w14:textFill>
                        <w14:solidFill>
                          <w14:schemeClr w14:val="tx1"/>
                        </w14:solidFill>
                      </w14:textFill>
                    </w:rPr>
                  </w:pPr>
                  <w:r>
                    <w:rPr>
                      <w:szCs w:val="21"/>
                    </w:rPr>
                    <w:t>新建</w:t>
                  </w:r>
                </w:p>
              </w:tc>
            </w:tr>
            <w:tr w14:paraId="15E1F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7518C4B6">
                  <w:pPr>
                    <w:pStyle w:val="43"/>
                    <w:rPr>
                      <w:color w:val="000000" w:themeColor="text1"/>
                      <w14:textFill>
                        <w14:solidFill>
                          <w14:schemeClr w14:val="tx1"/>
                        </w14:solidFill>
                      </w14:textFill>
                    </w:rPr>
                  </w:pPr>
                </w:p>
              </w:tc>
              <w:tc>
                <w:tcPr>
                  <w:tcW w:w="477" w:type="dxa"/>
                  <w:vMerge w:val="continue"/>
                  <w:vAlign w:val="center"/>
                </w:tcPr>
                <w:p w14:paraId="523F675D">
                  <w:pPr>
                    <w:pStyle w:val="43"/>
                    <w:rPr>
                      <w:color w:val="000000" w:themeColor="text1"/>
                      <w14:textFill>
                        <w14:solidFill>
                          <w14:schemeClr w14:val="tx1"/>
                        </w14:solidFill>
                      </w14:textFill>
                    </w:rPr>
                  </w:pPr>
                </w:p>
              </w:tc>
              <w:tc>
                <w:tcPr>
                  <w:tcW w:w="1011" w:type="dxa"/>
                  <w:vAlign w:val="center"/>
                </w:tcPr>
                <w:p w14:paraId="656D2E54">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废水治理</w:t>
                  </w:r>
                </w:p>
              </w:tc>
              <w:tc>
                <w:tcPr>
                  <w:tcW w:w="4430" w:type="dxa"/>
                  <w:vAlign w:val="center"/>
                </w:tcPr>
                <w:p w14:paraId="6D41F1B1">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集中排入厂区自建临时防渗旱厕，定期清掏，外运堆肥。施工废水经隔油池、沉淀池处理后回用于临时道路、施工场地洒水降尘。在疏浚过程期间设置过滤网、防泥幕布等措施，降低颗粒物质在水中的流动。淤泥沥水经收集后引入沉淀池，经沉淀池澄清后上清液回用于周边场地洒水抑尘。临时防渗旱厕、隔油池施工结束后拆除。</w:t>
                  </w:r>
                </w:p>
              </w:tc>
              <w:tc>
                <w:tcPr>
                  <w:tcW w:w="1102" w:type="dxa"/>
                  <w:vAlign w:val="center"/>
                </w:tcPr>
                <w:p w14:paraId="0BBAA877">
                  <w:pPr>
                    <w:pStyle w:val="43"/>
                    <w:rPr>
                      <w:color w:val="000000" w:themeColor="text1"/>
                      <w14:textFill>
                        <w14:solidFill>
                          <w14:schemeClr w14:val="tx1"/>
                        </w14:solidFill>
                      </w14:textFill>
                    </w:rPr>
                  </w:pPr>
                  <w:r>
                    <w:rPr>
                      <w:szCs w:val="21"/>
                    </w:rPr>
                    <w:t>新建</w:t>
                  </w:r>
                </w:p>
              </w:tc>
            </w:tr>
            <w:tr w14:paraId="2911C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194D3911">
                  <w:pPr>
                    <w:pStyle w:val="43"/>
                    <w:rPr>
                      <w:color w:val="000000" w:themeColor="text1"/>
                      <w14:textFill>
                        <w14:solidFill>
                          <w14:schemeClr w14:val="tx1"/>
                        </w14:solidFill>
                      </w14:textFill>
                    </w:rPr>
                  </w:pPr>
                </w:p>
              </w:tc>
              <w:tc>
                <w:tcPr>
                  <w:tcW w:w="477" w:type="dxa"/>
                  <w:vMerge w:val="continue"/>
                  <w:vAlign w:val="center"/>
                </w:tcPr>
                <w:p w14:paraId="4292FEC4">
                  <w:pPr>
                    <w:pStyle w:val="43"/>
                    <w:rPr>
                      <w:color w:val="000000" w:themeColor="text1"/>
                      <w14:textFill>
                        <w14:solidFill>
                          <w14:schemeClr w14:val="tx1"/>
                        </w14:solidFill>
                      </w14:textFill>
                    </w:rPr>
                  </w:pPr>
                </w:p>
              </w:tc>
              <w:tc>
                <w:tcPr>
                  <w:tcW w:w="1011" w:type="dxa"/>
                  <w:vAlign w:val="center"/>
                </w:tcPr>
                <w:p w14:paraId="1C448AE2">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噪声治理</w:t>
                  </w:r>
                </w:p>
              </w:tc>
              <w:tc>
                <w:tcPr>
                  <w:tcW w:w="4430" w:type="dxa"/>
                  <w:vAlign w:val="center"/>
                </w:tcPr>
                <w:p w14:paraId="0C90C63D">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选用低噪声机械设备，对振动大的机械设备，采用隔振胶垫或减振机座</w:t>
                  </w:r>
                  <w:r>
                    <w:rPr>
                      <w:rFonts w:hint="eastAsia"/>
                      <w:color w:val="000000" w:themeColor="text1"/>
                      <w14:textFill>
                        <w14:solidFill>
                          <w14:schemeClr w14:val="tx1"/>
                        </w14:solidFill>
                      </w14:textFill>
                    </w:rPr>
                    <w:t>；本项目施工临时占地中的产噪设施均应尽量远离居民6</w:t>
                  </w:r>
                  <w:r>
                    <w:rPr>
                      <w:color w:val="000000" w:themeColor="text1"/>
                      <w14:textFill>
                        <w14:solidFill>
                          <w14:schemeClr w14:val="tx1"/>
                        </w14:solidFill>
                      </w14:textFill>
                    </w:rPr>
                    <w:t>0m外</w:t>
                  </w:r>
                  <w:r>
                    <w:rPr>
                      <w:rFonts w:hint="eastAsia"/>
                      <w:color w:val="000000" w:themeColor="text1"/>
                      <w14:textFill>
                        <w14:solidFill>
                          <w14:schemeClr w14:val="tx1"/>
                        </w14:solidFill>
                      </w14:textFill>
                    </w:rPr>
                    <w:t>布设，无法避让的地点选择采取基础减振及隔声屏障，减小对周边居民的不利影响；运输车辆禁止鸣高音喇叭，尤其是经过沿线村屯时应限速行驶，并禁止鸣笛；</w:t>
                  </w:r>
                  <w:r>
                    <w:rPr>
                      <w:color w:val="000000" w:themeColor="text1"/>
                      <w14:textFill>
                        <w14:solidFill>
                          <w14:schemeClr w14:val="tx1"/>
                        </w14:solidFill>
                      </w14:textFill>
                    </w:rPr>
                    <w:t>合理安排施工作业时间，</w:t>
                  </w:r>
                  <w:r>
                    <w:rPr>
                      <w:rFonts w:hint="eastAsia"/>
                      <w:color w:val="000000" w:themeColor="text1"/>
                      <w14:textFill>
                        <w14:solidFill>
                          <w14:schemeClr w14:val="tx1"/>
                        </w14:solidFill>
                      </w14:textFill>
                    </w:rPr>
                    <w:t>避免夜间</w:t>
                  </w:r>
                  <w:r>
                    <w:rPr>
                      <w:color w:val="000000" w:themeColor="text1"/>
                      <w14:textFill>
                        <w14:solidFill>
                          <w14:schemeClr w14:val="tx1"/>
                        </w14:solidFill>
                      </w14:textFill>
                    </w:rPr>
                    <w:t>施工等</w:t>
                  </w:r>
                  <w:r>
                    <w:rPr>
                      <w:rFonts w:hint="eastAsia"/>
                      <w:color w:val="000000" w:themeColor="text1"/>
                      <w14:textFill>
                        <w14:solidFill>
                          <w14:schemeClr w14:val="tx1"/>
                        </w14:solidFill>
                      </w14:textFill>
                    </w:rPr>
                    <w:t>。</w:t>
                  </w:r>
                </w:p>
              </w:tc>
              <w:tc>
                <w:tcPr>
                  <w:tcW w:w="1102" w:type="dxa"/>
                  <w:vAlign w:val="center"/>
                </w:tcPr>
                <w:p w14:paraId="5813CC4A">
                  <w:pPr>
                    <w:pStyle w:val="43"/>
                    <w:rPr>
                      <w:color w:val="000000" w:themeColor="text1"/>
                      <w14:textFill>
                        <w14:solidFill>
                          <w14:schemeClr w14:val="tx1"/>
                        </w14:solidFill>
                      </w14:textFill>
                    </w:rPr>
                  </w:pPr>
                  <w:r>
                    <w:rPr>
                      <w:szCs w:val="21"/>
                    </w:rPr>
                    <w:t>新建</w:t>
                  </w:r>
                </w:p>
              </w:tc>
            </w:tr>
            <w:tr w14:paraId="6AEFB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29EECEDB">
                  <w:pPr>
                    <w:pStyle w:val="43"/>
                    <w:rPr>
                      <w:color w:val="000000" w:themeColor="text1"/>
                      <w14:textFill>
                        <w14:solidFill>
                          <w14:schemeClr w14:val="tx1"/>
                        </w14:solidFill>
                      </w14:textFill>
                    </w:rPr>
                  </w:pPr>
                </w:p>
              </w:tc>
              <w:tc>
                <w:tcPr>
                  <w:tcW w:w="477" w:type="dxa"/>
                  <w:vMerge w:val="continue"/>
                  <w:vAlign w:val="center"/>
                </w:tcPr>
                <w:p w14:paraId="49825FFB">
                  <w:pPr>
                    <w:pStyle w:val="43"/>
                    <w:rPr>
                      <w:color w:val="000000" w:themeColor="text1"/>
                      <w14:textFill>
                        <w14:solidFill>
                          <w14:schemeClr w14:val="tx1"/>
                        </w14:solidFill>
                      </w14:textFill>
                    </w:rPr>
                  </w:pPr>
                </w:p>
              </w:tc>
              <w:tc>
                <w:tcPr>
                  <w:tcW w:w="1011" w:type="dxa"/>
                  <w:vAlign w:val="center"/>
                </w:tcPr>
                <w:p w14:paraId="29A8F168">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固体废物治理</w:t>
                  </w:r>
                </w:p>
              </w:tc>
              <w:tc>
                <w:tcPr>
                  <w:tcW w:w="4430" w:type="dxa"/>
                  <w:vAlign w:val="center"/>
                </w:tcPr>
                <w:p w14:paraId="5141F8B9">
                  <w:pPr>
                    <w:pStyle w:val="43"/>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①土方回填后，工程弃方运至</w:t>
                  </w:r>
                  <w:r>
                    <w:rPr>
                      <w:rFonts w:hint="eastAsia"/>
                      <w:color w:val="000000" w:themeColor="text1"/>
                      <w:szCs w:val="21"/>
                      <w14:textFill>
                        <w14:solidFill>
                          <w14:schemeClr w14:val="tx1"/>
                        </w14:solidFill>
                      </w14:textFill>
                    </w:rPr>
                    <w:t>本项目设置的临时推土区</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②</w:t>
                  </w:r>
                  <w:r>
                    <w:rPr>
                      <w:bCs/>
                      <w:color w:val="000000" w:themeColor="text1"/>
                      <w14:textFill>
                        <w14:solidFill>
                          <w14:schemeClr w14:val="tx1"/>
                        </w14:solidFill>
                      </w14:textFill>
                    </w:rPr>
                    <w:t>建筑垃圾</w:t>
                  </w:r>
                  <w:r>
                    <w:rPr>
                      <w:rFonts w:hint="eastAsia"/>
                      <w:bCs/>
                      <w:color w:val="000000" w:themeColor="text1"/>
                      <w14:textFill>
                        <w14:solidFill>
                          <w14:schemeClr w14:val="tx1"/>
                        </w14:solidFill>
                      </w14:textFill>
                    </w:rPr>
                    <w:t>回收利用或</w:t>
                  </w:r>
                  <w:r>
                    <w:rPr>
                      <w:bCs/>
                      <w:color w:val="000000" w:themeColor="text1"/>
                      <w14:textFill>
                        <w14:solidFill>
                          <w14:schemeClr w14:val="tx1"/>
                        </w14:solidFill>
                      </w14:textFill>
                    </w:rPr>
                    <w:t>统一清运至市政管理部门指定堆放点；</w:t>
                  </w:r>
                  <w:r>
                    <w:rPr>
                      <w:rFonts w:hint="eastAsia"/>
                      <w:bCs/>
                      <w:color w:val="000000" w:themeColor="text1"/>
                      <w14:textFill>
                        <w14:solidFill>
                          <w14:schemeClr w14:val="tx1"/>
                        </w14:solidFill>
                      </w14:textFill>
                    </w:rPr>
                    <w:t>③</w:t>
                  </w:r>
                  <w:r>
                    <w:rPr>
                      <w:bCs/>
                      <w:color w:val="000000" w:themeColor="text1"/>
                      <w14:textFill>
                        <w14:solidFill>
                          <w14:schemeClr w14:val="tx1"/>
                        </w14:solidFill>
                      </w14:textFill>
                    </w:rPr>
                    <w:t>生活垃圾集中收集后交由环卫部门统一处理</w:t>
                  </w:r>
                  <w:r>
                    <w:rPr>
                      <w:rFonts w:hint="eastAsia"/>
                      <w:bCs/>
                      <w:color w:val="000000" w:themeColor="text1"/>
                      <w14:textFill>
                        <w14:solidFill>
                          <w14:schemeClr w14:val="tx1"/>
                        </w14:solidFill>
                      </w14:textFill>
                    </w:rPr>
                    <w:t>。</w:t>
                  </w:r>
                </w:p>
              </w:tc>
              <w:tc>
                <w:tcPr>
                  <w:tcW w:w="1102" w:type="dxa"/>
                  <w:vAlign w:val="center"/>
                </w:tcPr>
                <w:p w14:paraId="79B3261A">
                  <w:pPr>
                    <w:pStyle w:val="43"/>
                    <w:rPr>
                      <w:bCs/>
                      <w:color w:val="000000" w:themeColor="text1"/>
                      <w14:textFill>
                        <w14:solidFill>
                          <w14:schemeClr w14:val="tx1"/>
                        </w14:solidFill>
                      </w14:textFill>
                    </w:rPr>
                  </w:pPr>
                  <w:r>
                    <w:rPr>
                      <w:szCs w:val="21"/>
                    </w:rPr>
                    <w:t>新建</w:t>
                  </w:r>
                </w:p>
              </w:tc>
            </w:tr>
            <w:tr w14:paraId="2E362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0978C667">
                  <w:pPr>
                    <w:pStyle w:val="43"/>
                    <w:rPr>
                      <w:color w:val="000000" w:themeColor="text1"/>
                      <w14:textFill>
                        <w14:solidFill>
                          <w14:schemeClr w14:val="tx1"/>
                        </w14:solidFill>
                      </w14:textFill>
                    </w:rPr>
                  </w:pPr>
                </w:p>
              </w:tc>
              <w:tc>
                <w:tcPr>
                  <w:tcW w:w="477" w:type="dxa"/>
                  <w:vMerge w:val="continue"/>
                  <w:vAlign w:val="center"/>
                </w:tcPr>
                <w:p w14:paraId="7960183C">
                  <w:pPr>
                    <w:pStyle w:val="43"/>
                    <w:rPr>
                      <w:color w:val="000000" w:themeColor="text1"/>
                      <w14:textFill>
                        <w14:solidFill>
                          <w14:schemeClr w14:val="tx1"/>
                        </w14:solidFill>
                      </w14:textFill>
                    </w:rPr>
                  </w:pPr>
                </w:p>
              </w:tc>
              <w:tc>
                <w:tcPr>
                  <w:tcW w:w="1011" w:type="dxa"/>
                  <w:vAlign w:val="center"/>
                </w:tcPr>
                <w:p w14:paraId="768EA630">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生态恢复措施</w:t>
                  </w:r>
                </w:p>
              </w:tc>
              <w:tc>
                <w:tcPr>
                  <w:tcW w:w="4430" w:type="dxa"/>
                  <w:vAlign w:val="center"/>
                </w:tcPr>
                <w:p w14:paraId="103FB314">
                  <w:pPr>
                    <w:pStyle w:val="43"/>
                    <w:jc w:val="both"/>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尽量减少施工临时占用土地，按征地要求，不能超出界限</w:t>
                  </w:r>
                  <w:r>
                    <w:rPr>
                      <w:color w:val="000000" w:themeColor="text1"/>
                      <w:szCs w:val="21"/>
                      <w14:textFill>
                        <w14:solidFill>
                          <w14:schemeClr w14:val="tx1"/>
                        </w14:solidFill>
                      </w14:textFill>
                    </w:rPr>
                    <w:t>；施工时做好堆土拦挡；工程完成后及时</w:t>
                  </w:r>
                  <w:r>
                    <w:rPr>
                      <w:rFonts w:hint="eastAsia"/>
                      <w:color w:val="000000" w:themeColor="text1"/>
                      <w:szCs w:val="21"/>
                      <w14:textFill>
                        <w14:solidFill>
                          <w14:schemeClr w14:val="tx1"/>
                        </w14:solidFill>
                      </w14:textFill>
                    </w:rPr>
                    <w:t>将施工道路、淤泥堆放场地及施工生产生活区等临时工程全部废止，施工设施离场后，进行地面平整，</w:t>
                  </w:r>
                  <w:r>
                    <w:rPr>
                      <w:color w:val="000000" w:themeColor="text1"/>
                      <w:szCs w:val="21"/>
                      <w14:textFill>
                        <w14:solidFill>
                          <w14:schemeClr w14:val="tx1"/>
                        </w14:solidFill>
                      </w14:textFill>
                    </w:rPr>
                    <w:t>覆土夯实，</w:t>
                  </w:r>
                  <w:r>
                    <w:rPr>
                      <w:rFonts w:hint="eastAsia"/>
                      <w:color w:val="000000" w:themeColor="text1"/>
                      <w:szCs w:val="21"/>
                      <w14:textFill>
                        <w14:solidFill>
                          <w14:schemeClr w14:val="tx1"/>
                        </w14:solidFill>
                      </w14:textFill>
                    </w:rPr>
                    <w:t>覆植种草；施工中凡是土石方开挖量大的施工应该避开暴雨期，减少暴雨冲刷，减轻水土流失。对施工扰动区域采取临时防护措施和植物措施相结合的方式进行综合治理。</w:t>
                  </w:r>
                </w:p>
                <w:p w14:paraId="598A6AF5">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避免雨季施工，合理安排施工进度，</w:t>
                  </w:r>
                  <w:r>
                    <w:rPr>
                      <w:rFonts w:hint="eastAsia"/>
                      <w:color w:val="000000" w:themeColor="text1"/>
                      <w14:textFill>
                        <w14:solidFill>
                          <w14:schemeClr w14:val="tx1"/>
                        </w14:solidFill>
                      </w14:textFill>
                    </w:rPr>
                    <w:t>建筑物</w:t>
                  </w:r>
                  <w:r>
                    <w:rPr>
                      <w:color w:val="000000" w:themeColor="text1"/>
                      <w14:textFill>
                        <w14:solidFill>
                          <w14:schemeClr w14:val="tx1"/>
                        </w14:solidFill>
                      </w14:textFill>
                    </w:rPr>
                    <w:t>施工一般在枯水时段进行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缩短施工周期，废弃的砂、石、土必须运至规定的专门存放地堆放，不得乱堆乱倒</w:t>
                  </w:r>
                  <w:r>
                    <w:rPr>
                      <w:rFonts w:hint="eastAsia"/>
                      <w:color w:val="000000" w:themeColor="text1"/>
                      <w14:textFill>
                        <w14:solidFill>
                          <w14:schemeClr w14:val="tx1"/>
                        </w14:solidFill>
                      </w14:textFill>
                    </w:rPr>
                    <w:t>，加强管理，杜绝污染物进入水体中，尽量减少对鱼类资源的影响。在疏浚过程期间设置过滤网、防泥幕布等措施，降低颗粒物质在水中的流动。</w:t>
                  </w:r>
                </w:p>
              </w:tc>
              <w:tc>
                <w:tcPr>
                  <w:tcW w:w="1102" w:type="dxa"/>
                  <w:vAlign w:val="center"/>
                </w:tcPr>
                <w:p w14:paraId="1937E482">
                  <w:pPr>
                    <w:pStyle w:val="43"/>
                    <w:rPr>
                      <w:color w:val="000000" w:themeColor="text1"/>
                      <w:szCs w:val="21"/>
                      <w14:textFill>
                        <w14:solidFill>
                          <w14:schemeClr w14:val="tx1"/>
                        </w14:solidFill>
                      </w14:textFill>
                    </w:rPr>
                  </w:pPr>
                  <w:r>
                    <w:rPr>
                      <w:szCs w:val="21"/>
                    </w:rPr>
                    <w:t>新建</w:t>
                  </w:r>
                </w:p>
              </w:tc>
            </w:tr>
            <w:tr w14:paraId="76904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6F438EAF">
                  <w:pPr>
                    <w:pStyle w:val="43"/>
                    <w:rPr>
                      <w:color w:val="000000" w:themeColor="text1"/>
                      <w14:textFill>
                        <w14:solidFill>
                          <w14:schemeClr w14:val="tx1"/>
                        </w14:solidFill>
                      </w14:textFill>
                    </w:rPr>
                  </w:pPr>
                </w:p>
              </w:tc>
              <w:tc>
                <w:tcPr>
                  <w:tcW w:w="477" w:type="dxa"/>
                  <w:vMerge w:val="restart"/>
                  <w:vAlign w:val="center"/>
                </w:tcPr>
                <w:p w14:paraId="0DC5CBB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tc>
              <w:tc>
                <w:tcPr>
                  <w:tcW w:w="1011" w:type="dxa"/>
                  <w:vAlign w:val="center"/>
                </w:tcPr>
                <w:p w14:paraId="78259E05">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废气治理</w:t>
                  </w:r>
                </w:p>
              </w:tc>
              <w:tc>
                <w:tcPr>
                  <w:tcW w:w="4430" w:type="dxa"/>
                  <w:vAlign w:val="center"/>
                </w:tcPr>
                <w:p w14:paraId="54702679">
                  <w:pPr>
                    <w:spacing w:line="0" w:lineRule="atLeast"/>
                    <w:jc w:val="left"/>
                    <w:rPr>
                      <w:color w:val="000000" w:themeColor="text1"/>
                      <w:kern w:val="0"/>
                      <w:sz w:val="18"/>
                      <w:szCs w:val="21"/>
                      <w14:textFill>
                        <w14:solidFill>
                          <w14:schemeClr w14:val="tx1"/>
                        </w14:solidFill>
                      </w14:textFill>
                    </w:rPr>
                  </w:pPr>
                  <w:r>
                    <w:rPr>
                      <w:color w:val="000000" w:themeColor="text1"/>
                      <w:kern w:val="0"/>
                      <w:sz w:val="18"/>
                      <w:szCs w:val="21"/>
                      <w14:textFill>
                        <w14:solidFill>
                          <w14:schemeClr w14:val="tx1"/>
                        </w14:solidFill>
                      </w14:textFill>
                    </w:rPr>
                    <w:t>本项目运行期间产生的锅炉烟气通过旋风+布袋除尘器+低氮燃烧器进行处理，处理后的锅炉烟气通过</w:t>
                  </w:r>
                  <w:r>
                    <w:rPr>
                      <w:rFonts w:hint="eastAsia"/>
                      <w:color w:val="000000" w:themeColor="text1"/>
                      <w:kern w:val="0"/>
                      <w:sz w:val="18"/>
                      <w:szCs w:val="21"/>
                      <w14:textFill>
                        <w14:solidFill>
                          <w14:schemeClr w14:val="tx1"/>
                        </w14:solidFill>
                      </w14:textFill>
                    </w:rPr>
                    <w:t>35m</w:t>
                  </w:r>
                  <w:r>
                    <w:rPr>
                      <w:color w:val="000000" w:themeColor="text1"/>
                      <w:kern w:val="0"/>
                      <w:sz w:val="18"/>
                      <w:szCs w:val="21"/>
                      <w14:textFill>
                        <w14:solidFill>
                          <w14:schemeClr w14:val="tx1"/>
                        </w14:solidFill>
                      </w14:textFill>
                    </w:rPr>
                    <w:t>高烟囱高空排放，满足《锅炉大气污染物排放标准》（GB13271-2014）表</w:t>
                  </w:r>
                  <w:r>
                    <w:rPr>
                      <w:rFonts w:hint="eastAsia"/>
                      <w:color w:val="000000" w:themeColor="text1"/>
                      <w:kern w:val="0"/>
                      <w:sz w:val="18"/>
                      <w:szCs w:val="21"/>
                      <w14:textFill>
                        <w14:solidFill>
                          <w14:schemeClr w14:val="tx1"/>
                        </w14:solidFill>
                      </w14:textFill>
                    </w:rPr>
                    <w:t>2</w:t>
                  </w:r>
                  <w:r>
                    <w:rPr>
                      <w:color w:val="000000" w:themeColor="text1"/>
                      <w:kern w:val="0"/>
                      <w:sz w:val="18"/>
                      <w:szCs w:val="21"/>
                      <w14:textFill>
                        <w14:solidFill>
                          <w14:schemeClr w14:val="tx1"/>
                        </w14:solidFill>
                      </w14:textFill>
                    </w:rPr>
                    <w:t>燃煤锅炉大气污染物排放限值要求。</w:t>
                  </w:r>
                  <w:r>
                    <w:rPr>
                      <w:rFonts w:hint="eastAsia"/>
                      <w:color w:val="000000" w:themeColor="text1"/>
                      <w:kern w:val="0"/>
                      <w:sz w:val="18"/>
                      <w:szCs w:val="21"/>
                      <w14:textFill>
                        <w14:solidFill>
                          <w14:schemeClr w14:val="tx1"/>
                        </w14:solidFill>
                      </w14:textFill>
                    </w:rPr>
                    <w:t>生物质锅炉出渣口设置封闭漏斗，灰渣通过漏斗由密封袋收集，收集后暂存在锅炉房内的灰渣间，灰渣转运过程中采取洒水降尘措施，灰渣间为全封闭，贮存过程中锅炉房定期洒水降尘。通过以上措施厂界颗粒物无组织排放浓度满足《大气污染物综合排放标准》（GB16297-1996）表2中无组织排放监控浓度限值要求。</w:t>
                  </w:r>
                </w:p>
                <w:p w14:paraId="562C24E5">
                  <w:pPr>
                    <w:pStyle w:val="43"/>
                    <w:jc w:val="both"/>
                    <w:rPr>
                      <w:color w:val="000000" w:themeColor="text1"/>
                      <w14:textFill>
                        <w14:solidFill>
                          <w14:schemeClr w14:val="tx1"/>
                        </w14:solidFill>
                      </w14:textFill>
                    </w:rPr>
                  </w:pPr>
                  <w:r>
                    <w:rPr>
                      <w:color w:val="000000" w:themeColor="text1"/>
                      <w:szCs w:val="21"/>
                      <w14:textFill>
                        <w14:solidFill>
                          <w14:schemeClr w14:val="tx1"/>
                        </w14:solidFill>
                      </w14:textFill>
                    </w:rPr>
                    <w:t>餐厅油烟经</w:t>
                  </w:r>
                  <w:r>
                    <w:rPr>
                      <w:rFonts w:hint="eastAsia"/>
                      <w:color w:val="000000" w:themeColor="text1"/>
                      <w:szCs w:val="21"/>
                      <w14:textFill>
                        <w14:solidFill>
                          <w14:schemeClr w14:val="tx1"/>
                        </w14:solidFill>
                      </w14:textFill>
                    </w:rPr>
                    <w:t>一套</w:t>
                  </w:r>
                  <w:r>
                    <w:rPr>
                      <w:color w:val="000000" w:themeColor="text1"/>
                      <w:szCs w:val="21"/>
                      <w14:textFill>
                        <w14:solidFill>
                          <w14:schemeClr w14:val="tx1"/>
                        </w14:solidFill>
                      </w14:textFill>
                    </w:rPr>
                    <w:t>去除效率不低于</w:t>
                  </w:r>
                  <w:r>
                    <w:rPr>
                      <w:rFonts w:hint="eastAsia"/>
                      <w:color w:val="000000" w:themeColor="text1"/>
                      <w:szCs w:val="21"/>
                      <w14:textFill>
                        <w14:solidFill>
                          <w14:schemeClr w14:val="tx1"/>
                        </w14:solidFill>
                      </w14:textFill>
                    </w:rPr>
                    <w:t>8</w:t>
                  </w:r>
                  <w:r>
                    <w:rPr>
                      <w:color w:val="000000" w:themeColor="text1"/>
                      <w:szCs w:val="21"/>
                      <w14:textFill>
                        <w14:solidFill>
                          <w14:schemeClr w14:val="tx1"/>
                        </w14:solidFill>
                      </w14:textFill>
                    </w:rPr>
                    <w:t>5%的高效油烟净化设施处理后通过</w:t>
                  </w:r>
                  <w:r>
                    <w:rPr>
                      <w:rFonts w:hint="eastAsia"/>
                      <w:color w:val="000000" w:themeColor="text1"/>
                      <w:szCs w:val="21"/>
                      <w14:textFill>
                        <w14:solidFill>
                          <w14:schemeClr w14:val="tx1"/>
                        </w14:solidFill>
                      </w14:textFill>
                    </w:rPr>
                    <w:t>烟</w:t>
                  </w:r>
                  <w:r>
                    <w:rPr>
                      <w:color w:val="000000" w:themeColor="text1"/>
                      <w:szCs w:val="21"/>
                      <w14:textFill>
                        <w14:solidFill>
                          <w14:schemeClr w14:val="tx1"/>
                        </w14:solidFill>
                      </w14:textFill>
                    </w:rPr>
                    <w:t>道引至</w:t>
                  </w:r>
                  <w:r>
                    <w:rPr>
                      <w:rFonts w:hint="eastAsia"/>
                      <w:color w:val="000000" w:themeColor="text1"/>
                      <w:szCs w:val="21"/>
                      <w14:textFill>
                        <w14:solidFill>
                          <w14:schemeClr w14:val="tx1"/>
                        </w14:solidFill>
                      </w14:textFill>
                    </w:rPr>
                    <w:t>餐厅</w:t>
                  </w:r>
                  <w:r>
                    <w:rPr>
                      <w:color w:val="000000" w:themeColor="text1"/>
                      <w:szCs w:val="21"/>
                      <w14:textFill>
                        <w14:solidFill>
                          <w14:schemeClr w14:val="tx1"/>
                        </w14:solidFill>
                      </w14:textFill>
                    </w:rPr>
                    <w:t>屋顶排放</w:t>
                  </w:r>
                  <w:r>
                    <w:rPr>
                      <w:rFonts w:hint="eastAsia"/>
                      <w:color w:val="000000" w:themeColor="text1"/>
                      <w:szCs w:val="21"/>
                      <w14:textFill>
                        <w14:solidFill>
                          <w14:schemeClr w14:val="tx1"/>
                        </w14:solidFill>
                      </w14:textFill>
                    </w:rPr>
                    <w:t>。</w:t>
                  </w:r>
                </w:p>
              </w:tc>
              <w:tc>
                <w:tcPr>
                  <w:tcW w:w="1102" w:type="dxa"/>
                  <w:vAlign w:val="center"/>
                </w:tcPr>
                <w:p w14:paraId="6A66939A">
                  <w:pPr>
                    <w:pStyle w:val="43"/>
                    <w:rPr>
                      <w:bCs/>
                      <w:color w:val="000000" w:themeColor="text1"/>
                      <w:szCs w:val="21"/>
                      <w14:textFill>
                        <w14:solidFill>
                          <w14:schemeClr w14:val="tx1"/>
                        </w14:solidFill>
                      </w14:textFill>
                    </w:rPr>
                  </w:pPr>
                  <w:r>
                    <w:rPr>
                      <w:szCs w:val="21"/>
                    </w:rPr>
                    <w:t>新建</w:t>
                  </w:r>
                </w:p>
              </w:tc>
            </w:tr>
            <w:tr w14:paraId="02012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172AE371">
                  <w:pPr>
                    <w:pStyle w:val="43"/>
                    <w:rPr>
                      <w:color w:val="000000" w:themeColor="text1"/>
                      <w14:textFill>
                        <w14:solidFill>
                          <w14:schemeClr w14:val="tx1"/>
                        </w14:solidFill>
                      </w14:textFill>
                    </w:rPr>
                  </w:pPr>
                </w:p>
              </w:tc>
              <w:tc>
                <w:tcPr>
                  <w:tcW w:w="477" w:type="dxa"/>
                  <w:vMerge w:val="continue"/>
                  <w:vAlign w:val="center"/>
                </w:tcPr>
                <w:p w14:paraId="63642ECE">
                  <w:pPr>
                    <w:pStyle w:val="43"/>
                    <w:rPr>
                      <w:color w:val="000000" w:themeColor="text1"/>
                      <w14:textFill>
                        <w14:solidFill>
                          <w14:schemeClr w14:val="tx1"/>
                        </w14:solidFill>
                      </w14:textFill>
                    </w:rPr>
                  </w:pPr>
                </w:p>
              </w:tc>
              <w:tc>
                <w:tcPr>
                  <w:tcW w:w="1011" w:type="dxa"/>
                  <w:vAlign w:val="center"/>
                </w:tcPr>
                <w:p w14:paraId="15647CFD">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废水治理</w:t>
                  </w:r>
                </w:p>
              </w:tc>
              <w:tc>
                <w:tcPr>
                  <w:tcW w:w="4430" w:type="dxa"/>
                  <w:vAlign w:val="center"/>
                </w:tcPr>
                <w:p w14:paraId="4B1BBBD1">
                  <w:pPr>
                    <w:pStyle w:val="43"/>
                    <w:jc w:val="both"/>
                    <w:rPr>
                      <w:color w:val="000000" w:themeColor="text1"/>
                      <w14:textFill>
                        <w14:solidFill>
                          <w14:schemeClr w14:val="tx1"/>
                        </w14:solidFill>
                      </w14:textFill>
                    </w:rPr>
                  </w:pPr>
                  <w:r>
                    <w:rPr>
                      <w:szCs w:val="21"/>
                    </w:rPr>
                    <w:t>锅炉排污水和软化处理废水用于锅炉除渣、除灰和锅炉间地面洒水降尘，不外排。</w:t>
                  </w:r>
                  <w:r>
                    <w:rPr>
                      <w:rFonts w:hint="eastAsia"/>
                      <w:szCs w:val="21"/>
                    </w:rPr>
                    <w:t>生活污水（餐饮废水经隔油池预处理）排放浓度满足</w:t>
                  </w:r>
                  <w:r>
                    <w:rPr>
                      <w:szCs w:val="21"/>
                    </w:rPr>
                    <w:t>《污水综合排放标准》（GB8978-1996）表4中三级标准</w:t>
                  </w:r>
                  <w:r>
                    <w:rPr>
                      <w:rFonts w:hint="eastAsia"/>
                      <w:szCs w:val="21"/>
                    </w:rPr>
                    <w:t>后拉运至进入伊春市中心城污水处理厂（伊春市百斯特环保有限公司）处理，处理达标后排入汤旺河</w:t>
                  </w:r>
                  <w:r>
                    <w:rPr>
                      <w:szCs w:val="21"/>
                    </w:rPr>
                    <w:t>。</w:t>
                  </w:r>
                </w:p>
              </w:tc>
              <w:tc>
                <w:tcPr>
                  <w:tcW w:w="1102" w:type="dxa"/>
                  <w:vAlign w:val="center"/>
                </w:tcPr>
                <w:p w14:paraId="4142347D">
                  <w:pPr>
                    <w:pStyle w:val="43"/>
                    <w:rPr>
                      <w:color w:val="000000" w:themeColor="text1"/>
                      <w14:textFill>
                        <w14:solidFill>
                          <w14:schemeClr w14:val="tx1"/>
                        </w14:solidFill>
                      </w14:textFill>
                    </w:rPr>
                  </w:pPr>
                  <w:r>
                    <w:rPr>
                      <w:szCs w:val="21"/>
                    </w:rPr>
                    <w:t>新建</w:t>
                  </w:r>
                </w:p>
              </w:tc>
            </w:tr>
            <w:tr w14:paraId="5D12B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022163B6">
                  <w:pPr>
                    <w:pStyle w:val="43"/>
                    <w:rPr>
                      <w:color w:val="000000" w:themeColor="text1"/>
                      <w14:textFill>
                        <w14:solidFill>
                          <w14:schemeClr w14:val="tx1"/>
                        </w14:solidFill>
                      </w14:textFill>
                    </w:rPr>
                  </w:pPr>
                </w:p>
              </w:tc>
              <w:tc>
                <w:tcPr>
                  <w:tcW w:w="477" w:type="dxa"/>
                  <w:vMerge w:val="continue"/>
                  <w:vAlign w:val="center"/>
                </w:tcPr>
                <w:p w14:paraId="55FAF46A">
                  <w:pPr>
                    <w:pStyle w:val="43"/>
                    <w:rPr>
                      <w:color w:val="000000" w:themeColor="text1"/>
                      <w14:textFill>
                        <w14:solidFill>
                          <w14:schemeClr w14:val="tx1"/>
                        </w14:solidFill>
                      </w14:textFill>
                    </w:rPr>
                  </w:pPr>
                </w:p>
              </w:tc>
              <w:tc>
                <w:tcPr>
                  <w:tcW w:w="1011" w:type="dxa"/>
                  <w:vAlign w:val="center"/>
                </w:tcPr>
                <w:p w14:paraId="177F794C">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噪声治理</w:t>
                  </w:r>
                </w:p>
              </w:tc>
              <w:tc>
                <w:tcPr>
                  <w:tcW w:w="4430" w:type="dxa"/>
                  <w:vAlign w:val="center"/>
                </w:tcPr>
                <w:p w14:paraId="105D0EF0">
                  <w:pPr>
                    <w:pStyle w:val="43"/>
                    <w:jc w:val="both"/>
                    <w:rPr>
                      <w:color w:val="000000" w:themeColor="text1"/>
                      <w14:textFill>
                        <w14:solidFill>
                          <w14:schemeClr w14:val="tx1"/>
                        </w14:solidFill>
                      </w14:textFill>
                    </w:rPr>
                  </w:pPr>
                  <w:r>
                    <w:rPr>
                      <w:szCs w:val="21"/>
                    </w:rPr>
                    <w:t>项目运行期间产生的噪声主要是风机、水泵发出的机械噪声。采用低噪环保设备、采取减振、降噪、隔声等措施对噪声进行治理。治理后，北、南、西、东侧厂界噪声可满足《工业企业厂界环境噪声排放标准》（GB12348-2008）</w:t>
                  </w:r>
                  <w:r>
                    <w:rPr>
                      <w:rFonts w:hint="eastAsia"/>
                      <w:szCs w:val="21"/>
                    </w:rPr>
                    <w:t>表1中</w:t>
                  </w:r>
                  <w:r>
                    <w:rPr>
                      <w:szCs w:val="21"/>
                    </w:rPr>
                    <w:t>2类标准的要求。</w:t>
                  </w:r>
                </w:p>
              </w:tc>
              <w:tc>
                <w:tcPr>
                  <w:tcW w:w="1102" w:type="dxa"/>
                  <w:vAlign w:val="center"/>
                </w:tcPr>
                <w:p w14:paraId="1070CDE3">
                  <w:pPr>
                    <w:pStyle w:val="43"/>
                    <w:rPr>
                      <w:color w:val="000000" w:themeColor="text1"/>
                      <w14:textFill>
                        <w14:solidFill>
                          <w14:schemeClr w14:val="tx1"/>
                        </w14:solidFill>
                      </w14:textFill>
                    </w:rPr>
                  </w:pPr>
                  <w:r>
                    <w:rPr>
                      <w:szCs w:val="21"/>
                    </w:rPr>
                    <w:t>新建</w:t>
                  </w:r>
                </w:p>
              </w:tc>
            </w:tr>
            <w:tr w14:paraId="733D9C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02" w:type="dxa"/>
                  <w:vMerge w:val="continue"/>
                  <w:vAlign w:val="center"/>
                </w:tcPr>
                <w:p w14:paraId="31ACFFFE">
                  <w:pPr>
                    <w:pStyle w:val="43"/>
                    <w:rPr>
                      <w:color w:val="000000" w:themeColor="text1"/>
                      <w14:textFill>
                        <w14:solidFill>
                          <w14:schemeClr w14:val="tx1"/>
                        </w14:solidFill>
                      </w14:textFill>
                    </w:rPr>
                  </w:pPr>
                </w:p>
              </w:tc>
              <w:tc>
                <w:tcPr>
                  <w:tcW w:w="477" w:type="dxa"/>
                  <w:vMerge w:val="continue"/>
                  <w:vAlign w:val="center"/>
                </w:tcPr>
                <w:p w14:paraId="54E58FBC">
                  <w:pPr>
                    <w:pStyle w:val="43"/>
                    <w:rPr>
                      <w:color w:val="000000" w:themeColor="text1"/>
                      <w14:textFill>
                        <w14:solidFill>
                          <w14:schemeClr w14:val="tx1"/>
                        </w14:solidFill>
                      </w14:textFill>
                    </w:rPr>
                  </w:pPr>
                </w:p>
              </w:tc>
              <w:tc>
                <w:tcPr>
                  <w:tcW w:w="1011" w:type="dxa"/>
                  <w:vAlign w:val="center"/>
                </w:tcPr>
                <w:p w14:paraId="05C7FEAF">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固体废物治理</w:t>
                  </w:r>
                </w:p>
              </w:tc>
              <w:tc>
                <w:tcPr>
                  <w:tcW w:w="4430" w:type="dxa"/>
                  <w:vAlign w:val="center"/>
                </w:tcPr>
                <w:p w14:paraId="64823BD1">
                  <w:pPr>
                    <w:pStyle w:val="43"/>
                    <w:jc w:val="both"/>
                    <w:rPr>
                      <w:color w:val="000000" w:themeColor="text1"/>
                      <w14:textFill>
                        <w14:solidFill>
                          <w14:schemeClr w14:val="tx1"/>
                        </w14:solidFill>
                      </w14:textFill>
                    </w:rPr>
                  </w:pPr>
                  <w:bookmarkStart w:id="17" w:name="OLE_LINK70"/>
                  <w:r>
                    <w:rPr>
                      <w:rFonts w:hint="eastAsia"/>
                      <w:szCs w:val="21"/>
                    </w:rPr>
                    <w:t>本项目锅炉不在厂内保养，不会产生废机油等危险废物，锅炉灰渣、旋风除尘器和布袋除尘器收集粉尘，集中收集，密封暂存于灰渣间内，外售综合利用。</w:t>
                  </w:r>
                  <w:r>
                    <w:rPr>
                      <w:szCs w:val="21"/>
                    </w:rPr>
                    <w:t>废弃离子交换树脂</w:t>
                  </w:r>
                  <w:r>
                    <w:rPr>
                      <w:rFonts w:hint="eastAsia"/>
                      <w:szCs w:val="21"/>
                    </w:rPr>
                    <w:t>和废布袋</w:t>
                  </w:r>
                  <w:r>
                    <w:rPr>
                      <w:szCs w:val="21"/>
                    </w:rPr>
                    <w:t>在</w:t>
                  </w:r>
                  <w:r>
                    <w:rPr>
                      <w:rFonts w:hint="eastAsia"/>
                      <w:szCs w:val="21"/>
                    </w:rPr>
                    <w:t>灰渣间暂存</w:t>
                  </w:r>
                  <w:r>
                    <w:rPr>
                      <w:szCs w:val="21"/>
                    </w:rPr>
                    <w:t>，产生后</w:t>
                  </w:r>
                  <w:r>
                    <w:rPr>
                      <w:rFonts w:hint="eastAsia"/>
                      <w:szCs w:val="21"/>
                    </w:rPr>
                    <w:t>由专业的回收单位</w:t>
                  </w:r>
                  <w:r>
                    <w:rPr>
                      <w:szCs w:val="21"/>
                    </w:rPr>
                    <w:t>回收处置；</w:t>
                  </w:r>
                  <w:r>
                    <w:t>生活垃圾由环卫部门统一集中处理</w:t>
                  </w:r>
                  <w:r>
                    <w:rPr>
                      <w:rFonts w:hint="eastAsia"/>
                    </w:rPr>
                    <w:t>；餐厨垃圾存放在专用收集容器内，日产日清，</w:t>
                  </w:r>
                  <w:r>
                    <w:t>委托有资质的单位进行处置；隔油池油污</w:t>
                  </w:r>
                  <w:r>
                    <w:rPr>
                      <w:rFonts w:hint="eastAsia"/>
                    </w:rPr>
                    <w:t>和废弃油脂</w:t>
                  </w:r>
                  <w:r>
                    <w:t>定期清理并委托有资质的单位进行处置。</w:t>
                  </w:r>
                  <w:bookmarkEnd w:id="17"/>
                </w:p>
              </w:tc>
              <w:tc>
                <w:tcPr>
                  <w:tcW w:w="1102" w:type="dxa"/>
                  <w:vAlign w:val="center"/>
                </w:tcPr>
                <w:p w14:paraId="111472FF">
                  <w:pPr>
                    <w:pStyle w:val="43"/>
                    <w:rPr>
                      <w:color w:val="000000" w:themeColor="text1"/>
                      <w:szCs w:val="32"/>
                      <w14:textFill>
                        <w14:solidFill>
                          <w14:schemeClr w14:val="tx1"/>
                        </w14:solidFill>
                      </w14:textFill>
                    </w:rPr>
                  </w:pPr>
                  <w:r>
                    <w:rPr>
                      <w:szCs w:val="21"/>
                    </w:rPr>
                    <w:t>新建</w:t>
                  </w:r>
                </w:p>
              </w:tc>
            </w:tr>
            <w:tr w14:paraId="7A822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restart"/>
                  <w:vAlign w:val="center"/>
                </w:tcPr>
                <w:p w14:paraId="1DA0A04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临时工程</w:t>
                  </w:r>
                </w:p>
              </w:tc>
              <w:tc>
                <w:tcPr>
                  <w:tcW w:w="1011" w:type="dxa"/>
                  <w:vAlign w:val="center"/>
                </w:tcPr>
                <w:p w14:paraId="36320ABA">
                  <w:pPr>
                    <w:pStyle w:val="43"/>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施工生产生活区</w:t>
                  </w:r>
                </w:p>
              </w:tc>
              <w:tc>
                <w:tcPr>
                  <w:tcW w:w="4430" w:type="dxa"/>
                  <w:vAlign w:val="center"/>
                </w:tcPr>
                <w:p w14:paraId="38D2653A">
                  <w:pPr>
                    <w:pStyle w:val="43"/>
                    <w:jc w:val="both"/>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项目清淤工程临时占地均已考虑了施工作业区范围，故不集中设置施工生产区，施工生活区设置在淤泥堆放区临时占地内南侧一角，占地面积为</w:t>
                  </w:r>
                  <w:r>
                    <w:rPr>
                      <w:color w:val="000000" w:themeColor="text1"/>
                      <w:szCs w:val="32"/>
                      <w14:textFill>
                        <w14:solidFill>
                          <w14:schemeClr w14:val="tx1"/>
                        </w14:solidFill>
                      </w14:textFill>
                    </w:rPr>
                    <w:t>200</w:t>
                  </w:r>
                  <w:r>
                    <w:rPr>
                      <w:rFonts w:hint="eastAsia"/>
                      <w:color w:val="000000" w:themeColor="text1"/>
                      <w:szCs w:val="32"/>
                      <w14:textFill>
                        <w14:solidFill>
                          <w14:schemeClr w14:val="tx1"/>
                        </w14:solidFill>
                      </w14:textFill>
                    </w:rPr>
                    <w:t>m</w:t>
                  </w:r>
                  <w:r>
                    <w:rPr>
                      <w:color w:val="000000" w:themeColor="text1"/>
                      <w:szCs w:val="32"/>
                      <w:vertAlign w:val="superscript"/>
                      <w14:textFill>
                        <w14:solidFill>
                          <w14:schemeClr w14:val="tx1"/>
                        </w14:solidFill>
                      </w14:textFill>
                    </w:rPr>
                    <w:t>2</w:t>
                  </w:r>
                  <w:r>
                    <w:rPr>
                      <w:rFonts w:hint="eastAsia"/>
                      <w:color w:val="000000" w:themeColor="text1"/>
                      <w:szCs w:val="32"/>
                      <w14:textFill>
                        <w14:solidFill>
                          <w14:schemeClr w14:val="tx1"/>
                        </w14:solidFill>
                      </w14:textFill>
                    </w:rPr>
                    <w:t>。</w:t>
                  </w:r>
                </w:p>
              </w:tc>
              <w:tc>
                <w:tcPr>
                  <w:tcW w:w="1102" w:type="dxa"/>
                  <w:vAlign w:val="center"/>
                </w:tcPr>
                <w:p w14:paraId="1BF39DA8">
                  <w:pPr>
                    <w:pStyle w:val="43"/>
                    <w:rPr>
                      <w:color w:val="000000" w:themeColor="text1"/>
                      <w:szCs w:val="32"/>
                      <w14:textFill>
                        <w14:solidFill>
                          <w14:schemeClr w14:val="tx1"/>
                        </w14:solidFill>
                      </w14:textFill>
                    </w:rPr>
                  </w:pPr>
                  <w:r>
                    <w:rPr>
                      <w:szCs w:val="21"/>
                    </w:rPr>
                    <w:t>新建</w:t>
                  </w:r>
                </w:p>
              </w:tc>
            </w:tr>
            <w:tr w14:paraId="49F0C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6EDA06FD">
                  <w:pPr>
                    <w:pStyle w:val="43"/>
                    <w:rPr>
                      <w:color w:val="000000" w:themeColor="text1"/>
                      <w14:textFill>
                        <w14:solidFill>
                          <w14:schemeClr w14:val="tx1"/>
                        </w14:solidFill>
                      </w14:textFill>
                    </w:rPr>
                  </w:pPr>
                </w:p>
              </w:tc>
              <w:tc>
                <w:tcPr>
                  <w:tcW w:w="1011" w:type="dxa"/>
                  <w:vAlign w:val="center"/>
                </w:tcPr>
                <w:p w14:paraId="3D4B1737">
                  <w:pPr>
                    <w:pStyle w:val="43"/>
                    <w:rPr>
                      <w:color w:val="000000" w:themeColor="text1"/>
                      <w14:textFill>
                        <w14:solidFill>
                          <w14:schemeClr w14:val="tx1"/>
                        </w14:solidFill>
                      </w14:textFill>
                    </w:rPr>
                  </w:pPr>
                  <w:r>
                    <w:rPr>
                      <w:color w:val="000000" w:themeColor="text1"/>
                      <w14:textFill>
                        <w14:solidFill>
                          <w14:schemeClr w14:val="tx1"/>
                        </w14:solidFill>
                      </w14:textFill>
                    </w:rPr>
                    <w:t>取土场</w:t>
                  </w:r>
                </w:p>
              </w:tc>
              <w:tc>
                <w:tcPr>
                  <w:tcW w:w="4430" w:type="dxa"/>
                  <w:vAlign w:val="center"/>
                </w:tcPr>
                <w:p w14:paraId="04C663D6">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本项目不设置</w:t>
                  </w:r>
                  <w:r>
                    <w:rPr>
                      <w:color w:val="000000" w:themeColor="text1"/>
                      <w14:textFill>
                        <w14:solidFill>
                          <w14:schemeClr w14:val="tx1"/>
                        </w14:solidFill>
                      </w14:textFill>
                    </w:rPr>
                    <w:t>取土场</w:t>
                  </w:r>
                  <w:r>
                    <w:rPr>
                      <w:rFonts w:hint="eastAsia"/>
                      <w:color w:val="000000" w:themeColor="text1"/>
                      <w14:textFill>
                        <w14:solidFill>
                          <w14:schemeClr w14:val="tx1"/>
                        </w14:solidFill>
                      </w14:textFill>
                    </w:rPr>
                    <w:t>。</w:t>
                  </w:r>
                </w:p>
              </w:tc>
              <w:tc>
                <w:tcPr>
                  <w:tcW w:w="1102" w:type="dxa"/>
                  <w:vAlign w:val="center"/>
                </w:tcPr>
                <w:p w14:paraId="08B0A22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83C9D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20B170A8">
                  <w:pPr>
                    <w:pStyle w:val="43"/>
                    <w:rPr>
                      <w:color w:val="000000" w:themeColor="text1"/>
                      <w14:textFill>
                        <w14:solidFill>
                          <w14:schemeClr w14:val="tx1"/>
                        </w14:solidFill>
                      </w14:textFill>
                    </w:rPr>
                  </w:pPr>
                </w:p>
              </w:tc>
              <w:tc>
                <w:tcPr>
                  <w:tcW w:w="1011" w:type="dxa"/>
                  <w:vAlign w:val="center"/>
                </w:tcPr>
                <w:p w14:paraId="523B9DD8">
                  <w:pPr>
                    <w:pStyle w:val="43"/>
                    <w:rPr>
                      <w:color w:val="000000" w:themeColor="text1"/>
                      <w14:textFill>
                        <w14:solidFill>
                          <w14:schemeClr w14:val="tx1"/>
                        </w14:solidFill>
                      </w14:textFill>
                    </w:rPr>
                  </w:pPr>
                  <w:r>
                    <w:rPr>
                      <w:color w:val="000000" w:themeColor="text1"/>
                      <w14:textFill>
                        <w14:solidFill>
                          <w14:schemeClr w14:val="tx1"/>
                        </w14:solidFill>
                      </w14:textFill>
                    </w:rPr>
                    <w:t>淤泥堆放区</w:t>
                  </w:r>
                  <w:r>
                    <w:rPr>
                      <w:rFonts w:hint="eastAsia"/>
                      <w:color w:val="000000" w:themeColor="text1"/>
                      <w14:textFill>
                        <w14:solidFill>
                          <w14:schemeClr w14:val="tx1"/>
                        </w14:solidFill>
                      </w14:textFill>
                    </w:rPr>
                    <w:t>（临时堆土场</w:t>
                  </w:r>
                  <w:r>
                    <w:rPr>
                      <w:color w:val="000000" w:themeColor="text1"/>
                      <w14:textFill>
                        <w14:solidFill>
                          <w14:schemeClr w14:val="tx1"/>
                        </w14:solidFill>
                      </w14:textFill>
                    </w:rPr>
                    <w:t>）</w:t>
                  </w:r>
                </w:p>
              </w:tc>
              <w:tc>
                <w:tcPr>
                  <w:tcW w:w="4430" w:type="dxa"/>
                  <w:vAlign w:val="center"/>
                </w:tcPr>
                <w:p w14:paraId="542345E1">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本项目临时堆土区总占地面积为</w:t>
                  </w:r>
                  <w:r>
                    <w:rPr>
                      <w:color w:val="000000" w:themeColor="text1"/>
                      <w14:textFill>
                        <w14:solidFill>
                          <w14:schemeClr w14:val="tx1"/>
                        </w14:solidFill>
                      </w14:textFill>
                    </w:rPr>
                    <w:t>71700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，淤泥堆放区内设置施工生产生活区，设置移动式沉淀池、隔油池各1座。</w:t>
                  </w:r>
                </w:p>
              </w:tc>
              <w:tc>
                <w:tcPr>
                  <w:tcW w:w="1102" w:type="dxa"/>
                  <w:vAlign w:val="center"/>
                </w:tcPr>
                <w:p w14:paraId="20E293E1">
                  <w:pPr>
                    <w:pStyle w:val="43"/>
                    <w:rPr>
                      <w:color w:val="000000" w:themeColor="text1"/>
                      <w14:textFill>
                        <w14:solidFill>
                          <w14:schemeClr w14:val="tx1"/>
                        </w14:solidFill>
                      </w14:textFill>
                    </w:rPr>
                  </w:pPr>
                  <w:r>
                    <w:rPr>
                      <w:szCs w:val="21"/>
                    </w:rPr>
                    <w:t>新建</w:t>
                  </w:r>
                </w:p>
              </w:tc>
            </w:tr>
            <w:tr w14:paraId="523E3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361503A0">
                  <w:pPr>
                    <w:pStyle w:val="43"/>
                    <w:rPr>
                      <w:color w:val="000000" w:themeColor="text1"/>
                      <w14:textFill>
                        <w14:solidFill>
                          <w14:schemeClr w14:val="tx1"/>
                        </w14:solidFill>
                      </w14:textFill>
                    </w:rPr>
                  </w:pPr>
                </w:p>
              </w:tc>
              <w:tc>
                <w:tcPr>
                  <w:tcW w:w="1011" w:type="dxa"/>
                  <w:vAlign w:val="center"/>
                </w:tcPr>
                <w:p w14:paraId="5F38E126">
                  <w:pPr>
                    <w:pStyle w:val="43"/>
                    <w:rPr>
                      <w:color w:val="000000" w:themeColor="text1"/>
                      <w:szCs w:val="21"/>
                      <w14:textFill>
                        <w14:solidFill>
                          <w14:schemeClr w14:val="tx1"/>
                        </w14:solidFill>
                      </w14:textFill>
                    </w:rPr>
                  </w:pPr>
                  <w:r>
                    <w:rPr>
                      <w:color w:val="000000" w:themeColor="text1"/>
                      <w14:textFill>
                        <w14:solidFill>
                          <w14:schemeClr w14:val="tx1"/>
                        </w14:solidFill>
                      </w14:textFill>
                    </w:rPr>
                    <w:t>弃土场</w:t>
                  </w:r>
                </w:p>
              </w:tc>
              <w:tc>
                <w:tcPr>
                  <w:tcW w:w="4430" w:type="dxa"/>
                  <w:vAlign w:val="center"/>
                </w:tcPr>
                <w:p w14:paraId="24224859">
                  <w:pPr>
                    <w:pStyle w:val="43"/>
                    <w:jc w:val="both"/>
                    <w:rPr>
                      <w:color w:val="000000" w:themeColor="text1"/>
                      <w:szCs w:val="32"/>
                      <w14:textFill>
                        <w14:solidFill>
                          <w14:schemeClr w14:val="tx1"/>
                        </w14:solidFill>
                      </w14:textFill>
                    </w:rPr>
                  </w:pPr>
                  <w:bookmarkStart w:id="18" w:name="OLE_LINK67"/>
                  <w:r>
                    <w:rPr>
                      <w:rFonts w:hint="eastAsia"/>
                      <w:color w:val="000000" w:themeColor="text1"/>
                      <w:szCs w:val="32"/>
                      <w14:textFill>
                        <w14:solidFill>
                          <w14:schemeClr w14:val="tx1"/>
                        </w14:solidFill>
                      </w14:textFill>
                    </w:rPr>
                    <w:t>本项目施工过程产生的弃方为14.32万m</w:t>
                  </w:r>
                  <w:r>
                    <w:rPr>
                      <w:color w:val="000000" w:themeColor="text1"/>
                      <w:szCs w:val="32"/>
                      <w:vertAlign w:val="superscript"/>
                      <w14:textFill>
                        <w14:solidFill>
                          <w14:schemeClr w14:val="tx1"/>
                        </w14:solidFill>
                      </w14:textFill>
                    </w:rPr>
                    <w:t>3</w:t>
                  </w:r>
                  <w:r>
                    <w:rPr>
                      <w:rFonts w:hint="eastAsia"/>
                      <w:color w:val="000000" w:themeColor="text1"/>
                      <w:szCs w:val="32"/>
                      <w14:textFill>
                        <w14:solidFill>
                          <w14:schemeClr w14:val="tx1"/>
                        </w14:solidFill>
                      </w14:textFill>
                    </w:rPr>
                    <w:t>，</w:t>
                  </w:r>
                  <w:bookmarkStart w:id="19" w:name="OLE_LINK40"/>
                  <w:r>
                    <w:rPr>
                      <w:rFonts w:hint="eastAsia"/>
                      <w:color w:val="000000" w:themeColor="text1"/>
                      <w:szCs w:val="32"/>
                      <w14:textFill>
                        <w14:solidFill>
                          <w14:schemeClr w14:val="tx1"/>
                        </w14:solidFill>
                      </w14:textFill>
                    </w:rPr>
                    <w:t>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bookmarkEnd w:id="18"/>
                  <w:bookmarkEnd w:id="19"/>
                </w:p>
              </w:tc>
              <w:tc>
                <w:tcPr>
                  <w:tcW w:w="1102" w:type="dxa"/>
                  <w:vAlign w:val="center"/>
                </w:tcPr>
                <w:p w14:paraId="26C43CAF">
                  <w:pPr>
                    <w:pStyle w:val="43"/>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w:t>
                  </w:r>
                </w:p>
              </w:tc>
            </w:tr>
            <w:tr w14:paraId="21FF5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gridSpan w:val="2"/>
                  <w:vMerge w:val="continue"/>
                  <w:vAlign w:val="center"/>
                </w:tcPr>
                <w:p w14:paraId="3762BFDD">
                  <w:pPr>
                    <w:pStyle w:val="43"/>
                    <w:rPr>
                      <w:color w:val="000000" w:themeColor="text1"/>
                      <w14:textFill>
                        <w14:solidFill>
                          <w14:schemeClr w14:val="tx1"/>
                        </w14:solidFill>
                      </w14:textFill>
                    </w:rPr>
                  </w:pPr>
                </w:p>
              </w:tc>
              <w:tc>
                <w:tcPr>
                  <w:tcW w:w="1011" w:type="dxa"/>
                  <w:vAlign w:val="center"/>
                </w:tcPr>
                <w:p w14:paraId="62674E0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临时道路</w:t>
                  </w:r>
                </w:p>
              </w:tc>
              <w:tc>
                <w:tcPr>
                  <w:tcW w:w="4430" w:type="dxa"/>
                  <w:vAlign w:val="center"/>
                </w:tcPr>
                <w:p w14:paraId="3028A2EE">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项目周边交通状况良好，施工便道主要利用现有道路。</w:t>
                  </w:r>
                </w:p>
              </w:tc>
              <w:tc>
                <w:tcPr>
                  <w:tcW w:w="1102" w:type="dxa"/>
                  <w:vAlign w:val="center"/>
                </w:tcPr>
                <w:p w14:paraId="59127C1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5346679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w:t>
            </w:r>
            <w:r>
              <w:rPr>
                <w:color w:val="000000" w:themeColor="text1"/>
                <w14:textFill>
                  <w14:solidFill>
                    <w14:schemeClr w14:val="tx1"/>
                  </w14:solidFill>
                </w14:textFill>
              </w:rPr>
              <w:t>、主要设备</w:t>
            </w:r>
          </w:p>
          <w:p w14:paraId="4F00653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新增</w:t>
            </w:r>
            <w:r>
              <w:rPr>
                <w:color w:val="000000" w:themeColor="text1"/>
                <w14:textFill>
                  <w14:solidFill>
                    <w14:schemeClr w14:val="tx1"/>
                  </w14:solidFill>
                </w14:textFill>
              </w:rPr>
              <w:t>主要设备见表</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w:t>
            </w:r>
          </w:p>
          <w:p w14:paraId="534C637E">
            <w:pPr>
              <w:pStyle w:val="47"/>
              <w:ind w:firstLine="420"/>
              <w:rPr>
                <w:color w:val="000000" w:themeColor="text1"/>
                <w14:textFill>
                  <w14:solidFill>
                    <w14:schemeClr w14:val="tx1"/>
                  </w14:solidFill>
                </w14:textFill>
              </w:rPr>
            </w:pPr>
          </w:p>
          <w:p w14:paraId="769DA4A5">
            <w:pPr>
              <w:pStyle w:val="46"/>
              <w:rPr>
                <w:color w:val="000000" w:themeColor="text1"/>
                <w14:textFill>
                  <w14:solidFill>
                    <w14:schemeClr w14:val="tx1"/>
                  </w14:solidFill>
                </w14:textFill>
              </w:rPr>
            </w:pPr>
          </w:p>
          <w:p w14:paraId="5D36ED21">
            <w:pPr>
              <w:pStyle w:val="46"/>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2主要设备一览表</w:t>
            </w:r>
          </w:p>
          <w:tbl>
            <w:tblPr>
              <w:tblStyle w:val="1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80"/>
              <w:gridCol w:w="3201"/>
              <w:gridCol w:w="1392"/>
              <w:gridCol w:w="975"/>
              <w:gridCol w:w="1124"/>
            </w:tblGrid>
            <w:tr w14:paraId="1CE18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 w:hRule="atLeast"/>
              </w:trPr>
              <w:tc>
                <w:tcPr>
                  <w:tcW w:w="896" w:type="dxa"/>
                  <w:vAlign w:val="center"/>
                </w:tcPr>
                <w:p w14:paraId="1F33ED26">
                  <w:pPr>
                    <w:pStyle w:val="43"/>
                    <w:rPr>
                      <w:szCs w:val="21"/>
                    </w:rPr>
                  </w:pPr>
                  <w:r>
                    <w:rPr>
                      <w:szCs w:val="21"/>
                    </w:rPr>
                    <w:t>序号</w:t>
                  </w:r>
                </w:p>
              </w:tc>
              <w:tc>
                <w:tcPr>
                  <w:tcW w:w="3259" w:type="dxa"/>
                  <w:vAlign w:val="center"/>
                </w:tcPr>
                <w:p w14:paraId="261D7C56">
                  <w:pPr>
                    <w:pStyle w:val="43"/>
                    <w:rPr>
                      <w:szCs w:val="21"/>
                    </w:rPr>
                  </w:pPr>
                  <w:r>
                    <w:rPr>
                      <w:szCs w:val="21"/>
                    </w:rPr>
                    <w:t>设备名称</w:t>
                  </w:r>
                </w:p>
              </w:tc>
              <w:tc>
                <w:tcPr>
                  <w:tcW w:w="1418" w:type="dxa"/>
                  <w:vAlign w:val="center"/>
                </w:tcPr>
                <w:p w14:paraId="5437A531">
                  <w:pPr>
                    <w:pStyle w:val="43"/>
                    <w:rPr>
                      <w:szCs w:val="21"/>
                    </w:rPr>
                  </w:pPr>
                  <w:r>
                    <w:rPr>
                      <w:szCs w:val="21"/>
                    </w:rPr>
                    <w:t>单位</w:t>
                  </w:r>
                </w:p>
              </w:tc>
              <w:tc>
                <w:tcPr>
                  <w:tcW w:w="992" w:type="dxa"/>
                  <w:vAlign w:val="center"/>
                </w:tcPr>
                <w:p w14:paraId="75C91A3F">
                  <w:pPr>
                    <w:pStyle w:val="43"/>
                    <w:rPr>
                      <w:szCs w:val="21"/>
                    </w:rPr>
                  </w:pPr>
                  <w:r>
                    <w:rPr>
                      <w:szCs w:val="21"/>
                    </w:rPr>
                    <w:t>数量</w:t>
                  </w:r>
                </w:p>
              </w:tc>
              <w:tc>
                <w:tcPr>
                  <w:tcW w:w="1145" w:type="dxa"/>
                </w:tcPr>
                <w:p w14:paraId="3F00CDBC">
                  <w:pPr>
                    <w:pStyle w:val="43"/>
                    <w:rPr>
                      <w:szCs w:val="21"/>
                    </w:rPr>
                  </w:pPr>
                  <w:r>
                    <w:rPr>
                      <w:rFonts w:hint="eastAsia"/>
                      <w:szCs w:val="21"/>
                    </w:rPr>
                    <w:t>备注</w:t>
                  </w:r>
                </w:p>
              </w:tc>
            </w:tr>
            <w:tr w14:paraId="7FED43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 w:hRule="atLeast"/>
              </w:trPr>
              <w:tc>
                <w:tcPr>
                  <w:tcW w:w="896" w:type="dxa"/>
                  <w:vAlign w:val="center"/>
                </w:tcPr>
                <w:p w14:paraId="11F9B1D7">
                  <w:pPr>
                    <w:pStyle w:val="43"/>
                    <w:rPr>
                      <w:szCs w:val="21"/>
                    </w:rPr>
                  </w:pPr>
                  <w:r>
                    <w:rPr>
                      <w:szCs w:val="21"/>
                    </w:rPr>
                    <w:t>1</w:t>
                  </w:r>
                </w:p>
              </w:tc>
              <w:tc>
                <w:tcPr>
                  <w:tcW w:w="3259" w:type="dxa"/>
                  <w:vAlign w:val="center"/>
                </w:tcPr>
                <w:p w14:paraId="33282D0B">
                  <w:pPr>
                    <w:pStyle w:val="43"/>
                    <w:rPr>
                      <w:szCs w:val="21"/>
                    </w:rPr>
                  </w:pPr>
                  <w:r>
                    <w:rPr>
                      <w:rFonts w:hint="eastAsia"/>
                      <w:szCs w:val="21"/>
                    </w:rPr>
                    <w:t>专用3.5MW生物质热水锅炉</w:t>
                  </w:r>
                </w:p>
                <w:p w14:paraId="2754D1B8">
                  <w:pPr>
                    <w:pStyle w:val="43"/>
                    <w:rPr>
                      <w:szCs w:val="21"/>
                    </w:rPr>
                  </w:pPr>
                  <w:r>
                    <w:rPr>
                      <w:rFonts w:hint="eastAsia"/>
                      <w:szCs w:val="21"/>
                    </w:rPr>
                    <w:t>（自带低氮燃烧）</w:t>
                  </w:r>
                </w:p>
              </w:tc>
              <w:tc>
                <w:tcPr>
                  <w:tcW w:w="1418" w:type="dxa"/>
                  <w:vAlign w:val="center"/>
                </w:tcPr>
                <w:p w14:paraId="7BFE47B2">
                  <w:pPr>
                    <w:pStyle w:val="43"/>
                    <w:rPr>
                      <w:szCs w:val="21"/>
                    </w:rPr>
                  </w:pPr>
                  <w:r>
                    <w:rPr>
                      <w:szCs w:val="21"/>
                    </w:rPr>
                    <w:t>台</w:t>
                  </w:r>
                </w:p>
              </w:tc>
              <w:tc>
                <w:tcPr>
                  <w:tcW w:w="992" w:type="dxa"/>
                  <w:vAlign w:val="center"/>
                </w:tcPr>
                <w:p w14:paraId="65117F48">
                  <w:pPr>
                    <w:pStyle w:val="43"/>
                    <w:rPr>
                      <w:szCs w:val="21"/>
                    </w:rPr>
                  </w:pPr>
                  <w:r>
                    <w:rPr>
                      <w:rFonts w:hint="eastAsia"/>
                      <w:szCs w:val="21"/>
                    </w:rPr>
                    <w:t>1</w:t>
                  </w:r>
                </w:p>
              </w:tc>
              <w:tc>
                <w:tcPr>
                  <w:tcW w:w="1145" w:type="dxa"/>
                </w:tcPr>
                <w:p w14:paraId="6B4CE4AA">
                  <w:pPr>
                    <w:pStyle w:val="43"/>
                    <w:rPr>
                      <w:szCs w:val="21"/>
                    </w:rPr>
                  </w:pPr>
                </w:p>
              </w:tc>
            </w:tr>
            <w:tr w14:paraId="3F5EF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3" w:hRule="atLeast"/>
              </w:trPr>
              <w:tc>
                <w:tcPr>
                  <w:tcW w:w="896" w:type="dxa"/>
                  <w:vAlign w:val="center"/>
                </w:tcPr>
                <w:p w14:paraId="4C33DAF1">
                  <w:pPr>
                    <w:pStyle w:val="43"/>
                    <w:rPr>
                      <w:szCs w:val="21"/>
                    </w:rPr>
                  </w:pPr>
                  <w:r>
                    <w:rPr>
                      <w:szCs w:val="21"/>
                    </w:rPr>
                    <w:t>2</w:t>
                  </w:r>
                </w:p>
              </w:tc>
              <w:tc>
                <w:tcPr>
                  <w:tcW w:w="3259" w:type="dxa"/>
                  <w:vAlign w:val="center"/>
                </w:tcPr>
                <w:p w14:paraId="7C6326B0">
                  <w:pPr>
                    <w:pStyle w:val="43"/>
                    <w:rPr>
                      <w:szCs w:val="21"/>
                    </w:rPr>
                  </w:pPr>
                  <w:r>
                    <w:rPr>
                      <w:rFonts w:hint="eastAsia"/>
                      <w:szCs w:val="21"/>
                    </w:rPr>
                    <w:t>旋风+</w:t>
                  </w:r>
                  <w:r>
                    <w:rPr>
                      <w:szCs w:val="21"/>
                    </w:rPr>
                    <w:t>布袋除尘器</w:t>
                  </w:r>
                </w:p>
              </w:tc>
              <w:tc>
                <w:tcPr>
                  <w:tcW w:w="1418" w:type="dxa"/>
                  <w:vAlign w:val="center"/>
                </w:tcPr>
                <w:p w14:paraId="02D037A9">
                  <w:pPr>
                    <w:pStyle w:val="43"/>
                    <w:rPr>
                      <w:szCs w:val="21"/>
                    </w:rPr>
                  </w:pPr>
                  <w:r>
                    <w:rPr>
                      <w:szCs w:val="21"/>
                    </w:rPr>
                    <w:t>台</w:t>
                  </w:r>
                </w:p>
              </w:tc>
              <w:tc>
                <w:tcPr>
                  <w:tcW w:w="992" w:type="dxa"/>
                  <w:vAlign w:val="center"/>
                </w:tcPr>
                <w:p w14:paraId="08F3FC7B">
                  <w:pPr>
                    <w:pStyle w:val="43"/>
                    <w:rPr>
                      <w:szCs w:val="21"/>
                    </w:rPr>
                  </w:pPr>
                  <w:r>
                    <w:rPr>
                      <w:rFonts w:hint="eastAsia"/>
                      <w:szCs w:val="21"/>
                    </w:rPr>
                    <w:t>1</w:t>
                  </w:r>
                </w:p>
              </w:tc>
              <w:tc>
                <w:tcPr>
                  <w:tcW w:w="1145" w:type="dxa"/>
                </w:tcPr>
                <w:p w14:paraId="1329A300">
                  <w:pPr>
                    <w:pStyle w:val="43"/>
                    <w:rPr>
                      <w:szCs w:val="21"/>
                    </w:rPr>
                  </w:pPr>
                </w:p>
              </w:tc>
            </w:tr>
            <w:tr w14:paraId="322924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0" w:hRule="atLeast"/>
              </w:trPr>
              <w:tc>
                <w:tcPr>
                  <w:tcW w:w="896" w:type="dxa"/>
                  <w:vAlign w:val="center"/>
                </w:tcPr>
                <w:p w14:paraId="39300AAE">
                  <w:pPr>
                    <w:pStyle w:val="43"/>
                    <w:rPr>
                      <w:szCs w:val="21"/>
                    </w:rPr>
                  </w:pPr>
                  <w:r>
                    <w:rPr>
                      <w:szCs w:val="21"/>
                    </w:rPr>
                    <w:t>3</w:t>
                  </w:r>
                </w:p>
              </w:tc>
              <w:tc>
                <w:tcPr>
                  <w:tcW w:w="3259" w:type="dxa"/>
                  <w:vAlign w:val="center"/>
                </w:tcPr>
                <w:p w14:paraId="03168756">
                  <w:pPr>
                    <w:pStyle w:val="43"/>
                    <w:rPr>
                      <w:szCs w:val="21"/>
                    </w:rPr>
                  </w:pPr>
                  <w:r>
                    <w:rPr>
                      <w:szCs w:val="21"/>
                    </w:rPr>
                    <w:t>风机</w:t>
                  </w:r>
                </w:p>
              </w:tc>
              <w:tc>
                <w:tcPr>
                  <w:tcW w:w="1418" w:type="dxa"/>
                  <w:vAlign w:val="center"/>
                </w:tcPr>
                <w:p w14:paraId="1252A4B8">
                  <w:pPr>
                    <w:pStyle w:val="43"/>
                    <w:rPr>
                      <w:szCs w:val="21"/>
                    </w:rPr>
                  </w:pPr>
                  <w:r>
                    <w:rPr>
                      <w:szCs w:val="21"/>
                    </w:rPr>
                    <w:t>台</w:t>
                  </w:r>
                </w:p>
              </w:tc>
              <w:tc>
                <w:tcPr>
                  <w:tcW w:w="992" w:type="dxa"/>
                  <w:vAlign w:val="center"/>
                </w:tcPr>
                <w:p w14:paraId="0785DC59">
                  <w:pPr>
                    <w:pStyle w:val="43"/>
                    <w:rPr>
                      <w:szCs w:val="21"/>
                    </w:rPr>
                  </w:pPr>
                  <w:r>
                    <w:rPr>
                      <w:rFonts w:hint="eastAsia"/>
                      <w:szCs w:val="21"/>
                    </w:rPr>
                    <w:t>1</w:t>
                  </w:r>
                </w:p>
              </w:tc>
              <w:tc>
                <w:tcPr>
                  <w:tcW w:w="1145" w:type="dxa"/>
                </w:tcPr>
                <w:p w14:paraId="356300F9">
                  <w:pPr>
                    <w:pStyle w:val="43"/>
                    <w:rPr>
                      <w:szCs w:val="21"/>
                    </w:rPr>
                  </w:pPr>
                </w:p>
              </w:tc>
            </w:tr>
          </w:tbl>
          <w:p w14:paraId="6F6E011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三</w:t>
            </w:r>
            <w:r>
              <w:rPr>
                <w:color w:val="000000" w:themeColor="text1"/>
                <w14:textFill>
                  <w14:solidFill>
                    <w14:schemeClr w14:val="tx1"/>
                  </w14:solidFill>
                </w14:textFill>
              </w:rPr>
              <w:t>、主要原辅材料及用量</w:t>
            </w:r>
          </w:p>
          <w:p w14:paraId="6A2D6EDA">
            <w:pPr>
              <w:pStyle w:val="46"/>
              <w:rPr>
                <w:color w:val="000000" w:themeColor="text1"/>
                <w14:textFill>
                  <w14:solidFill>
                    <w14:schemeClr w14:val="tx1"/>
                  </w14:solidFill>
                </w14:textFill>
              </w:rPr>
            </w:pPr>
            <w:r>
              <w:rPr>
                <w:color w:val="000000" w:themeColor="text1"/>
                <w14:textFill>
                  <w14:solidFill>
                    <w14:schemeClr w14:val="tx1"/>
                  </w14:solidFill>
                </w14:textFill>
              </w:rPr>
              <w:t xml:space="preserve">表2-3 </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原辅材料及用量</w:t>
            </w:r>
          </w:p>
          <w:tbl>
            <w:tblPr>
              <w:tblStyle w:val="19"/>
              <w:tblW w:w="75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5"/>
              <w:gridCol w:w="2588"/>
              <w:gridCol w:w="999"/>
              <w:gridCol w:w="1710"/>
            </w:tblGrid>
            <w:tr w14:paraId="3B579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2275" w:type="dxa"/>
                  <w:vAlign w:val="center"/>
                </w:tcPr>
                <w:p w14:paraId="6C029FBF">
                  <w:pPr>
                    <w:pStyle w:val="43"/>
                    <w:rPr>
                      <w:szCs w:val="21"/>
                    </w:rPr>
                  </w:pPr>
                  <w:r>
                    <w:rPr>
                      <w:szCs w:val="21"/>
                    </w:rPr>
                    <w:t>项目</w:t>
                  </w:r>
                </w:p>
              </w:tc>
              <w:tc>
                <w:tcPr>
                  <w:tcW w:w="2588" w:type="dxa"/>
                  <w:vAlign w:val="center"/>
                </w:tcPr>
                <w:p w14:paraId="3BB75A93">
                  <w:pPr>
                    <w:pStyle w:val="43"/>
                    <w:rPr>
                      <w:szCs w:val="21"/>
                    </w:rPr>
                  </w:pPr>
                  <w:r>
                    <w:rPr>
                      <w:szCs w:val="21"/>
                    </w:rPr>
                    <w:t>年用量</w:t>
                  </w:r>
                </w:p>
              </w:tc>
              <w:tc>
                <w:tcPr>
                  <w:tcW w:w="999" w:type="dxa"/>
                  <w:vAlign w:val="center"/>
                </w:tcPr>
                <w:p w14:paraId="041A7A5F">
                  <w:pPr>
                    <w:pStyle w:val="43"/>
                    <w:rPr>
                      <w:szCs w:val="21"/>
                    </w:rPr>
                  </w:pPr>
                  <w:r>
                    <w:rPr>
                      <w:szCs w:val="21"/>
                    </w:rPr>
                    <w:t>单位</w:t>
                  </w:r>
                </w:p>
              </w:tc>
              <w:tc>
                <w:tcPr>
                  <w:tcW w:w="1710" w:type="dxa"/>
                  <w:vAlign w:val="center"/>
                </w:tcPr>
                <w:p w14:paraId="06D52E23">
                  <w:pPr>
                    <w:pStyle w:val="43"/>
                    <w:rPr>
                      <w:szCs w:val="21"/>
                    </w:rPr>
                  </w:pPr>
                  <w:r>
                    <w:rPr>
                      <w:szCs w:val="21"/>
                    </w:rPr>
                    <w:t>备注</w:t>
                  </w:r>
                </w:p>
              </w:tc>
            </w:tr>
            <w:tr w14:paraId="183A21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2275" w:type="dxa"/>
                  <w:vAlign w:val="center"/>
                </w:tcPr>
                <w:p w14:paraId="2ADC887F">
                  <w:pPr>
                    <w:pStyle w:val="43"/>
                    <w:rPr>
                      <w:szCs w:val="21"/>
                    </w:rPr>
                  </w:pPr>
                  <w:r>
                    <w:rPr>
                      <w:szCs w:val="21"/>
                    </w:rPr>
                    <w:t>生物质</w:t>
                  </w:r>
                  <w:r>
                    <w:rPr>
                      <w:rFonts w:hint="eastAsia"/>
                      <w:szCs w:val="21"/>
                    </w:rPr>
                    <w:t>颗粒燃料</w:t>
                  </w:r>
                </w:p>
              </w:tc>
              <w:tc>
                <w:tcPr>
                  <w:tcW w:w="2588" w:type="dxa"/>
                  <w:vAlign w:val="center"/>
                </w:tcPr>
                <w:p w14:paraId="696D27CE">
                  <w:pPr>
                    <w:pStyle w:val="43"/>
                    <w:rPr>
                      <w:szCs w:val="21"/>
                    </w:rPr>
                  </w:pPr>
                  <w:r>
                    <w:rPr>
                      <w:rFonts w:hint="eastAsia"/>
                      <w:szCs w:val="21"/>
                    </w:rPr>
                    <w:t>2288</w:t>
                  </w:r>
                </w:p>
              </w:tc>
              <w:tc>
                <w:tcPr>
                  <w:tcW w:w="999" w:type="dxa"/>
                  <w:vAlign w:val="center"/>
                </w:tcPr>
                <w:p w14:paraId="1B9D0878">
                  <w:pPr>
                    <w:pStyle w:val="43"/>
                    <w:rPr>
                      <w:szCs w:val="21"/>
                    </w:rPr>
                  </w:pPr>
                  <w:r>
                    <w:rPr>
                      <w:szCs w:val="21"/>
                    </w:rPr>
                    <w:t>t/a</w:t>
                  </w:r>
                </w:p>
              </w:tc>
              <w:tc>
                <w:tcPr>
                  <w:tcW w:w="1710" w:type="dxa"/>
                  <w:vAlign w:val="center"/>
                </w:tcPr>
                <w:p w14:paraId="725A9605">
                  <w:pPr>
                    <w:pStyle w:val="43"/>
                    <w:rPr>
                      <w:szCs w:val="21"/>
                      <w:highlight w:val="yellow"/>
                    </w:rPr>
                  </w:pPr>
                </w:p>
              </w:tc>
            </w:tr>
            <w:tr w14:paraId="0AA1E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2275" w:type="dxa"/>
                  <w:vAlign w:val="center"/>
                </w:tcPr>
                <w:p w14:paraId="0911A98B">
                  <w:pPr>
                    <w:pStyle w:val="43"/>
                    <w:rPr>
                      <w:szCs w:val="21"/>
                    </w:rPr>
                  </w:pPr>
                  <w:r>
                    <w:rPr>
                      <w:szCs w:val="21"/>
                    </w:rPr>
                    <w:t>离子交换树脂</w:t>
                  </w:r>
                </w:p>
              </w:tc>
              <w:tc>
                <w:tcPr>
                  <w:tcW w:w="2588" w:type="dxa"/>
                  <w:vAlign w:val="center"/>
                </w:tcPr>
                <w:p w14:paraId="05A1DC1E">
                  <w:pPr>
                    <w:pStyle w:val="43"/>
                    <w:rPr>
                      <w:szCs w:val="21"/>
                    </w:rPr>
                  </w:pPr>
                  <w:r>
                    <w:rPr>
                      <w:rFonts w:hint="eastAsia"/>
                      <w:szCs w:val="21"/>
                    </w:rPr>
                    <w:t>1</w:t>
                  </w:r>
                </w:p>
              </w:tc>
              <w:tc>
                <w:tcPr>
                  <w:tcW w:w="999" w:type="dxa"/>
                  <w:vAlign w:val="center"/>
                </w:tcPr>
                <w:p w14:paraId="2D861B3B">
                  <w:pPr>
                    <w:pStyle w:val="43"/>
                    <w:rPr>
                      <w:szCs w:val="21"/>
                    </w:rPr>
                  </w:pPr>
                  <w:r>
                    <w:rPr>
                      <w:szCs w:val="21"/>
                    </w:rPr>
                    <w:t>t/a</w:t>
                  </w:r>
                </w:p>
              </w:tc>
              <w:tc>
                <w:tcPr>
                  <w:tcW w:w="1710" w:type="dxa"/>
                  <w:vAlign w:val="center"/>
                </w:tcPr>
                <w:p w14:paraId="0CCF5FFB">
                  <w:pPr>
                    <w:pStyle w:val="43"/>
                    <w:rPr>
                      <w:szCs w:val="21"/>
                    </w:rPr>
                  </w:pPr>
                </w:p>
              </w:tc>
            </w:tr>
          </w:tbl>
          <w:p w14:paraId="7F42128D">
            <w:pPr>
              <w:pStyle w:val="46"/>
              <w:rPr>
                <w:color w:val="000000" w:themeColor="text1"/>
                <w14:textFill>
                  <w14:solidFill>
                    <w14:schemeClr w14:val="tx1"/>
                  </w14:solidFill>
                </w14:textFill>
              </w:rPr>
            </w:pPr>
            <w:r>
              <w:rPr>
                <w:color w:val="000000" w:themeColor="text1"/>
                <w14:textFill>
                  <w14:solidFill>
                    <w14:schemeClr w14:val="tx1"/>
                  </w14:solidFill>
                </w14:textFill>
              </w:rPr>
              <w:t>表2-4 燃料成分分析一览表</w:t>
            </w:r>
          </w:p>
          <w:tbl>
            <w:tblPr>
              <w:tblStyle w:val="19"/>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9"/>
              <w:gridCol w:w="4177"/>
              <w:gridCol w:w="1670"/>
              <w:gridCol w:w="984"/>
            </w:tblGrid>
            <w:tr w14:paraId="24DF5C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8" w:hRule="atLeast"/>
                <w:jc w:val="center"/>
              </w:trPr>
              <w:tc>
                <w:tcPr>
                  <w:tcW w:w="488" w:type="pct"/>
                  <w:vAlign w:val="center"/>
                </w:tcPr>
                <w:p w14:paraId="24CE9E3D">
                  <w:pPr>
                    <w:pStyle w:val="43"/>
                    <w:rPr>
                      <w:szCs w:val="21"/>
                    </w:rPr>
                  </w:pPr>
                  <w:r>
                    <w:rPr>
                      <w:szCs w:val="21"/>
                    </w:rPr>
                    <w:t>序号</w:t>
                  </w:r>
                </w:p>
              </w:tc>
              <w:tc>
                <w:tcPr>
                  <w:tcW w:w="2759" w:type="pct"/>
                  <w:vAlign w:val="center"/>
                </w:tcPr>
                <w:p w14:paraId="25995D1C">
                  <w:pPr>
                    <w:pStyle w:val="43"/>
                    <w:rPr>
                      <w:szCs w:val="21"/>
                    </w:rPr>
                  </w:pPr>
                  <w:r>
                    <w:rPr>
                      <w:szCs w:val="21"/>
                    </w:rPr>
                    <w:t>检验项目</w:t>
                  </w:r>
                </w:p>
              </w:tc>
              <w:tc>
                <w:tcPr>
                  <w:tcW w:w="1103" w:type="pct"/>
                  <w:vAlign w:val="center"/>
                </w:tcPr>
                <w:p w14:paraId="0795B193">
                  <w:pPr>
                    <w:pStyle w:val="43"/>
                    <w:rPr>
                      <w:szCs w:val="21"/>
                    </w:rPr>
                  </w:pPr>
                  <w:r>
                    <w:rPr>
                      <w:szCs w:val="21"/>
                    </w:rPr>
                    <w:t>检验标准</w:t>
                  </w:r>
                </w:p>
              </w:tc>
              <w:tc>
                <w:tcPr>
                  <w:tcW w:w="650" w:type="pct"/>
                  <w:vAlign w:val="center"/>
                </w:tcPr>
                <w:p w14:paraId="14CA02F0">
                  <w:pPr>
                    <w:pStyle w:val="43"/>
                    <w:rPr>
                      <w:szCs w:val="21"/>
                    </w:rPr>
                  </w:pPr>
                  <w:r>
                    <w:rPr>
                      <w:szCs w:val="21"/>
                    </w:rPr>
                    <w:t>检验值</w:t>
                  </w:r>
                </w:p>
              </w:tc>
            </w:tr>
            <w:tr w14:paraId="02801307">
              <w:tblPrEx>
                <w:tblCellMar>
                  <w:top w:w="0" w:type="dxa"/>
                  <w:left w:w="108" w:type="dxa"/>
                  <w:bottom w:w="0" w:type="dxa"/>
                  <w:right w:w="108" w:type="dxa"/>
                </w:tblCellMar>
              </w:tblPrEx>
              <w:trPr>
                <w:trHeight w:val="263" w:hRule="atLeast"/>
                <w:jc w:val="center"/>
              </w:trPr>
              <w:tc>
                <w:tcPr>
                  <w:tcW w:w="488" w:type="pct"/>
                  <w:vAlign w:val="center"/>
                </w:tcPr>
                <w:p w14:paraId="27FD8CC1">
                  <w:pPr>
                    <w:pStyle w:val="43"/>
                    <w:rPr>
                      <w:szCs w:val="21"/>
                    </w:rPr>
                  </w:pPr>
                  <w:r>
                    <w:rPr>
                      <w:szCs w:val="21"/>
                    </w:rPr>
                    <w:t>1</w:t>
                  </w:r>
                </w:p>
              </w:tc>
              <w:tc>
                <w:tcPr>
                  <w:tcW w:w="2759" w:type="pct"/>
                  <w:vAlign w:val="center"/>
                </w:tcPr>
                <w:p w14:paraId="450D7D9D">
                  <w:pPr>
                    <w:pStyle w:val="43"/>
                    <w:rPr>
                      <w:szCs w:val="21"/>
                    </w:rPr>
                  </w:pPr>
                  <w:r>
                    <w:rPr>
                      <w:szCs w:val="21"/>
                    </w:rPr>
                    <w:t>收到基全水分Mt(%)</w:t>
                  </w:r>
                </w:p>
              </w:tc>
              <w:tc>
                <w:tcPr>
                  <w:tcW w:w="1103" w:type="pct"/>
                  <w:vAlign w:val="center"/>
                </w:tcPr>
                <w:p w14:paraId="3198BE09">
                  <w:pPr>
                    <w:pStyle w:val="43"/>
                    <w:rPr>
                      <w:szCs w:val="21"/>
                    </w:rPr>
                  </w:pPr>
                  <w:r>
                    <w:rPr>
                      <w:szCs w:val="21"/>
                    </w:rPr>
                    <w:t>GB/T211-2007</w:t>
                  </w:r>
                </w:p>
              </w:tc>
              <w:tc>
                <w:tcPr>
                  <w:tcW w:w="650" w:type="pct"/>
                  <w:vAlign w:val="center"/>
                </w:tcPr>
                <w:p w14:paraId="4BBF3C7B">
                  <w:pPr>
                    <w:pStyle w:val="43"/>
                    <w:rPr>
                      <w:szCs w:val="21"/>
                    </w:rPr>
                  </w:pPr>
                  <w:r>
                    <w:rPr>
                      <w:szCs w:val="21"/>
                    </w:rPr>
                    <w:t>7</w:t>
                  </w:r>
                </w:p>
              </w:tc>
            </w:tr>
            <w:tr w14:paraId="3EC0AE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4" w:hRule="atLeast"/>
                <w:jc w:val="center"/>
              </w:trPr>
              <w:tc>
                <w:tcPr>
                  <w:tcW w:w="488" w:type="pct"/>
                  <w:vAlign w:val="center"/>
                </w:tcPr>
                <w:p w14:paraId="0666ACF1">
                  <w:pPr>
                    <w:pStyle w:val="43"/>
                    <w:rPr>
                      <w:szCs w:val="21"/>
                    </w:rPr>
                  </w:pPr>
                  <w:r>
                    <w:rPr>
                      <w:szCs w:val="21"/>
                    </w:rPr>
                    <w:t>2</w:t>
                  </w:r>
                </w:p>
              </w:tc>
              <w:tc>
                <w:tcPr>
                  <w:tcW w:w="2759" w:type="pct"/>
                  <w:vAlign w:val="center"/>
                </w:tcPr>
                <w:p w14:paraId="2C055246">
                  <w:pPr>
                    <w:pStyle w:val="43"/>
                    <w:rPr>
                      <w:szCs w:val="21"/>
                    </w:rPr>
                  </w:pPr>
                  <w:r>
                    <w:rPr>
                      <w:szCs w:val="21"/>
                    </w:rPr>
                    <w:t>空气干燥基水分Mad（%）</w:t>
                  </w:r>
                </w:p>
              </w:tc>
              <w:tc>
                <w:tcPr>
                  <w:tcW w:w="1103" w:type="pct"/>
                  <w:vAlign w:val="center"/>
                </w:tcPr>
                <w:p w14:paraId="63322527">
                  <w:pPr>
                    <w:pStyle w:val="43"/>
                    <w:rPr>
                      <w:szCs w:val="21"/>
                    </w:rPr>
                  </w:pPr>
                  <w:r>
                    <w:rPr>
                      <w:szCs w:val="21"/>
                    </w:rPr>
                    <w:t>GB/T212-2008</w:t>
                  </w:r>
                </w:p>
              </w:tc>
              <w:tc>
                <w:tcPr>
                  <w:tcW w:w="650" w:type="pct"/>
                  <w:vAlign w:val="center"/>
                </w:tcPr>
                <w:p w14:paraId="15C8430B">
                  <w:pPr>
                    <w:pStyle w:val="43"/>
                    <w:rPr>
                      <w:szCs w:val="21"/>
                    </w:rPr>
                  </w:pPr>
                  <w:r>
                    <w:rPr>
                      <w:szCs w:val="21"/>
                    </w:rPr>
                    <w:t>4.34</w:t>
                  </w:r>
                </w:p>
              </w:tc>
            </w:tr>
            <w:tr w14:paraId="5FED5309">
              <w:tblPrEx>
                <w:tblCellMar>
                  <w:top w:w="0" w:type="dxa"/>
                  <w:left w:w="108" w:type="dxa"/>
                  <w:bottom w:w="0" w:type="dxa"/>
                  <w:right w:w="108" w:type="dxa"/>
                </w:tblCellMar>
              </w:tblPrEx>
              <w:trPr>
                <w:trHeight w:val="273" w:hRule="atLeast"/>
                <w:jc w:val="center"/>
              </w:trPr>
              <w:tc>
                <w:tcPr>
                  <w:tcW w:w="488" w:type="pct"/>
                  <w:vAlign w:val="center"/>
                </w:tcPr>
                <w:p w14:paraId="00E5C7A4">
                  <w:pPr>
                    <w:pStyle w:val="43"/>
                    <w:rPr>
                      <w:szCs w:val="21"/>
                    </w:rPr>
                  </w:pPr>
                  <w:r>
                    <w:rPr>
                      <w:szCs w:val="21"/>
                    </w:rPr>
                    <w:t>3</w:t>
                  </w:r>
                </w:p>
              </w:tc>
              <w:tc>
                <w:tcPr>
                  <w:tcW w:w="2759" w:type="pct"/>
                  <w:vAlign w:val="center"/>
                </w:tcPr>
                <w:p w14:paraId="0A289E45">
                  <w:pPr>
                    <w:pStyle w:val="43"/>
                    <w:rPr>
                      <w:szCs w:val="21"/>
                    </w:rPr>
                  </w:pPr>
                  <w:r>
                    <w:rPr>
                      <w:szCs w:val="21"/>
                    </w:rPr>
                    <w:t>空气干燥基挥发分Vad（%）</w:t>
                  </w:r>
                </w:p>
              </w:tc>
              <w:tc>
                <w:tcPr>
                  <w:tcW w:w="1103" w:type="pct"/>
                  <w:vAlign w:val="center"/>
                </w:tcPr>
                <w:p w14:paraId="534C7FAE">
                  <w:pPr>
                    <w:pStyle w:val="43"/>
                    <w:rPr>
                      <w:szCs w:val="21"/>
                    </w:rPr>
                  </w:pPr>
                  <w:r>
                    <w:rPr>
                      <w:szCs w:val="21"/>
                    </w:rPr>
                    <w:t>GB/T212-2008</w:t>
                  </w:r>
                </w:p>
              </w:tc>
              <w:tc>
                <w:tcPr>
                  <w:tcW w:w="650" w:type="pct"/>
                  <w:vAlign w:val="center"/>
                </w:tcPr>
                <w:p w14:paraId="38CB078C">
                  <w:pPr>
                    <w:pStyle w:val="43"/>
                    <w:rPr>
                      <w:szCs w:val="21"/>
                    </w:rPr>
                  </w:pPr>
                  <w:r>
                    <w:rPr>
                      <w:szCs w:val="21"/>
                    </w:rPr>
                    <w:t>63.32</w:t>
                  </w:r>
                </w:p>
              </w:tc>
            </w:tr>
            <w:tr w14:paraId="318FB667">
              <w:tblPrEx>
                <w:tblCellMar>
                  <w:top w:w="0" w:type="dxa"/>
                  <w:left w:w="108" w:type="dxa"/>
                  <w:bottom w:w="0" w:type="dxa"/>
                  <w:right w:w="108" w:type="dxa"/>
                </w:tblCellMar>
              </w:tblPrEx>
              <w:trPr>
                <w:trHeight w:val="304" w:hRule="atLeast"/>
                <w:jc w:val="center"/>
              </w:trPr>
              <w:tc>
                <w:tcPr>
                  <w:tcW w:w="488" w:type="pct"/>
                  <w:vAlign w:val="center"/>
                </w:tcPr>
                <w:p w14:paraId="2E975D8F">
                  <w:pPr>
                    <w:pStyle w:val="43"/>
                    <w:rPr>
                      <w:szCs w:val="21"/>
                    </w:rPr>
                  </w:pPr>
                  <w:r>
                    <w:rPr>
                      <w:szCs w:val="21"/>
                    </w:rPr>
                    <w:t>4</w:t>
                  </w:r>
                </w:p>
              </w:tc>
              <w:tc>
                <w:tcPr>
                  <w:tcW w:w="2759" w:type="pct"/>
                  <w:vAlign w:val="center"/>
                </w:tcPr>
                <w:p w14:paraId="7FECEFE4">
                  <w:pPr>
                    <w:pStyle w:val="43"/>
                    <w:rPr>
                      <w:szCs w:val="21"/>
                    </w:rPr>
                  </w:pPr>
                  <w:r>
                    <w:rPr>
                      <w:szCs w:val="21"/>
                    </w:rPr>
                    <w:t>空气干燥基氢Had（%）</w:t>
                  </w:r>
                </w:p>
              </w:tc>
              <w:tc>
                <w:tcPr>
                  <w:tcW w:w="1103" w:type="pct"/>
                  <w:vAlign w:val="center"/>
                </w:tcPr>
                <w:p w14:paraId="3FBBFFD4">
                  <w:pPr>
                    <w:pStyle w:val="43"/>
                    <w:rPr>
                      <w:szCs w:val="21"/>
                    </w:rPr>
                  </w:pPr>
                  <w:r>
                    <w:rPr>
                      <w:szCs w:val="21"/>
                    </w:rPr>
                    <w:t>GB/T212-2008</w:t>
                  </w:r>
                </w:p>
              </w:tc>
              <w:tc>
                <w:tcPr>
                  <w:tcW w:w="650" w:type="pct"/>
                  <w:vAlign w:val="center"/>
                </w:tcPr>
                <w:p w14:paraId="2A52478D">
                  <w:pPr>
                    <w:pStyle w:val="43"/>
                    <w:rPr>
                      <w:szCs w:val="21"/>
                    </w:rPr>
                  </w:pPr>
                  <w:r>
                    <w:rPr>
                      <w:szCs w:val="21"/>
                    </w:rPr>
                    <w:t>4.51</w:t>
                  </w:r>
                </w:p>
              </w:tc>
            </w:tr>
            <w:tr w14:paraId="68505251">
              <w:tblPrEx>
                <w:tblCellMar>
                  <w:top w:w="0" w:type="dxa"/>
                  <w:left w:w="108" w:type="dxa"/>
                  <w:bottom w:w="0" w:type="dxa"/>
                  <w:right w:w="108" w:type="dxa"/>
                </w:tblCellMar>
              </w:tblPrEx>
              <w:trPr>
                <w:trHeight w:val="281" w:hRule="atLeast"/>
                <w:jc w:val="center"/>
              </w:trPr>
              <w:tc>
                <w:tcPr>
                  <w:tcW w:w="488" w:type="pct"/>
                  <w:vAlign w:val="center"/>
                </w:tcPr>
                <w:p w14:paraId="71556083">
                  <w:pPr>
                    <w:pStyle w:val="43"/>
                    <w:rPr>
                      <w:szCs w:val="21"/>
                    </w:rPr>
                  </w:pPr>
                  <w:r>
                    <w:rPr>
                      <w:szCs w:val="21"/>
                    </w:rPr>
                    <w:t>5</w:t>
                  </w:r>
                </w:p>
              </w:tc>
              <w:tc>
                <w:tcPr>
                  <w:tcW w:w="2759" w:type="pct"/>
                  <w:vAlign w:val="center"/>
                </w:tcPr>
                <w:p w14:paraId="73646C49">
                  <w:pPr>
                    <w:pStyle w:val="43"/>
                    <w:rPr>
                      <w:szCs w:val="21"/>
                    </w:rPr>
                  </w:pPr>
                  <w:r>
                    <w:rPr>
                      <w:szCs w:val="21"/>
                    </w:rPr>
                    <w:t>干燥基灰分Aad（%）</w:t>
                  </w:r>
                </w:p>
              </w:tc>
              <w:tc>
                <w:tcPr>
                  <w:tcW w:w="1103" w:type="pct"/>
                  <w:vAlign w:val="center"/>
                </w:tcPr>
                <w:p w14:paraId="6E9B1F88">
                  <w:pPr>
                    <w:pStyle w:val="43"/>
                    <w:rPr>
                      <w:szCs w:val="21"/>
                    </w:rPr>
                  </w:pPr>
                  <w:r>
                    <w:rPr>
                      <w:szCs w:val="21"/>
                    </w:rPr>
                    <w:t>GB/T212-2008</w:t>
                  </w:r>
                </w:p>
              </w:tc>
              <w:tc>
                <w:tcPr>
                  <w:tcW w:w="650" w:type="pct"/>
                  <w:vAlign w:val="center"/>
                </w:tcPr>
                <w:p w14:paraId="50159DB7">
                  <w:pPr>
                    <w:pStyle w:val="43"/>
                    <w:rPr>
                      <w:szCs w:val="21"/>
                    </w:rPr>
                  </w:pPr>
                  <w:r>
                    <w:rPr>
                      <w:szCs w:val="21"/>
                    </w:rPr>
                    <w:t>16.80</w:t>
                  </w:r>
                </w:p>
              </w:tc>
            </w:tr>
            <w:tr w14:paraId="63F27A11">
              <w:tblPrEx>
                <w:tblCellMar>
                  <w:top w:w="0" w:type="dxa"/>
                  <w:left w:w="108" w:type="dxa"/>
                  <w:bottom w:w="0" w:type="dxa"/>
                  <w:right w:w="108" w:type="dxa"/>
                </w:tblCellMar>
              </w:tblPrEx>
              <w:trPr>
                <w:trHeight w:val="242" w:hRule="atLeast"/>
                <w:jc w:val="center"/>
              </w:trPr>
              <w:tc>
                <w:tcPr>
                  <w:tcW w:w="488" w:type="pct"/>
                  <w:vAlign w:val="center"/>
                </w:tcPr>
                <w:p w14:paraId="6C72C949">
                  <w:pPr>
                    <w:pStyle w:val="43"/>
                    <w:rPr>
                      <w:szCs w:val="21"/>
                    </w:rPr>
                  </w:pPr>
                  <w:r>
                    <w:rPr>
                      <w:szCs w:val="21"/>
                    </w:rPr>
                    <w:t>6</w:t>
                  </w:r>
                </w:p>
              </w:tc>
              <w:tc>
                <w:tcPr>
                  <w:tcW w:w="2759" w:type="pct"/>
                  <w:vAlign w:val="center"/>
                </w:tcPr>
                <w:p w14:paraId="0AA0E9E3">
                  <w:pPr>
                    <w:pStyle w:val="43"/>
                    <w:rPr>
                      <w:szCs w:val="21"/>
                    </w:rPr>
                  </w:pPr>
                  <w:r>
                    <w:rPr>
                      <w:szCs w:val="21"/>
                    </w:rPr>
                    <w:t>收到基灰分Aar（%）</w:t>
                  </w:r>
                </w:p>
              </w:tc>
              <w:tc>
                <w:tcPr>
                  <w:tcW w:w="1103" w:type="pct"/>
                  <w:vAlign w:val="center"/>
                </w:tcPr>
                <w:p w14:paraId="5A396063">
                  <w:pPr>
                    <w:pStyle w:val="43"/>
                    <w:rPr>
                      <w:szCs w:val="21"/>
                    </w:rPr>
                  </w:pPr>
                  <w:r>
                    <w:rPr>
                      <w:szCs w:val="21"/>
                    </w:rPr>
                    <w:t>GB/T212-2008</w:t>
                  </w:r>
                </w:p>
              </w:tc>
              <w:tc>
                <w:tcPr>
                  <w:tcW w:w="650" w:type="pct"/>
                  <w:vAlign w:val="center"/>
                </w:tcPr>
                <w:p w14:paraId="66339546">
                  <w:pPr>
                    <w:pStyle w:val="43"/>
                    <w:rPr>
                      <w:szCs w:val="21"/>
                    </w:rPr>
                  </w:pPr>
                  <w:r>
                    <w:rPr>
                      <w:szCs w:val="21"/>
                    </w:rPr>
                    <w:t>6.33</w:t>
                  </w:r>
                </w:p>
              </w:tc>
            </w:tr>
            <w:tr w14:paraId="02A43EA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7" w:hRule="atLeast"/>
                <w:jc w:val="center"/>
              </w:trPr>
              <w:tc>
                <w:tcPr>
                  <w:tcW w:w="488" w:type="pct"/>
                  <w:vAlign w:val="center"/>
                </w:tcPr>
                <w:p w14:paraId="6841BDA2">
                  <w:pPr>
                    <w:pStyle w:val="43"/>
                    <w:rPr>
                      <w:szCs w:val="21"/>
                    </w:rPr>
                  </w:pPr>
                  <w:r>
                    <w:rPr>
                      <w:szCs w:val="21"/>
                    </w:rPr>
                    <w:t>7</w:t>
                  </w:r>
                </w:p>
              </w:tc>
              <w:tc>
                <w:tcPr>
                  <w:tcW w:w="2759" w:type="pct"/>
                  <w:vAlign w:val="center"/>
                </w:tcPr>
                <w:p w14:paraId="3D14D96D">
                  <w:pPr>
                    <w:pStyle w:val="43"/>
                    <w:rPr>
                      <w:szCs w:val="21"/>
                    </w:rPr>
                  </w:pPr>
                  <w:r>
                    <w:rPr>
                      <w:szCs w:val="21"/>
                    </w:rPr>
                    <w:t>固定碳Fcad（%）</w:t>
                  </w:r>
                </w:p>
              </w:tc>
              <w:tc>
                <w:tcPr>
                  <w:tcW w:w="1103" w:type="pct"/>
                  <w:vAlign w:val="center"/>
                </w:tcPr>
                <w:p w14:paraId="63E601D0">
                  <w:pPr>
                    <w:pStyle w:val="43"/>
                    <w:rPr>
                      <w:szCs w:val="21"/>
                    </w:rPr>
                  </w:pPr>
                  <w:r>
                    <w:rPr>
                      <w:szCs w:val="21"/>
                    </w:rPr>
                    <w:t>GB/T476-2001</w:t>
                  </w:r>
                </w:p>
              </w:tc>
              <w:tc>
                <w:tcPr>
                  <w:tcW w:w="650" w:type="pct"/>
                  <w:vAlign w:val="center"/>
                </w:tcPr>
                <w:p w14:paraId="09E072E4">
                  <w:pPr>
                    <w:pStyle w:val="43"/>
                    <w:rPr>
                      <w:szCs w:val="21"/>
                    </w:rPr>
                  </w:pPr>
                  <w:r>
                    <w:rPr>
                      <w:szCs w:val="21"/>
                    </w:rPr>
                    <w:t>15.54</w:t>
                  </w:r>
                </w:p>
              </w:tc>
            </w:tr>
            <w:tr w14:paraId="18BFDC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6" w:hRule="atLeast"/>
                <w:jc w:val="center"/>
              </w:trPr>
              <w:tc>
                <w:tcPr>
                  <w:tcW w:w="488" w:type="pct"/>
                  <w:vAlign w:val="center"/>
                </w:tcPr>
                <w:p w14:paraId="7203DAB0">
                  <w:pPr>
                    <w:pStyle w:val="43"/>
                    <w:rPr>
                      <w:szCs w:val="21"/>
                    </w:rPr>
                  </w:pPr>
                  <w:r>
                    <w:rPr>
                      <w:szCs w:val="21"/>
                    </w:rPr>
                    <w:t>8</w:t>
                  </w:r>
                </w:p>
              </w:tc>
              <w:tc>
                <w:tcPr>
                  <w:tcW w:w="2759" w:type="pct"/>
                  <w:vAlign w:val="center"/>
                </w:tcPr>
                <w:p w14:paraId="18E98C3A">
                  <w:pPr>
                    <w:pStyle w:val="43"/>
                    <w:rPr>
                      <w:szCs w:val="21"/>
                    </w:rPr>
                  </w:pPr>
                  <w:r>
                    <w:rPr>
                      <w:szCs w:val="21"/>
                    </w:rPr>
                    <w:t>收到基碳Car（%）</w:t>
                  </w:r>
                </w:p>
              </w:tc>
              <w:tc>
                <w:tcPr>
                  <w:tcW w:w="1103" w:type="pct"/>
                  <w:vAlign w:val="center"/>
                </w:tcPr>
                <w:p w14:paraId="52B5420B">
                  <w:pPr>
                    <w:pStyle w:val="43"/>
                    <w:rPr>
                      <w:szCs w:val="21"/>
                    </w:rPr>
                  </w:pPr>
                  <w:r>
                    <w:rPr>
                      <w:szCs w:val="21"/>
                    </w:rPr>
                    <w:t>GB/T476-2001</w:t>
                  </w:r>
                </w:p>
              </w:tc>
              <w:tc>
                <w:tcPr>
                  <w:tcW w:w="650" w:type="pct"/>
                  <w:vAlign w:val="center"/>
                </w:tcPr>
                <w:p w14:paraId="0EB389F3">
                  <w:pPr>
                    <w:pStyle w:val="43"/>
                    <w:rPr>
                      <w:szCs w:val="21"/>
                    </w:rPr>
                  </w:pPr>
                  <w:r>
                    <w:rPr>
                      <w:szCs w:val="21"/>
                    </w:rPr>
                    <w:t>38.82</w:t>
                  </w:r>
                </w:p>
              </w:tc>
            </w:tr>
            <w:tr w14:paraId="20F32F5B">
              <w:tblPrEx>
                <w:tblCellMar>
                  <w:top w:w="0" w:type="dxa"/>
                  <w:left w:w="108" w:type="dxa"/>
                  <w:bottom w:w="0" w:type="dxa"/>
                  <w:right w:w="108" w:type="dxa"/>
                </w:tblCellMar>
              </w:tblPrEx>
              <w:trPr>
                <w:trHeight w:val="388" w:hRule="atLeast"/>
                <w:jc w:val="center"/>
              </w:trPr>
              <w:tc>
                <w:tcPr>
                  <w:tcW w:w="488" w:type="pct"/>
                  <w:vAlign w:val="center"/>
                </w:tcPr>
                <w:p w14:paraId="137F2265">
                  <w:pPr>
                    <w:pStyle w:val="43"/>
                    <w:rPr>
                      <w:szCs w:val="21"/>
                    </w:rPr>
                  </w:pPr>
                  <w:r>
                    <w:rPr>
                      <w:szCs w:val="21"/>
                    </w:rPr>
                    <w:t>9</w:t>
                  </w:r>
                </w:p>
              </w:tc>
              <w:tc>
                <w:tcPr>
                  <w:tcW w:w="2759" w:type="pct"/>
                  <w:vAlign w:val="center"/>
                </w:tcPr>
                <w:p w14:paraId="0F572861">
                  <w:pPr>
                    <w:pStyle w:val="43"/>
                    <w:rPr>
                      <w:szCs w:val="21"/>
                    </w:rPr>
                  </w:pPr>
                  <w:r>
                    <w:rPr>
                      <w:szCs w:val="21"/>
                    </w:rPr>
                    <w:t>收到基氢Har（%）</w:t>
                  </w:r>
                </w:p>
              </w:tc>
              <w:tc>
                <w:tcPr>
                  <w:tcW w:w="1103" w:type="pct"/>
                  <w:vAlign w:val="center"/>
                </w:tcPr>
                <w:p w14:paraId="1DB4C0BF">
                  <w:pPr>
                    <w:pStyle w:val="43"/>
                    <w:rPr>
                      <w:szCs w:val="21"/>
                    </w:rPr>
                  </w:pPr>
                  <w:r>
                    <w:rPr>
                      <w:szCs w:val="21"/>
                    </w:rPr>
                    <w:t>GB/T476-2001</w:t>
                  </w:r>
                </w:p>
              </w:tc>
              <w:tc>
                <w:tcPr>
                  <w:tcW w:w="650" w:type="pct"/>
                  <w:vAlign w:val="center"/>
                </w:tcPr>
                <w:p w14:paraId="3A531902">
                  <w:pPr>
                    <w:pStyle w:val="43"/>
                    <w:rPr>
                      <w:szCs w:val="21"/>
                    </w:rPr>
                  </w:pPr>
                  <w:r>
                    <w:rPr>
                      <w:szCs w:val="21"/>
                    </w:rPr>
                    <w:t>4.38</w:t>
                  </w:r>
                </w:p>
              </w:tc>
            </w:tr>
            <w:tr w14:paraId="32B9FC7F">
              <w:tblPrEx>
                <w:tblCellMar>
                  <w:top w:w="0" w:type="dxa"/>
                  <w:left w:w="108" w:type="dxa"/>
                  <w:bottom w:w="0" w:type="dxa"/>
                  <w:right w:w="108" w:type="dxa"/>
                </w:tblCellMar>
              </w:tblPrEx>
              <w:trPr>
                <w:trHeight w:val="246" w:hRule="atLeast"/>
                <w:jc w:val="center"/>
              </w:trPr>
              <w:tc>
                <w:tcPr>
                  <w:tcW w:w="488" w:type="pct"/>
                  <w:vAlign w:val="center"/>
                </w:tcPr>
                <w:p w14:paraId="2C6C706E">
                  <w:pPr>
                    <w:pStyle w:val="43"/>
                    <w:rPr>
                      <w:szCs w:val="21"/>
                    </w:rPr>
                  </w:pPr>
                  <w:r>
                    <w:rPr>
                      <w:szCs w:val="21"/>
                    </w:rPr>
                    <w:t>10</w:t>
                  </w:r>
                </w:p>
              </w:tc>
              <w:tc>
                <w:tcPr>
                  <w:tcW w:w="2759" w:type="pct"/>
                  <w:vAlign w:val="center"/>
                </w:tcPr>
                <w:p w14:paraId="5721F28B">
                  <w:pPr>
                    <w:pStyle w:val="43"/>
                    <w:rPr>
                      <w:szCs w:val="21"/>
                    </w:rPr>
                  </w:pPr>
                  <w:r>
                    <w:rPr>
                      <w:szCs w:val="21"/>
                    </w:rPr>
                    <w:t>收到基氮Nar（%）</w:t>
                  </w:r>
                </w:p>
              </w:tc>
              <w:tc>
                <w:tcPr>
                  <w:tcW w:w="1103" w:type="pct"/>
                  <w:vAlign w:val="center"/>
                </w:tcPr>
                <w:p w14:paraId="4C629C61">
                  <w:pPr>
                    <w:pStyle w:val="43"/>
                    <w:rPr>
                      <w:szCs w:val="21"/>
                    </w:rPr>
                  </w:pPr>
                  <w:r>
                    <w:rPr>
                      <w:szCs w:val="21"/>
                    </w:rPr>
                    <w:t>GB/T476-2001</w:t>
                  </w:r>
                </w:p>
              </w:tc>
              <w:tc>
                <w:tcPr>
                  <w:tcW w:w="650" w:type="pct"/>
                  <w:vAlign w:val="center"/>
                </w:tcPr>
                <w:p w14:paraId="7E1625ED">
                  <w:pPr>
                    <w:pStyle w:val="43"/>
                    <w:rPr>
                      <w:szCs w:val="21"/>
                    </w:rPr>
                  </w:pPr>
                  <w:r>
                    <w:rPr>
                      <w:szCs w:val="21"/>
                    </w:rPr>
                    <w:t>0.27</w:t>
                  </w:r>
                </w:p>
              </w:tc>
            </w:tr>
            <w:tr w14:paraId="57F887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488" w:type="pct"/>
                  <w:vAlign w:val="center"/>
                </w:tcPr>
                <w:p w14:paraId="2418504E">
                  <w:pPr>
                    <w:pStyle w:val="43"/>
                    <w:rPr>
                      <w:szCs w:val="21"/>
                    </w:rPr>
                  </w:pPr>
                  <w:r>
                    <w:rPr>
                      <w:szCs w:val="21"/>
                    </w:rPr>
                    <w:t>11</w:t>
                  </w:r>
                </w:p>
              </w:tc>
              <w:tc>
                <w:tcPr>
                  <w:tcW w:w="2759" w:type="pct"/>
                  <w:vAlign w:val="center"/>
                </w:tcPr>
                <w:p w14:paraId="53CD94B4">
                  <w:pPr>
                    <w:pStyle w:val="43"/>
                    <w:rPr>
                      <w:szCs w:val="21"/>
                    </w:rPr>
                  </w:pPr>
                  <w:r>
                    <w:rPr>
                      <w:szCs w:val="21"/>
                    </w:rPr>
                    <w:t>收到基氧Oar（%）</w:t>
                  </w:r>
                </w:p>
              </w:tc>
              <w:tc>
                <w:tcPr>
                  <w:tcW w:w="1103" w:type="pct"/>
                  <w:vAlign w:val="center"/>
                </w:tcPr>
                <w:p w14:paraId="10CEAB77">
                  <w:pPr>
                    <w:pStyle w:val="43"/>
                    <w:rPr>
                      <w:szCs w:val="21"/>
                    </w:rPr>
                  </w:pPr>
                  <w:r>
                    <w:rPr>
                      <w:szCs w:val="21"/>
                    </w:rPr>
                    <w:t>GB/T476-2001</w:t>
                  </w:r>
                </w:p>
              </w:tc>
              <w:tc>
                <w:tcPr>
                  <w:tcW w:w="650" w:type="pct"/>
                  <w:vAlign w:val="center"/>
                </w:tcPr>
                <w:p w14:paraId="6394A130">
                  <w:pPr>
                    <w:pStyle w:val="43"/>
                    <w:rPr>
                      <w:szCs w:val="21"/>
                    </w:rPr>
                  </w:pPr>
                  <w:r>
                    <w:rPr>
                      <w:szCs w:val="21"/>
                    </w:rPr>
                    <w:t>33.13</w:t>
                  </w:r>
                </w:p>
              </w:tc>
            </w:tr>
            <w:tr w14:paraId="24DCAC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0" w:hRule="atLeast"/>
                <w:jc w:val="center"/>
              </w:trPr>
              <w:tc>
                <w:tcPr>
                  <w:tcW w:w="488" w:type="pct"/>
                  <w:vAlign w:val="center"/>
                </w:tcPr>
                <w:p w14:paraId="7479DE7F">
                  <w:pPr>
                    <w:pStyle w:val="43"/>
                    <w:rPr>
                      <w:szCs w:val="21"/>
                    </w:rPr>
                  </w:pPr>
                  <w:r>
                    <w:rPr>
                      <w:szCs w:val="21"/>
                    </w:rPr>
                    <w:t>12</w:t>
                  </w:r>
                </w:p>
              </w:tc>
              <w:tc>
                <w:tcPr>
                  <w:tcW w:w="2759" w:type="pct"/>
                  <w:vAlign w:val="center"/>
                </w:tcPr>
                <w:p w14:paraId="0259A880">
                  <w:pPr>
                    <w:pStyle w:val="43"/>
                    <w:rPr>
                      <w:szCs w:val="21"/>
                    </w:rPr>
                  </w:pPr>
                  <w:r>
                    <w:rPr>
                      <w:szCs w:val="21"/>
                    </w:rPr>
                    <w:t>空气干燥基高位发热量Qgr.ad（Kcal/kg）</w:t>
                  </w:r>
                </w:p>
              </w:tc>
              <w:tc>
                <w:tcPr>
                  <w:tcW w:w="1103" w:type="pct"/>
                  <w:vAlign w:val="center"/>
                </w:tcPr>
                <w:p w14:paraId="44A1DB71">
                  <w:pPr>
                    <w:pStyle w:val="43"/>
                    <w:rPr>
                      <w:szCs w:val="21"/>
                    </w:rPr>
                  </w:pPr>
                  <w:r>
                    <w:rPr>
                      <w:szCs w:val="21"/>
                    </w:rPr>
                    <w:t>GB/T213-2008</w:t>
                  </w:r>
                </w:p>
              </w:tc>
              <w:tc>
                <w:tcPr>
                  <w:tcW w:w="650" w:type="pct"/>
                  <w:vAlign w:val="center"/>
                </w:tcPr>
                <w:p w14:paraId="106C4696">
                  <w:pPr>
                    <w:pStyle w:val="43"/>
                    <w:rPr>
                      <w:szCs w:val="21"/>
                    </w:rPr>
                  </w:pPr>
                  <w:r>
                    <w:rPr>
                      <w:szCs w:val="21"/>
                    </w:rPr>
                    <w:t>3738</w:t>
                  </w:r>
                </w:p>
              </w:tc>
            </w:tr>
            <w:tr w14:paraId="6A2DB61B">
              <w:tblPrEx>
                <w:tblCellMar>
                  <w:top w:w="0" w:type="dxa"/>
                  <w:left w:w="108" w:type="dxa"/>
                  <w:bottom w:w="0" w:type="dxa"/>
                  <w:right w:w="108" w:type="dxa"/>
                </w:tblCellMar>
              </w:tblPrEx>
              <w:trPr>
                <w:trHeight w:val="359" w:hRule="atLeast"/>
                <w:jc w:val="center"/>
              </w:trPr>
              <w:tc>
                <w:tcPr>
                  <w:tcW w:w="488" w:type="pct"/>
                  <w:vAlign w:val="center"/>
                </w:tcPr>
                <w:p w14:paraId="40CDCE72">
                  <w:pPr>
                    <w:pStyle w:val="43"/>
                    <w:rPr>
                      <w:szCs w:val="21"/>
                    </w:rPr>
                  </w:pPr>
                  <w:r>
                    <w:rPr>
                      <w:szCs w:val="21"/>
                    </w:rPr>
                    <w:t>13</w:t>
                  </w:r>
                </w:p>
              </w:tc>
              <w:tc>
                <w:tcPr>
                  <w:tcW w:w="2759" w:type="pct"/>
                  <w:vAlign w:val="center"/>
                </w:tcPr>
                <w:p w14:paraId="3275B0A6">
                  <w:pPr>
                    <w:pStyle w:val="43"/>
                    <w:rPr>
                      <w:szCs w:val="21"/>
                    </w:rPr>
                  </w:pPr>
                  <w:r>
                    <w:rPr>
                      <w:szCs w:val="21"/>
                    </w:rPr>
                    <w:t>收到基低位发热量Qnet.ar（Kcal/kg）</w:t>
                  </w:r>
                </w:p>
              </w:tc>
              <w:tc>
                <w:tcPr>
                  <w:tcW w:w="1103" w:type="pct"/>
                  <w:vAlign w:val="center"/>
                </w:tcPr>
                <w:p w14:paraId="6806A3D9">
                  <w:pPr>
                    <w:pStyle w:val="43"/>
                    <w:rPr>
                      <w:szCs w:val="21"/>
                    </w:rPr>
                  </w:pPr>
                  <w:r>
                    <w:rPr>
                      <w:szCs w:val="21"/>
                    </w:rPr>
                    <w:t>GB/T213-2008</w:t>
                  </w:r>
                </w:p>
              </w:tc>
              <w:tc>
                <w:tcPr>
                  <w:tcW w:w="650" w:type="pct"/>
                  <w:vAlign w:val="center"/>
                </w:tcPr>
                <w:p w14:paraId="61C8A9FA">
                  <w:pPr>
                    <w:pStyle w:val="43"/>
                    <w:rPr>
                      <w:szCs w:val="21"/>
                    </w:rPr>
                  </w:pPr>
                  <w:r>
                    <w:rPr>
                      <w:szCs w:val="21"/>
                    </w:rPr>
                    <w:t>3380</w:t>
                  </w:r>
                </w:p>
              </w:tc>
            </w:tr>
            <w:tr w14:paraId="3D9F39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488" w:type="pct"/>
                  <w:vAlign w:val="center"/>
                </w:tcPr>
                <w:p w14:paraId="76B0254A">
                  <w:pPr>
                    <w:pStyle w:val="43"/>
                    <w:rPr>
                      <w:szCs w:val="21"/>
                    </w:rPr>
                  </w:pPr>
                  <w:r>
                    <w:rPr>
                      <w:szCs w:val="21"/>
                    </w:rPr>
                    <w:t>14</w:t>
                  </w:r>
                </w:p>
              </w:tc>
              <w:tc>
                <w:tcPr>
                  <w:tcW w:w="2759" w:type="pct"/>
                  <w:vAlign w:val="center"/>
                </w:tcPr>
                <w:p w14:paraId="5E936EE8">
                  <w:pPr>
                    <w:pStyle w:val="43"/>
                    <w:rPr>
                      <w:szCs w:val="21"/>
                    </w:rPr>
                  </w:pPr>
                  <w:r>
                    <w:rPr>
                      <w:szCs w:val="21"/>
                    </w:rPr>
                    <w:t>空气全硫Sdaf（%）</w:t>
                  </w:r>
                </w:p>
              </w:tc>
              <w:tc>
                <w:tcPr>
                  <w:tcW w:w="1103" w:type="pct"/>
                  <w:vAlign w:val="center"/>
                </w:tcPr>
                <w:p w14:paraId="5912B131">
                  <w:pPr>
                    <w:pStyle w:val="43"/>
                    <w:rPr>
                      <w:szCs w:val="21"/>
                    </w:rPr>
                  </w:pPr>
                  <w:r>
                    <w:rPr>
                      <w:szCs w:val="21"/>
                    </w:rPr>
                    <w:t>GB/T214-2007</w:t>
                  </w:r>
                </w:p>
              </w:tc>
              <w:tc>
                <w:tcPr>
                  <w:tcW w:w="650" w:type="pct"/>
                  <w:vAlign w:val="center"/>
                </w:tcPr>
                <w:p w14:paraId="3D2488C1">
                  <w:pPr>
                    <w:pStyle w:val="43"/>
                    <w:rPr>
                      <w:szCs w:val="21"/>
                    </w:rPr>
                  </w:pPr>
                  <w:r>
                    <w:rPr>
                      <w:szCs w:val="21"/>
                    </w:rPr>
                    <w:t>0.07</w:t>
                  </w:r>
                </w:p>
              </w:tc>
            </w:tr>
            <w:tr w14:paraId="2E6DFB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488" w:type="pct"/>
                  <w:vAlign w:val="center"/>
                </w:tcPr>
                <w:p w14:paraId="2078E6E2">
                  <w:pPr>
                    <w:pStyle w:val="43"/>
                    <w:rPr>
                      <w:szCs w:val="21"/>
                    </w:rPr>
                  </w:pPr>
                  <w:r>
                    <w:rPr>
                      <w:szCs w:val="21"/>
                    </w:rPr>
                    <w:t>15</w:t>
                  </w:r>
                </w:p>
              </w:tc>
              <w:tc>
                <w:tcPr>
                  <w:tcW w:w="2759" w:type="pct"/>
                  <w:vAlign w:val="center"/>
                </w:tcPr>
                <w:p w14:paraId="593E202D">
                  <w:pPr>
                    <w:pStyle w:val="43"/>
                    <w:rPr>
                      <w:szCs w:val="21"/>
                    </w:rPr>
                  </w:pPr>
                  <w:r>
                    <w:rPr>
                      <w:szCs w:val="21"/>
                    </w:rPr>
                    <w:t>收到基全硫Star（%）</w:t>
                  </w:r>
                </w:p>
              </w:tc>
              <w:tc>
                <w:tcPr>
                  <w:tcW w:w="1103" w:type="pct"/>
                  <w:vAlign w:val="center"/>
                </w:tcPr>
                <w:p w14:paraId="3F654167">
                  <w:pPr>
                    <w:pStyle w:val="43"/>
                    <w:rPr>
                      <w:szCs w:val="21"/>
                    </w:rPr>
                  </w:pPr>
                  <w:r>
                    <w:rPr>
                      <w:szCs w:val="21"/>
                    </w:rPr>
                    <w:t>GB/T214-2007</w:t>
                  </w:r>
                </w:p>
              </w:tc>
              <w:tc>
                <w:tcPr>
                  <w:tcW w:w="650" w:type="pct"/>
                  <w:vAlign w:val="center"/>
                </w:tcPr>
                <w:p w14:paraId="2A8AEB34">
                  <w:pPr>
                    <w:pStyle w:val="43"/>
                    <w:rPr>
                      <w:szCs w:val="21"/>
                    </w:rPr>
                  </w:pPr>
                  <w:r>
                    <w:rPr>
                      <w:szCs w:val="21"/>
                    </w:rPr>
                    <w:t>0.07</w:t>
                  </w:r>
                </w:p>
              </w:tc>
            </w:tr>
          </w:tbl>
          <w:p w14:paraId="00AB225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四</w:t>
            </w:r>
            <w:r>
              <w:rPr>
                <w:color w:val="000000" w:themeColor="text1"/>
                <w14:textFill>
                  <w14:solidFill>
                    <w14:schemeClr w14:val="tx1"/>
                  </w14:solidFill>
                </w14:textFill>
              </w:rPr>
              <w:t>、公用工程</w:t>
            </w:r>
          </w:p>
          <w:p w14:paraId="405185F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给水</w:t>
            </w:r>
          </w:p>
          <w:p w14:paraId="128D92E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本项目用水主要为生活用水、餐饮用水和锅炉用水，床品清洗服务外委三方公司。</w:t>
            </w:r>
          </w:p>
          <w:p w14:paraId="5C49670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生活用水</w:t>
            </w:r>
          </w:p>
          <w:p w14:paraId="07018F5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本项目劳动定员40人，年工作365天，每天两班制，每天接待游客量约</w:t>
            </w:r>
            <w:r>
              <w:rPr>
                <w:rFonts w:hint="eastAsia"/>
                <w:color w:val="000000" w:themeColor="text1"/>
                <w14:textFill>
                  <w14:solidFill>
                    <w14:schemeClr w14:val="tx1"/>
                  </w14:solidFill>
                </w14:textFill>
              </w:rPr>
              <w:t>1370</w:t>
            </w:r>
            <w:r>
              <w:rPr>
                <w:color w:val="000000" w:themeColor="text1"/>
                <w14:textFill>
                  <w14:solidFill>
                    <w14:schemeClr w14:val="tx1"/>
                  </w14:solidFill>
                </w14:textFill>
              </w:rPr>
              <w:t>人次，年接待游客</w:t>
            </w:r>
            <w:r>
              <w:rPr>
                <w:rFonts w:hint="eastAsia"/>
                <w:color w:val="000000" w:themeColor="text1"/>
                <w14:textFill>
                  <w14:solidFill>
                    <w14:schemeClr w14:val="tx1"/>
                  </w14:solidFill>
                </w14:textFill>
              </w:rPr>
              <w:t>能力</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50</w:t>
            </w:r>
            <w:r>
              <w:rPr>
                <w:color w:val="000000" w:themeColor="text1"/>
                <w14:textFill>
                  <w14:solidFill>
                    <w14:schemeClr w14:val="tx1"/>
                  </w14:solidFill>
                </w14:textFill>
              </w:rPr>
              <w:t>万人次</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用水量参照黑龙江省《用水定额》（DB23/T727-202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），生活用水按每人80L/d计，则总生活用水量</w:t>
            </w:r>
            <w:r>
              <w:rPr>
                <w:rFonts w:hint="eastAsia"/>
                <w:color w:val="000000" w:themeColor="text1"/>
                <w14:textFill>
                  <w14:solidFill>
                    <w14:schemeClr w14:val="tx1"/>
                  </w14:solidFill>
                </w14:textFill>
              </w:rPr>
              <w:t>112.8t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41172t</w:t>
            </w:r>
            <w:r>
              <w:rPr>
                <w:color w:val="000000" w:themeColor="text1"/>
                <w14:textFill>
                  <w14:solidFill>
                    <w14:schemeClr w14:val="tx1"/>
                  </w14:solidFill>
                </w14:textFill>
              </w:rPr>
              <w:t>/a。</w:t>
            </w:r>
          </w:p>
          <w:p w14:paraId="4648740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餐饮用水</w:t>
            </w:r>
          </w:p>
          <w:p w14:paraId="64990311">
            <w:pPr>
              <w:pStyle w:val="47"/>
              <w:ind w:firstLine="420"/>
              <w:rPr>
                <w:color w:val="000000" w:themeColor="text1"/>
                <w14:textFill>
                  <w14:solidFill>
                    <w14:schemeClr w14:val="tx1"/>
                  </w14:solidFill>
                </w14:textFill>
              </w:rPr>
            </w:pPr>
            <w:bookmarkStart w:id="20" w:name="OLE_LINK12"/>
            <w:r>
              <w:rPr>
                <w:color w:val="000000" w:themeColor="text1"/>
                <w14:textFill>
                  <w14:solidFill>
                    <w14:schemeClr w14:val="tx1"/>
                  </w14:solidFill>
                </w14:textFill>
              </w:rPr>
              <w:t>园区每天提供游客和职工就餐人数约1</w:t>
            </w:r>
            <w:r>
              <w:rPr>
                <w:rFonts w:hint="eastAsia"/>
                <w:color w:val="000000" w:themeColor="text1"/>
                <w14:textFill>
                  <w14:solidFill>
                    <w14:schemeClr w14:val="tx1"/>
                  </w14:solidFill>
                </w14:textFill>
              </w:rPr>
              <w:t>410</w:t>
            </w:r>
            <w:r>
              <w:rPr>
                <w:color w:val="000000" w:themeColor="text1"/>
                <w14:textFill>
                  <w14:solidFill>
                    <w14:schemeClr w14:val="tx1"/>
                  </w14:solidFill>
                </w14:textFill>
              </w:rPr>
              <w:t>人，提供三餐，</w:t>
            </w:r>
            <w:bookmarkEnd w:id="20"/>
            <w:r>
              <w:rPr>
                <w:color w:val="000000" w:themeColor="text1"/>
                <w14:textFill>
                  <w14:solidFill>
                    <w14:schemeClr w14:val="tx1"/>
                  </w14:solidFill>
                </w14:textFill>
              </w:rPr>
              <w:t>每人每日用水20L/人.餐计，则用水量约为</w:t>
            </w:r>
            <w:r>
              <w:rPr>
                <w:rFonts w:hint="eastAsia"/>
                <w:color w:val="000000" w:themeColor="text1"/>
                <w14:textFill>
                  <w14:solidFill>
                    <w14:schemeClr w14:val="tx1"/>
                  </w14:solidFill>
                </w14:textFill>
              </w:rPr>
              <w:t>28.2t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10293t</w:t>
            </w:r>
            <w:r>
              <w:rPr>
                <w:color w:val="000000" w:themeColor="text1"/>
                <w14:textFill>
                  <w14:solidFill>
                    <w14:schemeClr w14:val="tx1"/>
                  </w14:solidFill>
                </w14:textFill>
              </w:rPr>
              <w:t>/a。</w:t>
            </w:r>
          </w:p>
          <w:p w14:paraId="5D17960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锅炉用水</w:t>
            </w:r>
          </w:p>
          <w:p w14:paraId="6CE3E8E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本项目一台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5MW专用生物质热水锅炉，每天运行</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h，每年运行</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0天，产生的蒸汽主要为间接加热的热源，没有进入产品等损耗途径，因此锅炉的补充水与锅炉排污水相等，补充水为</w:t>
            </w:r>
            <w:r>
              <w:rPr>
                <w:rFonts w:hint="eastAsia"/>
                <w:color w:val="000000" w:themeColor="text1"/>
                <w14:textFill>
                  <w14:solidFill>
                    <w14:schemeClr w14:val="tx1"/>
                  </w14:solidFill>
                </w14:textFill>
              </w:rPr>
              <w:t>3.7</w:t>
            </w:r>
            <w:r>
              <w:rPr>
                <w:color w:val="000000" w:themeColor="text1"/>
                <w14:textFill>
                  <w14:solidFill>
                    <w14:schemeClr w14:val="tx1"/>
                  </w14:solidFill>
                </w14:textFill>
              </w:rPr>
              <w:t>t/d，</w:t>
            </w:r>
            <w:r>
              <w:rPr>
                <w:rFonts w:hint="eastAsia"/>
                <w:color w:val="000000" w:themeColor="text1"/>
                <w14:textFill>
                  <w14:solidFill>
                    <w14:schemeClr w14:val="tx1"/>
                  </w14:solidFill>
                </w14:textFill>
              </w:rPr>
              <w:t>814.528</w:t>
            </w:r>
            <w:r>
              <w:rPr>
                <w:color w:val="000000" w:themeColor="text1"/>
                <w14:textFill>
                  <w14:solidFill>
                    <w14:schemeClr w14:val="tx1"/>
                  </w14:solidFill>
                </w14:textFill>
              </w:rPr>
              <w:t>t/a（锅炉排污水＋软化处理废水），用水前段软化或脱盐水工段纯水制取率以75%计，则新鲜水补充量为</w:t>
            </w:r>
            <w:r>
              <w:rPr>
                <w:rFonts w:hint="eastAsia"/>
                <w:color w:val="000000" w:themeColor="text1"/>
                <w14:textFill>
                  <w14:solidFill>
                    <w14:schemeClr w14:val="tx1"/>
                  </w14:solidFill>
                </w14:textFill>
              </w:rPr>
              <w:t>4.93</w:t>
            </w:r>
            <w:r>
              <w:rPr>
                <w:color w:val="000000" w:themeColor="text1"/>
                <w14:textFill>
                  <w14:solidFill>
                    <w14:schemeClr w14:val="tx1"/>
                  </w14:solidFill>
                </w14:textFill>
              </w:rPr>
              <w:t>t/d，10</w:t>
            </w:r>
            <w:r>
              <w:rPr>
                <w:rFonts w:hint="eastAsia"/>
                <w:color w:val="000000" w:themeColor="text1"/>
                <w14:textFill>
                  <w14:solidFill>
                    <w14:schemeClr w14:val="tx1"/>
                  </w14:solidFill>
                </w14:textFill>
              </w:rPr>
              <w:t>84</w:t>
            </w:r>
            <w:r>
              <w:rPr>
                <w:color w:val="000000" w:themeColor="text1"/>
                <w14:textFill>
                  <w14:solidFill>
                    <w14:schemeClr w14:val="tx1"/>
                  </w14:solidFill>
                </w14:textFill>
              </w:rPr>
              <w:t>.6t/a。</w:t>
            </w:r>
          </w:p>
          <w:p w14:paraId="7E6BD07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综上，总用水量为</w:t>
            </w:r>
            <w:r>
              <w:rPr>
                <w:rFonts w:hint="eastAsia"/>
                <w:color w:val="000000" w:themeColor="text1"/>
                <w14:textFill>
                  <w14:solidFill>
                    <w14:schemeClr w14:val="tx1"/>
                  </w14:solidFill>
                </w14:textFill>
              </w:rPr>
              <w:t>52549.6</w:t>
            </w:r>
            <w:r>
              <w:rPr>
                <w:color w:val="000000" w:themeColor="text1"/>
                <w14:textFill>
                  <w14:solidFill>
                    <w14:schemeClr w14:val="tx1"/>
                  </w14:solidFill>
                </w14:textFill>
              </w:rPr>
              <w:t>t/a。</w:t>
            </w:r>
          </w:p>
          <w:p w14:paraId="092A707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排水</w:t>
            </w:r>
          </w:p>
          <w:p w14:paraId="3C29D82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生活污水</w:t>
            </w:r>
          </w:p>
          <w:p w14:paraId="2C56363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本项目生活污水排放量按生活用水量的80%计算，则生活污水排放量为</w:t>
            </w:r>
            <w:r>
              <w:rPr>
                <w:rFonts w:hint="eastAsia"/>
                <w:color w:val="000000" w:themeColor="text1"/>
                <w14:textFill>
                  <w14:solidFill>
                    <w14:schemeClr w14:val="tx1"/>
                  </w14:solidFill>
                </w14:textFill>
              </w:rPr>
              <w:t>90.24</w:t>
            </w:r>
            <w:r>
              <w:rPr>
                <w:color w:val="000000" w:themeColor="text1"/>
                <w14:textFill>
                  <w14:solidFill>
                    <w14:schemeClr w14:val="tx1"/>
                  </w14:solidFill>
                </w14:textFill>
              </w:rPr>
              <w:t>t/d（</w:t>
            </w:r>
            <w:r>
              <w:rPr>
                <w:rFonts w:hint="eastAsia"/>
                <w:color w:val="000000" w:themeColor="text1"/>
                <w14:textFill>
                  <w14:solidFill>
                    <w14:schemeClr w14:val="tx1"/>
                  </w14:solidFill>
                </w14:textFill>
              </w:rPr>
              <w:t>32937.6</w:t>
            </w:r>
            <w:r>
              <w:rPr>
                <w:color w:val="000000" w:themeColor="text1"/>
                <w14:textFill>
                  <w14:solidFill>
                    <w14:schemeClr w14:val="tx1"/>
                  </w14:solidFill>
                </w14:textFill>
              </w:rPr>
              <w:t>t/a）。</w:t>
            </w:r>
          </w:p>
          <w:p w14:paraId="55EAAEB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餐饮废水</w:t>
            </w:r>
          </w:p>
          <w:p w14:paraId="273CA07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本项目餐饮废水排放系数按0.8计，则餐饮废水排放量为</w:t>
            </w:r>
            <w:r>
              <w:rPr>
                <w:rFonts w:hint="eastAsia"/>
                <w:color w:val="000000" w:themeColor="text1"/>
                <w14:textFill>
                  <w14:solidFill>
                    <w14:schemeClr w14:val="tx1"/>
                  </w14:solidFill>
                </w14:textFill>
              </w:rPr>
              <w:t>22.56</w:t>
            </w:r>
            <w:bookmarkStart w:id="21" w:name="OLE_LINK57"/>
            <w:r>
              <w:rPr>
                <w:rFonts w:hint="eastAsia"/>
                <w:color w:val="000000" w:themeColor="text1"/>
                <w14:textFill>
                  <w14:solidFill>
                    <w14:schemeClr w14:val="tx1"/>
                  </w14:solidFill>
                </w14:textFill>
              </w:rPr>
              <w:t>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8234.4t</w:t>
            </w:r>
            <w:r>
              <w:rPr>
                <w:color w:val="000000" w:themeColor="text1"/>
                <w14:textFill>
                  <w14:solidFill>
                    <w14:schemeClr w14:val="tx1"/>
                  </w14:solidFill>
                </w14:textFill>
              </w:rPr>
              <w:t>/a。</w:t>
            </w:r>
          </w:p>
          <w:bookmarkEnd w:id="21"/>
          <w:p w14:paraId="5BE562E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锅炉排水</w:t>
            </w:r>
          </w:p>
          <w:p w14:paraId="0A10180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根据《排放源统计调查产排污核算方法和系数手册》中“4430工业锅炉（热力供应）行业系数手册”中产污系数，燃生物质锅炉（锅外水处理）废水产生系数为废水产生系数为0.356吨/吨-原料，本项目生物质颗粒燃料使用量为</w:t>
            </w:r>
            <w:bookmarkStart w:id="22" w:name="OLE_LINK90"/>
            <w:r>
              <w:rPr>
                <w:color w:val="000000" w:themeColor="text1"/>
                <w14:textFill>
                  <w14:solidFill>
                    <w14:schemeClr w14:val="tx1"/>
                  </w14:solidFill>
                </w14:textFill>
              </w:rPr>
              <w:t>22</w:t>
            </w:r>
            <w:bookmarkEnd w:id="22"/>
            <w:r>
              <w:rPr>
                <w:rFonts w:hint="eastAsia"/>
                <w:color w:val="000000" w:themeColor="text1"/>
                <w14:textFill>
                  <w14:solidFill>
                    <w14:schemeClr w14:val="tx1"/>
                  </w14:solidFill>
                </w14:textFill>
              </w:rPr>
              <w:t>88</w:t>
            </w:r>
            <w:r>
              <w:rPr>
                <w:color w:val="000000" w:themeColor="text1"/>
                <w14:textFill>
                  <w14:solidFill>
                    <w14:schemeClr w14:val="tx1"/>
                  </w14:solidFill>
                </w14:textFill>
              </w:rPr>
              <w:t>t/a，则锅炉排污水和软化处理废水总的产生量为</w:t>
            </w:r>
            <w:r>
              <w:rPr>
                <w:rFonts w:hint="eastAsia"/>
                <w:color w:val="000000" w:themeColor="text1"/>
                <w14:textFill>
                  <w14:solidFill>
                    <w14:schemeClr w14:val="tx1"/>
                  </w14:solidFill>
                </w14:textFill>
              </w:rPr>
              <w:t>3.7</w:t>
            </w:r>
            <w:r>
              <w:rPr>
                <w:color w:val="000000" w:themeColor="text1"/>
                <w14:textFill>
                  <w14:solidFill>
                    <w14:schemeClr w14:val="tx1"/>
                  </w14:solidFill>
                </w14:textFill>
              </w:rPr>
              <w:t>t/d，</w:t>
            </w:r>
            <w:r>
              <w:rPr>
                <w:rFonts w:hint="eastAsia"/>
                <w:color w:val="000000" w:themeColor="text1"/>
                <w14:textFill>
                  <w14:solidFill>
                    <w14:schemeClr w14:val="tx1"/>
                  </w14:solidFill>
                </w14:textFill>
              </w:rPr>
              <w:t>814.528</w:t>
            </w:r>
            <w:r>
              <w:rPr>
                <w:color w:val="000000" w:themeColor="text1"/>
                <w14:textFill>
                  <w14:solidFill>
                    <w14:schemeClr w14:val="tx1"/>
                  </w14:solidFill>
                </w14:textFill>
              </w:rPr>
              <w:t>t/a。</w:t>
            </w:r>
          </w:p>
          <w:p w14:paraId="7FA9216E">
            <w:pPr>
              <w:pStyle w:val="47"/>
              <w:ind w:firstLine="420"/>
              <w:rPr>
                <w:szCs w:val="21"/>
              </w:rPr>
            </w:pPr>
            <w:bookmarkStart w:id="23" w:name="OLE_LINK16"/>
            <w:r>
              <w:rPr>
                <w:color w:val="000000" w:themeColor="text1"/>
                <w14:textFill>
                  <w14:solidFill>
                    <w14:schemeClr w14:val="tx1"/>
                  </w14:solidFill>
                </w14:textFill>
              </w:rPr>
              <w:t>本项目锅炉排污水和软化处理废水用于锅炉除渣、除灰和锅炉间地面洒水降尘，不外排。</w:t>
            </w:r>
            <w:bookmarkEnd w:id="23"/>
            <w:r>
              <w:rPr>
                <w:color w:val="000000" w:themeColor="text1"/>
                <w14:textFill>
                  <w14:solidFill>
                    <w14:schemeClr w14:val="tx1"/>
                  </w14:solidFill>
                </w14:textFill>
              </w:rPr>
              <w:t>生活污水（餐饮废水经隔油池预处理）排放量为</w:t>
            </w:r>
            <w:r>
              <w:rPr>
                <w:rFonts w:hint="eastAsia"/>
                <w:color w:val="000000" w:themeColor="text1"/>
                <w14:textFill>
                  <w14:solidFill>
                    <w14:schemeClr w14:val="tx1"/>
                  </w14:solidFill>
                </w14:textFill>
              </w:rPr>
              <w:t>112.8t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41172t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排放浓度满足</w:t>
            </w:r>
            <w:r>
              <w:rPr>
                <w:color w:val="000000" w:themeColor="text1"/>
                <w14:textFill>
                  <w14:solidFill>
                    <w14:schemeClr w14:val="tx1"/>
                  </w14:solidFill>
                </w14:textFill>
              </w:rPr>
              <w:t>《污水综合排放标准》（GB8978-1996）表4中三级标准</w:t>
            </w:r>
            <w:r>
              <w:rPr>
                <w:rFonts w:hint="eastAsia"/>
                <w:color w:val="000000" w:themeColor="text1"/>
                <w14:textFill>
                  <w14:solidFill>
                    <w14:schemeClr w14:val="tx1"/>
                  </w14:solidFill>
                </w14:textFill>
              </w:rPr>
              <w:t>后</w:t>
            </w:r>
            <w:r>
              <w:rPr>
                <w:rFonts w:hint="eastAsia"/>
                <w:szCs w:val="21"/>
              </w:rPr>
              <w:t>拉运至进入伊春市中心城污水处理厂（伊春市百斯特环保有限公司）处理，处理达标后排入汤旺河。</w:t>
            </w:r>
          </w:p>
          <w:p w14:paraId="5267770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（3）供热</w:t>
            </w:r>
          </w:p>
          <w:p w14:paraId="664D756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新建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5MW的燃生物质热水锅炉用于</w:t>
            </w:r>
            <w:r>
              <w:rPr>
                <w:rFonts w:hint="eastAsia"/>
                <w:color w:val="000000" w:themeColor="text1"/>
                <w14:textFill>
                  <w14:solidFill>
                    <w14:schemeClr w14:val="tx1"/>
                  </w14:solidFill>
                </w14:textFill>
              </w:rPr>
              <w:t>度假村</w:t>
            </w:r>
            <w:r>
              <w:rPr>
                <w:color w:val="000000" w:themeColor="text1"/>
                <w14:textFill>
                  <w14:solidFill>
                    <w14:schemeClr w14:val="tx1"/>
                  </w14:solidFill>
                </w14:textFill>
              </w:rPr>
              <w:t>生活供暖。</w:t>
            </w:r>
          </w:p>
          <w:p w14:paraId="10B0D1C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生物质颗粒用量：一台</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5MW专用生物质热水锅炉1小时能提供</w:t>
            </w:r>
            <w:r>
              <w:rPr>
                <w:rFonts w:hint="eastAsia"/>
                <w:color w:val="000000" w:themeColor="text1"/>
                <w14:textFill>
                  <w14:solidFill>
                    <w14:schemeClr w14:val="tx1"/>
                  </w14:solidFill>
                </w14:textFill>
              </w:rPr>
              <w:t>30</w:t>
            </w:r>
            <w:r>
              <w:rPr>
                <w:color w:val="000000" w:themeColor="text1"/>
                <w14:textFill>
                  <w14:solidFill>
                    <w14:schemeClr w14:val="tx1"/>
                  </w14:solidFill>
                </w14:textFill>
              </w:rPr>
              <w:t>0万Kcal热量，根据生物质燃料分析单，生物质收到基低位发热量为3380Kcal/kg，锅炉热效率以85%计，则1小时锅炉燃用生物质的量为</w:t>
            </w:r>
            <w:r>
              <w:rPr>
                <w:rFonts w:hint="eastAsia"/>
                <w:color w:val="000000" w:themeColor="text1"/>
                <w14:textFill>
                  <w14:solidFill>
                    <w14:schemeClr w14:val="tx1"/>
                  </w14:solidFill>
                </w14:textFill>
              </w:rPr>
              <w:t>1.04</w:t>
            </w:r>
            <w:r>
              <w:rPr>
                <w:color w:val="000000" w:themeColor="text1"/>
                <w14:textFill>
                  <w14:solidFill>
                    <w14:schemeClr w14:val="tx1"/>
                  </w14:solidFill>
                </w14:textFill>
              </w:rPr>
              <w:t>t，生物质锅炉每天运行</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h，每年运行</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0天，则年燃用生物质颗粒燃料的量为22</w:t>
            </w:r>
            <w:r>
              <w:rPr>
                <w:rFonts w:hint="eastAsia"/>
                <w:color w:val="000000" w:themeColor="text1"/>
                <w14:textFill>
                  <w14:solidFill>
                    <w14:schemeClr w14:val="tx1"/>
                  </w14:solidFill>
                </w14:textFill>
              </w:rPr>
              <w:t>88</w:t>
            </w:r>
            <w:r>
              <w:rPr>
                <w:color w:val="000000" w:themeColor="text1"/>
                <w14:textFill>
                  <w14:solidFill>
                    <w14:schemeClr w14:val="tx1"/>
                  </w14:solidFill>
                </w14:textFill>
              </w:rPr>
              <w:t>t。</w:t>
            </w:r>
          </w:p>
          <w:p w14:paraId="6A6B712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（4）供电</w:t>
            </w:r>
          </w:p>
          <w:p w14:paraId="36E13DD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本项目用电由市政电网提供，可满足本项目用电需求。</w:t>
            </w:r>
          </w:p>
          <w:p w14:paraId="72E9CD4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五</w:t>
            </w:r>
            <w:r>
              <w:rPr>
                <w:color w:val="000000" w:themeColor="text1"/>
                <w14:textFill>
                  <w14:solidFill>
                    <w14:schemeClr w14:val="tx1"/>
                  </w14:solidFill>
                </w14:textFill>
              </w:rPr>
              <w:t>、工作制度及劳动定员</w:t>
            </w:r>
          </w:p>
          <w:p w14:paraId="0E74B83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本项目建成后劳动定员40人，年工作天数为365天，两班制，每班生12小时，锅炉年运行</w:t>
            </w:r>
            <w:r>
              <w:rPr>
                <w:rFonts w:hint="eastAsia"/>
                <w:color w:val="000000" w:themeColor="text1"/>
                <w14:textFill>
                  <w14:solidFill>
                    <w14:schemeClr w14:val="tx1"/>
                  </w14:solidFill>
                </w14:textFill>
              </w:rPr>
              <w:t>22</w:t>
            </w:r>
            <w:r>
              <w:rPr>
                <w:color w:val="000000" w:themeColor="text1"/>
                <w14:textFill>
                  <w14:solidFill>
                    <w14:schemeClr w14:val="tx1"/>
                  </w14:solidFill>
                </w14:textFill>
              </w:rPr>
              <w:t>0天，每天运行</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小时。</w:t>
            </w:r>
          </w:p>
          <w:p w14:paraId="22D0BA4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六、工程占地</w:t>
            </w:r>
          </w:p>
          <w:p w14:paraId="3C86B7D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工程用地总面积为</w:t>
            </w:r>
            <w:r>
              <w:rPr>
                <w:rFonts w:hint="eastAsia"/>
                <w:color w:val="000000" w:themeColor="text1"/>
                <w14:textFill>
                  <w14:solidFill>
                    <w14:schemeClr w14:val="tx1"/>
                  </w14:solidFill>
                </w14:textFill>
              </w:rPr>
              <w:t>683291.24m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临时用地面积</w:t>
            </w:r>
            <w:bookmarkStart w:id="24" w:name="OLE_LINK43"/>
            <w:r>
              <w:rPr>
                <w:rFonts w:hint="eastAsia"/>
                <w:color w:val="000000" w:themeColor="text1"/>
                <w14:textFill>
                  <w14:solidFill>
                    <w14:schemeClr w14:val="tx1"/>
                  </w14:solidFill>
                </w14:textFill>
              </w:rPr>
              <w:t>239400</w:t>
            </w:r>
            <w:bookmarkEnd w:id="24"/>
            <w:bookmarkStart w:id="25" w:name="OLE_LINK39"/>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bookmarkEnd w:id="25"/>
            <w:r>
              <w:rPr>
                <w:color w:val="000000" w:themeColor="text1"/>
                <w14:textFill>
                  <w14:solidFill>
                    <w14:schemeClr w14:val="tx1"/>
                  </w14:solidFill>
                </w14:textFill>
              </w:rPr>
              <w:t>。</w:t>
            </w:r>
            <w:r>
              <w:rPr>
                <w:rFonts w:hint="eastAsia"/>
                <w:color w:val="000000" w:themeColor="text1"/>
                <w14:textFill>
                  <w14:solidFill>
                    <w14:schemeClr w14:val="tx1"/>
                  </w14:solidFill>
                </w14:textFill>
              </w:rPr>
              <w:t>占地性质为</w:t>
            </w:r>
            <w:bookmarkStart w:id="26" w:name="OLE_LINK24"/>
            <w:r>
              <w:rPr>
                <w:color w:val="000000" w:themeColor="text1"/>
                <w14:textFill>
                  <w14:solidFill>
                    <w14:schemeClr w14:val="tx1"/>
                  </w14:solidFill>
                </w14:textFill>
              </w:rPr>
              <w:t>水域及水利设施用地和其他土地</w:t>
            </w:r>
            <w:bookmarkEnd w:id="26"/>
            <w:r>
              <w:rPr>
                <w:rFonts w:hint="eastAsia"/>
                <w:color w:val="000000" w:themeColor="text1"/>
                <w14:textFill>
                  <w14:solidFill>
                    <w14:schemeClr w14:val="tx1"/>
                  </w14:solidFill>
                </w14:textFill>
              </w:rPr>
              <w:t>。</w:t>
            </w:r>
          </w:p>
          <w:p w14:paraId="10B5253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工程永久</w:t>
            </w:r>
            <w:r>
              <w:rPr>
                <w:rFonts w:hint="eastAsia"/>
                <w:color w:val="000000" w:themeColor="text1"/>
                <w14:textFill>
                  <w14:solidFill>
                    <w14:schemeClr w14:val="tx1"/>
                  </w14:solidFill>
                </w14:textFill>
              </w:rPr>
              <w:t>占地</w:t>
            </w:r>
          </w:p>
          <w:p w14:paraId="106240D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本项目永久占地</w:t>
            </w:r>
            <w:r>
              <w:rPr>
                <w:color w:val="000000" w:themeColor="text1"/>
                <w14:textFill>
                  <w14:solidFill>
                    <w14:schemeClr w14:val="tx1"/>
                  </w14:solidFill>
                </w14:textFill>
              </w:rPr>
              <w:t>面积为</w:t>
            </w:r>
            <w:r>
              <w:rPr>
                <w:rFonts w:hint="eastAsia"/>
                <w:color w:val="000000" w:themeColor="text1"/>
                <w14:textFill>
                  <w14:solidFill>
                    <w14:schemeClr w14:val="tx1"/>
                  </w14:solidFill>
                </w14:textFill>
              </w:rPr>
              <w:t>683291.24m</w:t>
            </w:r>
            <w:r>
              <w:rPr>
                <w:rFonts w:hint="eastAsia"/>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245E745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工程临时用地</w:t>
            </w:r>
          </w:p>
          <w:p w14:paraId="3633508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施工临时用地包括疏浚工程区占地1677</w:t>
            </w:r>
            <w:r>
              <w:rPr>
                <w:rFonts w:hint="eastAsia"/>
                <w:color w:val="000000" w:themeColor="text1"/>
                <w14:textFill>
                  <w14:solidFill>
                    <w14:schemeClr w14:val="tx1"/>
                  </w14:solidFill>
                </w14:textFill>
              </w:rPr>
              <w:t>00 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，临时堆土区占地717</w:t>
            </w:r>
            <w:r>
              <w:rPr>
                <w:rFonts w:hint="eastAsia"/>
                <w:color w:val="000000" w:themeColor="text1"/>
                <w14:textFill>
                  <w14:solidFill>
                    <w14:schemeClr w14:val="tx1"/>
                  </w14:solidFill>
                </w14:textFill>
              </w:rPr>
              <w:t>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20AF85C1">
            <w:pPr>
              <w:pStyle w:val="47"/>
              <w:ind w:firstLine="420"/>
              <w:rPr>
                <w:color w:val="000000" w:themeColor="text1"/>
                <w14:textFill>
                  <w14:solidFill>
                    <w14:schemeClr w14:val="tx1"/>
                  </w14:solidFill>
                </w14:textFill>
              </w:rPr>
            </w:pPr>
          </w:p>
        </w:tc>
      </w:tr>
      <w:tr w14:paraId="60E48E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391" w:type="pct"/>
            <w:vAlign w:val="center"/>
          </w:tcPr>
          <w:p w14:paraId="23BC816C">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总平面及现场布置</w:t>
            </w:r>
          </w:p>
        </w:tc>
        <w:tc>
          <w:tcPr>
            <w:tcW w:w="4609" w:type="pct"/>
            <w:vAlign w:val="center"/>
          </w:tcPr>
          <w:p w14:paraId="5F1291B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一、工程总体布局</w:t>
            </w:r>
          </w:p>
          <w:p w14:paraId="1E03A04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本项目疏浚工程总体布局如下。</w:t>
            </w:r>
          </w:p>
          <w:p w14:paraId="10931A3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本项目涉及的清淤区域</w:t>
            </w:r>
            <w:r>
              <w:rPr>
                <w:color w:val="000000" w:themeColor="text1"/>
                <w14:textFill>
                  <w14:solidFill>
                    <w14:schemeClr w14:val="tx1"/>
                  </w14:solidFill>
                </w14:textFill>
              </w:rPr>
              <w:t>位于梅花河干流，治理河长约570m，左右岸宽580m。</w:t>
            </w:r>
            <w:r>
              <w:rPr>
                <w:rFonts w:hint="eastAsia"/>
                <w:color w:val="000000" w:themeColor="text1"/>
                <w14:textFill>
                  <w14:solidFill>
                    <w14:schemeClr w14:val="tx1"/>
                  </w14:solidFill>
                </w14:textFill>
              </w:rPr>
              <w:t>。清淤标准为20年一遇水位归槽，清淤工作旨在改善水域环境，提升相关区域的功能与价值。</w:t>
            </w:r>
          </w:p>
          <w:p w14:paraId="6C2D572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二、施工驻地布置</w:t>
            </w:r>
          </w:p>
          <w:p w14:paraId="2275CA3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1、施工条件</w:t>
            </w:r>
          </w:p>
          <w:p w14:paraId="1BDB5F7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（1）建筑材料及水、电供应条件</w:t>
            </w:r>
          </w:p>
          <w:p w14:paraId="49E96C7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①建筑材料</w:t>
            </w:r>
          </w:p>
          <w:p w14:paraId="1AF3A33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本项目块石、砾石、柴油等从市区采购。所有材料满足设计要求。</w:t>
            </w:r>
          </w:p>
          <w:p w14:paraId="0FCA655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②水、电</w:t>
            </w:r>
          </w:p>
          <w:p w14:paraId="629E1F4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施工用水采用水井供给。</w:t>
            </w:r>
          </w:p>
          <w:p w14:paraId="6721F55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就近接10kV电网至施工变压器，再由低压线路引至施工现场。</w:t>
            </w:r>
          </w:p>
          <w:p w14:paraId="1CCE576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③施工通信</w:t>
            </w:r>
          </w:p>
          <w:p w14:paraId="32FB34B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通信采用现有公共通信网络，不另外设置。</w:t>
            </w:r>
          </w:p>
          <w:p w14:paraId="6A2198A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）料场选择与开采</w:t>
            </w:r>
          </w:p>
          <w:p w14:paraId="25EA58D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本工程开挖土料多于填筑用料，工程不需要从料场开采土料。</w:t>
            </w:r>
          </w:p>
          <w:p w14:paraId="2A6035C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2、施工生产生活区</w:t>
            </w:r>
          </w:p>
          <w:p w14:paraId="47FD150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砂石料等用料全部采用从商业料场外购，暂存于施工作业区内，项目施工不设置混凝土拌合站。项目疏浚工程临时占地均已考虑了施工作业区范围，故不集中设置施工生产区，施工生活区设置在淤泥堆放区临时占地内南侧一角，占地面积为</w:t>
            </w:r>
            <w:r>
              <w:rPr>
                <w:color w:val="000000" w:themeColor="text1"/>
                <w14:textFill>
                  <w14:solidFill>
                    <w14:schemeClr w14:val="tx1"/>
                  </w14:solidFill>
                </w14:textFill>
              </w:rPr>
              <w:t>200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531C645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3、弃土场</w:t>
            </w:r>
          </w:p>
          <w:p w14:paraId="034148C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本项目余方</w:t>
            </w:r>
            <w:r>
              <w:rPr>
                <w:rFonts w:hint="eastAsia"/>
                <w:color w:val="000000" w:themeColor="text1"/>
                <w:szCs w:val="32"/>
                <w14:textFill>
                  <w14:solidFill>
                    <w14:schemeClr w14:val="tx1"/>
                  </w14:solidFill>
                </w14:textFill>
              </w:rPr>
              <w:t>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r>
              <w:rPr>
                <w:rFonts w:hint="eastAsia"/>
                <w:color w:val="000000" w:themeColor="text1"/>
                <w14:textFill>
                  <w14:solidFill>
                    <w14:schemeClr w14:val="tx1"/>
                  </w14:solidFill>
                </w14:textFill>
              </w:rPr>
              <w:t>。</w:t>
            </w:r>
          </w:p>
          <w:p w14:paraId="7A929DF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4、交通运输及施工便道</w:t>
            </w:r>
          </w:p>
          <w:p w14:paraId="76A59A0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项目区与伊美区之间公路的路况很好，因此工程所在地对外交通较为便利。施工道路主要利用现有道路。</w:t>
            </w:r>
          </w:p>
          <w:p w14:paraId="02E9DD89">
            <w:pPr>
              <w:pStyle w:val="46"/>
              <w:rPr>
                <w:color w:val="000000" w:themeColor="text1"/>
                <w14:textFill>
                  <w14:solidFill>
                    <w14:schemeClr w14:val="tx1"/>
                  </w14:solidFill>
                </w14:textFill>
              </w:rPr>
            </w:pPr>
          </w:p>
        </w:tc>
      </w:tr>
      <w:tr w14:paraId="766D8F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1" w:type="pct"/>
            <w:vAlign w:val="center"/>
          </w:tcPr>
          <w:p w14:paraId="3B30855C">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施工方案</w:t>
            </w:r>
          </w:p>
        </w:tc>
        <w:tc>
          <w:tcPr>
            <w:tcW w:w="4609" w:type="pct"/>
            <w:vAlign w:val="center"/>
          </w:tcPr>
          <w:p w14:paraId="0666E05B">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一、施工流程及施工设备选型</w:t>
            </w:r>
          </w:p>
          <w:p w14:paraId="33B9A84D">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1、施工机械、工具、设备及选型根据工程施工进度和强度合理安排与调配，主要用到以下集中施工设备：挖掘机、装载机、推土机、自卸汽车等。</w:t>
            </w:r>
          </w:p>
          <w:p w14:paraId="747A5003">
            <w:pPr>
              <w:pStyle w:val="47"/>
              <w:ind w:firstLine="420"/>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、根据工程施工进度组织材料及设备进场施工，进场原材料经质量检验合格后方可使用。</w:t>
            </w:r>
          </w:p>
          <w:p w14:paraId="135C6C38">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二、施工工艺</w:t>
            </w:r>
          </w:p>
          <w:p w14:paraId="5BB04DD3">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本工程施工工艺主要为疏浚工程施工。</w:t>
            </w:r>
          </w:p>
          <w:p w14:paraId="562267FB">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（1）机械开挖：清淤在枯水期进行，河道疏浚在确保自然岸坡稳定，不降低河床高程的基础上，对河道内淤积的泥沙、碎石等进行清理，选用2台</w:t>
            </w:r>
            <w:r>
              <w:rPr>
                <w:color w:val="000000" w:themeColor="text1"/>
                <w:szCs w:val="21"/>
                <w14:textFill>
                  <w14:solidFill>
                    <w14:schemeClr w14:val="tx1"/>
                  </w14:solidFill>
                </w14:textFill>
              </w:rPr>
              <w:t>0.3</w:t>
            </w:r>
            <w:r>
              <w:rPr>
                <w:rFonts w:hint="eastAsia"/>
                <w:color w:val="000000" w:themeColor="text1"/>
                <w:szCs w:val="21"/>
                <w14:textFill>
                  <w14:solidFill>
                    <w14:schemeClr w14:val="tx1"/>
                  </w14:solidFill>
                </w14:textFill>
              </w:rPr>
              <w:t>m³液压挖掘机分层开挖淤泥，开挖顺序从下游向上游推进，每层开挖深度≤1.0m，避免扰动河道原状土。</w:t>
            </w:r>
          </w:p>
          <w:p w14:paraId="535A8939">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（2）清淤验收：清淤完成后，采用测深仪逐断面检测清淤深度，每50m检测1个断面，确保清淤后河道底高程满足设计要求，无明显淤泥残留。</w:t>
            </w:r>
          </w:p>
          <w:p w14:paraId="22AE46DB">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（3）弃土处理：由于清淤土方多为淤泥及块石等，含水量较大，运输过程中容易对道路及周边环境造成污染，因此弃土需要在河岸作业区内放置，经过晾晒后方可外运指定地点综合利用。</w:t>
            </w:r>
          </w:p>
          <w:p w14:paraId="35E1392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建设施工阶段工程较为分散，产生的污染物为废气、废水、噪声、固体废物等，废气为无组织排放，废水、固体废物采取措施后均不外排，</w:t>
            </w:r>
            <w:r>
              <w:rPr>
                <w:color w:val="000000" w:themeColor="text1"/>
                <w14:textFill>
                  <w14:solidFill>
                    <w14:schemeClr w14:val="tx1"/>
                  </w14:solidFill>
                </w14:textFill>
              </w:rPr>
              <w:t>施工流程示意</w:t>
            </w:r>
            <w:r>
              <w:rPr>
                <w:rFonts w:hint="eastAsia"/>
                <w:color w:val="000000" w:themeColor="text1"/>
                <w14:textFill>
                  <w14:solidFill>
                    <w14:schemeClr w14:val="tx1"/>
                  </w14:solidFill>
                </w14:textFill>
              </w:rPr>
              <w:t>图及产污节点见下图。</w:t>
            </w:r>
          </w:p>
          <w:p w14:paraId="0A28167D">
            <w:pPr>
              <w:pStyle w:val="43"/>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86.4pt;width:289.8pt;" o:ole="t" filled="f" o:preferrelative="t" stroked="f" coordsize="21600,21600">
                  <v:path/>
                  <v:fill on="f" focussize="0,0"/>
                  <v:stroke on="f" joinstyle="miter"/>
                  <v:imagedata r:id="rId10" o:title=""/>
                  <o:lock v:ext="edit" aspectratio="t"/>
                  <w10:wrap type="none"/>
                  <w10:anchorlock/>
                </v:shape>
                <o:OLEObject Type="Embed" ProgID="Visio.Drawing.15" ShapeID="_x0000_i1025" DrawAspect="Content" ObjectID="_1468075725" r:id="rId9">
                  <o:LockedField>false</o:LockedField>
                </o:OLEObject>
              </w:object>
            </w:r>
          </w:p>
          <w:p w14:paraId="1EBE6E72">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本项目清淤施工流程及产污环节图</w:t>
            </w:r>
          </w:p>
          <w:p w14:paraId="554C4B2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三、施工进度</w:t>
            </w:r>
          </w:p>
          <w:p w14:paraId="6AECD86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应避免雨季集中</w:t>
            </w:r>
            <w:r>
              <w:rPr>
                <w:rFonts w:hint="eastAsia"/>
                <w:color w:val="000000" w:themeColor="text1"/>
                <w14:textFill>
                  <w14:solidFill>
                    <w14:schemeClr w14:val="tx1"/>
                  </w14:solidFill>
                </w14:textFill>
              </w:rPr>
              <w:t>期及冬季冰封期</w:t>
            </w:r>
            <w:r>
              <w:rPr>
                <w:color w:val="000000" w:themeColor="text1"/>
                <w14:textFill>
                  <w14:solidFill>
                    <w14:schemeClr w14:val="tx1"/>
                  </w14:solidFill>
                </w14:textFill>
              </w:rPr>
              <w:t>施工，施工时根据天气预报，合理安排施工</w:t>
            </w:r>
            <w:r>
              <w:rPr>
                <w:rFonts w:hint="eastAsia"/>
                <w:color w:val="000000" w:themeColor="text1"/>
                <w14:textFill>
                  <w14:solidFill>
                    <w14:schemeClr w14:val="tx1"/>
                  </w14:solidFill>
                </w14:textFill>
              </w:rPr>
              <w:t>进度</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本工程主体工程施工期为5个月，施工时段为2</w:t>
            </w:r>
            <w:r>
              <w:rPr>
                <w:color w:val="000000" w:themeColor="text1"/>
                <w14:textFill>
                  <w14:solidFill>
                    <w14:schemeClr w14:val="tx1"/>
                  </w14:solidFill>
                </w14:textFill>
              </w:rPr>
              <w:t>026</w:t>
            </w:r>
            <w:r>
              <w:rPr>
                <w:rFonts w:hint="eastAsia"/>
                <w:color w:val="000000" w:themeColor="text1"/>
                <w14:textFill>
                  <w14:solidFill>
                    <w14:schemeClr w14:val="tx1"/>
                  </w14:solidFill>
                </w14:textFill>
              </w:rPr>
              <w:t>年8月-</w:t>
            </w:r>
            <w:r>
              <w:rPr>
                <w:color w:val="000000" w:themeColor="text1"/>
                <w14:textFill>
                  <w14:solidFill>
                    <w14:schemeClr w14:val="tx1"/>
                  </w14:solidFill>
                </w14:textFill>
              </w:rPr>
              <w:t>2026</w:t>
            </w:r>
            <w:r>
              <w:rPr>
                <w:rFonts w:hint="eastAsia"/>
                <w:color w:val="000000" w:themeColor="text1"/>
                <w14:textFill>
                  <w14:solidFill>
                    <w14:schemeClr w14:val="tx1"/>
                  </w14:solidFill>
                </w14:textFill>
              </w:rPr>
              <w:t>年12月。</w:t>
            </w:r>
          </w:p>
          <w:p w14:paraId="1B361C0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本工程主体工程施工期为</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个月，其中准备期</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个月，清淤工程施工期3个月，竣工整理</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月，根据主体工程施工时序及时安排环保措施及水土保持措施，工程措施与主体工程建设同步；临时防护措施先于主体工程或同步进行；施工完毕后，植物恢复措施根据当地气候条件安排，稍滞后主体工程建设进度。</w:t>
            </w:r>
          </w:p>
          <w:p w14:paraId="7DD52EB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要环境影响为施工期，对周边环境的影响范围主要为施工期扬尘影响及生态环境（占地、植被、动物等）范围，本项目施工期的环境影响是暂时的，由于清淤工作完成并采取植被恢复措施，施工期产生的环境影响均可得到恢复。</w:t>
            </w:r>
          </w:p>
        </w:tc>
      </w:tr>
    </w:tbl>
    <w:p w14:paraId="6439228A">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仿宋_GB2312"/>
          <w:b/>
          <w:bCs/>
          <w:color w:val="000000" w:themeColor="text1"/>
          <w14:textFill>
            <w14:solidFill>
              <w14:schemeClr w14:val="tx1"/>
            </w14:solidFill>
          </w14:textFill>
        </w:rPr>
        <w:br w:type="page"/>
      </w:r>
      <w:bookmarkStart w:id="27" w:name="_Toc232073025"/>
      <w:r>
        <w:rPr>
          <w:rFonts w:ascii="Times New Roman" w:hAnsi="Times New Roman" w:eastAsia="黑体"/>
          <w:snapToGrid w:val="0"/>
          <w:color w:val="000000" w:themeColor="text1"/>
          <w:sz w:val="30"/>
          <w:szCs w:val="30"/>
          <w14:textFill>
            <w14:solidFill>
              <w14:schemeClr w14:val="tx1"/>
            </w14:solidFill>
          </w14:textFill>
        </w:rPr>
        <w:t>三、生态环境现状、保护目标及评价标准</w:t>
      </w:r>
      <w:bookmarkEnd w:id="27"/>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7817"/>
      </w:tblGrid>
      <w:tr w14:paraId="22E8E6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7EEEF54D">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生态环境现状</w:t>
            </w:r>
          </w:p>
        </w:tc>
        <w:tc>
          <w:tcPr>
            <w:tcW w:w="4407" w:type="pct"/>
            <w:vAlign w:val="center"/>
          </w:tcPr>
          <w:p w14:paraId="30457DC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一、生态环境质量现状</w:t>
            </w:r>
          </w:p>
          <w:p w14:paraId="0B9F726B">
            <w:pPr>
              <w:pStyle w:val="102"/>
              <w:ind w:firstLine="420"/>
              <w:rPr>
                <w:rFonts w:cs="Times New Roman"/>
                <w:sz w:val="21"/>
                <w:szCs w:val="21"/>
              </w:rPr>
            </w:pPr>
            <w:r>
              <w:rPr>
                <w:rFonts w:hint="eastAsia" w:cs="Times New Roman"/>
                <w:sz w:val="21"/>
                <w:szCs w:val="21"/>
              </w:rPr>
              <w:t>1</w:t>
            </w:r>
            <w:r>
              <w:rPr>
                <w:rFonts w:cs="Times New Roman"/>
                <w:sz w:val="21"/>
                <w:szCs w:val="21"/>
              </w:rPr>
              <w:t>、《黑龙江省生态功能区划》</w:t>
            </w:r>
          </w:p>
          <w:p w14:paraId="7EF52A77">
            <w:pPr>
              <w:pStyle w:val="104"/>
              <w:ind w:firstLine="420"/>
            </w:pPr>
            <w:r>
              <w:t>依据《黑龙江省生态功能区划》，本项目位于I-2-2-</w:t>
            </w:r>
            <w:r>
              <w:rPr>
                <w:rFonts w:hint="eastAsia"/>
              </w:rPr>
              <w:t>1 汤旺河水源涵养与生物多样性保护</w:t>
            </w:r>
            <w:r>
              <w:t>生态功能区。主要生态环境问题为：</w:t>
            </w:r>
            <w:r>
              <w:rPr>
                <w:rFonts w:hint="eastAsia"/>
              </w:rPr>
              <w:t>天然林面积明显减少，水能资源开发利用力度不够，水土流失现象有加剧趋势；</w:t>
            </w:r>
            <w:r>
              <w:t>生态环境敏感性为：土壤侵蚀敏感性为中度敏感或高度敏感；生物多样性敏感性为高度敏感；主要生态系统服务功能为：</w:t>
            </w:r>
            <w:r>
              <w:rPr>
                <w:rFonts w:hint="eastAsia"/>
              </w:rPr>
              <w:t>大部分地区土壤冻融和生物多样性敏感性为高度敏感，水污染为轻度敏感，有中度敏感地区分布</w:t>
            </w:r>
            <w:r>
              <w:t>；保护措施与发展方向为：加强</w:t>
            </w:r>
            <w:r>
              <w:rPr>
                <w:rFonts w:hint="eastAsia"/>
              </w:rPr>
              <w:t>天然</w:t>
            </w:r>
            <w:r>
              <w:t>林</w:t>
            </w:r>
            <w:r>
              <w:rPr>
                <w:rFonts w:hint="eastAsia"/>
              </w:rPr>
              <w:t>的保护，保持水源涵养功能，增加城市环境保护基础设施建设，科学发展工业和农业。</w:t>
            </w:r>
          </w:p>
          <w:p w14:paraId="1E6B0EE5">
            <w:pPr>
              <w:pStyle w:val="104"/>
              <w:ind w:firstLine="420"/>
              <w:rPr>
                <w:bCs/>
              </w:rPr>
            </w:pPr>
            <w:r>
              <w:rPr>
                <w:rFonts w:hint="eastAsia"/>
                <w:bCs/>
              </w:rPr>
              <w:t>2</w:t>
            </w:r>
            <w:r>
              <w:rPr>
                <w:bCs/>
              </w:rPr>
              <w:t>、《黑龙江省主体功能区划》</w:t>
            </w:r>
          </w:p>
          <w:p w14:paraId="0C271DD1">
            <w:pPr>
              <w:overflowPunct w:val="0"/>
              <w:spacing w:line="360" w:lineRule="auto"/>
              <w:ind w:firstLine="420" w:firstLineChars="200"/>
              <w:outlineLvl w:val="3"/>
              <w:rPr>
                <w:kern w:val="0"/>
                <w:szCs w:val="21"/>
              </w:rPr>
            </w:pPr>
            <w:r>
              <w:rPr>
                <w:rFonts w:hint="eastAsia"/>
                <w:kern w:val="0"/>
                <w:szCs w:val="21"/>
              </w:rPr>
              <w:t>根据《黑龙江省人民政府关于印发黑龙江省主体功能区规划的通知》（黑政发[2012]29号），</w:t>
            </w:r>
            <w:r>
              <w:rPr>
                <w:kern w:val="0"/>
                <w:szCs w:val="21"/>
              </w:rPr>
              <w:t>伊春市属于限制开发区域（国家重点生态功能区），水源涵养型生态功能区中大小兴安岭森林生态功能区。</w:t>
            </w:r>
          </w:p>
          <w:p w14:paraId="53AF9E5C">
            <w:pPr>
              <w:pStyle w:val="104"/>
              <w:ind w:firstLine="420"/>
            </w:pPr>
            <w:r>
              <w:t>发展方向为：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2AB296E1">
            <w:pPr>
              <w:pStyle w:val="47"/>
              <w:ind w:firstLine="420"/>
              <w:rPr>
                <w:color w:val="000000" w:themeColor="text1"/>
                <w14:textFill>
                  <w14:solidFill>
                    <w14:schemeClr w14:val="tx1"/>
                  </w14:solidFill>
                </w14:textFill>
              </w:rPr>
            </w:pPr>
          </w:p>
          <w:p w14:paraId="2DAED0C2">
            <w:pPr>
              <w:pStyle w:val="47"/>
              <w:ind w:firstLine="420"/>
              <w:rPr>
                <w:color w:val="000000" w:themeColor="text1"/>
                <w14:textFill>
                  <w14:solidFill>
                    <w14:schemeClr w14:val="tx1"/>
                  </w14:solidFill>
                </w14:textFill>
              </w:rPr>
            </w:pPr>
          </w:p>
          <w:p w14:paraId="4DD43C20">
            <w:pPr>
              <w:pStyle w:val="47"/>
              <w:ind w:firstLine="420"/>
              <w:rPr>
                <w:color w:val="000000" w:themeColor="text1"/>
                <w14:textFill>
                  <w14:solidFill>
                    <w14:schemeClr w14:val="tx1"/>
                  </w14:solidFill>
                </w14:textFill>
              </w:rPr>
            </w:pPr>
          </w:p>
          <w:p w14:paraId="217B76CE">
            <w:pPr>
              <w:pStyle w:val="47"/>
              <w:ind w:firstLine="420"/>
              <w:rPr>
                <w:color w:val="000000" w:themeColor="text1"/>
                <w14:textFill>
                  <w14:solidFill>
                    <w14:schemeClr w14:val="tx1"/>
                  </w14:solidFill>
                </w14:textFill>
              </w:rPr>
            </w:pPr>
          </w:p>
          <w:p w14:paraId="705AE88B">
            <w:pPr>
              <w:pStyle w:val="47"/>
              <w:ind w:firstLine="420"/>
              <w:rPr>
                <w:color w:val="000000" w:themeColor="text1"/>
                <w14:textFill>
                  <w14:solidFill>
                    <w14:schemeClr w14:val="tx1"/>
                  </w14:solidFill>
                </w14:textFill>
              </w:rPr>
            </w:pPr>
          </w:p>
          <w:p w14:paraId="6872321F">
            <w:pPr>
              <w:pStyle w:val="47"/>
              <w:ind w:firstLine="420"/>
              <w:rPr>
                <w:color w:val="000000" w:themeColor="text1"/>
                <w14:textFill>
                  <w14:solidFill>
                    <w14:schemeClr w14:val="tx1"/>
                  </w14:solidFill>
                </w14:textFill>
              </w:rPr>
            </w:pPr>
          </w:p>
          <w:p w14:paraId="5DAD870E">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708025</wp:posOffset>
                      </wp:positionH>
                      <wp:positionV relativeFrom="paragraph">
                        <wp:posOffset>876935</wp:posOffset>
                      </wp:positionV>
                      <wp:extent cx="881380" cy="255270"/>
                      <wp:effectExtent l="0" t="0" r="890270" b="754380"/>
                      <wp:wrapNone/>
                      <wp:docPr id="12" name="对话气泡: 矩形 12"/>
                      <wp:cNvGraphicFramePr/>
                      <a:graphic xmlns:a="http://schemas.openxmlformats.org/drawingml/2006/main">
                        <a:graphicData uri="http://schemas.microsoft.com/office/word/2010/wordprocessingShape">
                          <wps:wsp>
                            <wps:cNvSpPr>
                              <a:spLocks noChangeArrowheads="1"/>
                            </wps:cNvSpPr>
                            <wps:spPr bwMode="auto">
                              <a:xfrm>
                                <a:off x="0" y="0"/>
                                <a:ext cx="881380" cy="255270"/>
                              </a:xfrm>
                              <a:prstGeom prst="wedgeRectCallout">
                                <a:avLst>
                                  <a:gd name="adj1" fmla="val 144971"/>
                                  <a:gd name="adj2" fmla="val 331814"/>
                                </a:avLst>
                              </a:prstGeom>
                              <a:solidFill>
                                <a:srgbClr val="FFFFFF"/>
                              </a:solidFill>
                              <a:ln w="9525" cmpd="sng">
                                <a:solidFill>
                                  <a:srgbClr val="000000"/>
                                </a:solidFill>
                                <a:miter lim="800000"/>
                              </a:ln>
                            </wps:spPr>
                            <wps:txbx>
                              <w:txbxContent>
                                <w:p w14:paraId="44E11BFC">
                                  <w:r>
                                    <w:rPr>
                                      <w:rFonts w:hint="eastAsia"/>
                                    </w:rPr>
                                    <w:t>本项目位置</w:t>
                                  </w:r>
                                </w:p>
                              </w:txbxContent>
                            </wps:txbx>
                            <wps:bodyPr rot="0" vert="horz" wrap="square" lIns="91440" tIns="45720" rIns="91440" bIns="45720" anchor="t" anchorCtr="0" upright="1">
                              <a:noAutofit/>
                            </wps:bodyPr>
                          </wps:wsp>
                        </a:graphicData>
                      </a:graphic>
                    </wp:anchor>
                  </w:drawing>
                </mc:Choice>
                <mc:Fallback>
                  <w:pict>
                    <v:shape id="对话气泡: 矩形 12" o:spid="_x0000_s1026" o:spt="61" type="#_x0000_t61" style="position:absolute;left:0pt;margin-left:55.75pt;margin-top:69.05pt;height:20.1pt;width:69.4pt;z-index:251666432;mso-width-relative:page;mso-height-relative:page;" fillcolor="#FFFFFF" filled="t" stroked="t" coordsize="21600,21600" o:gfxdata="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CgZTLaAAAACwEAAA8AAAAAAAAA&#10;AQAgAAAAIgAAAGRycy9kb3ducmV2LnhtbFBLAQIUABQAAAAIAIdO4kDw5mafgQIAAPMEAAAOAAAA&#10;AAAAAAEAIAAAACkBAABkcnMvZTJvRG9jLnhtbFBLBQYAAAAABgAGAFkBAAAcBgAAAAA=&#10;" adj="42114,82472">
                      <v:fill on="t" focussize="0,0"/>
                      <v:stroke color="#000000" miterlimit="8" joinstyle="miter"/>
                      <v:imagedata o:title=""/>
                      <o:lock v:ext="edit" aspectratio="f"/>
                      <v:textbox>
                        <w:txbxContent>
                          <w:p w14:paraId="44E11BFC">
                            <w:r>
                              <w:rPr>
                                <w:rFonts w:hint="eastAsia"/>
                              </w:rPr>
                              <w:t>本项目位置</w:t>
                            </w:r>
                          </w:p>
                        </w:txbxContent>
                      </v:textbox>
                    </v:shape>
                  </w:pict>
                </mc:Fallback>
              </mc:AlternateContent>
            </w:r>
            <w:r>
              <w:rPr>
                <w:color w:val="000000" w:themeColor="text1"/>
                <w14:textFill>
                  <w14:solidFill>
                    <w14:schemeClr w14:val="tx1"/>
                  </w14:solidFill>
                </w14:textFill>
              </w:rPr>
              <w:drawing>
                <wp:inline distT="0" distB="0" distL="0" distR="0">
                  <wp:extent cx="4291965" cy="325564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294655" cy="3257680"/>
                          </a:xfrm>
                          <a:prstGeom prst="rect">
                            <a:avLst/>
                          </a:prstGeom>
                          <a:noFill/>
                          <a:ln>
                            <a:noFill/>
                          </a:ln>
                        </pic:spPr>
                      </pic:pic>
                    </a:graphicData>
                  </a:graphic>
                </wp:inline>
              </w:drawing>
            </w:r>
          </w:p>
          <w:p w14:paraId="0DE0F793">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图3-1  黑龙江主体功能区规划</w:t>
            </w:r>
          </w:p>
          <w:p w14:paraId="6294E53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3、生态环境现状</w:t>
            </w:r>
          </w:p>
          <w:p w14:paraId="281A939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工程永久征地</w:t>
            </w:r>
          </w:p>
          <w:p w14:paraId="1E9D746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本项目永久占地面积为683291.24m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19877E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工程临时用地</w:t>
            </w:r>
          </w:p>
          <w:p w14:paraId="69F1A95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施工临时用地包括疏浚工程区占地1677</w:t>
            </w:r>
            <w:r>
              <w:rPr>
                <w:rFonts w:hint="eastAsia"/>
                <w:color w:val="000000" w:themeColor="text1"/>
                <w14:textFill>
                  <w14:solidFill>
                    <w14:schemeClr w14:val="tx1"/>
                  </w14:solidFill>
                </w14:textFill>
              </w:rPr>
              <w:t>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，临时堆土区占地717</w:t>
            </w:r>
            <w:r>
              <w:rPr>
                <w:rFonts w:hint="eastAsia"/>
                <w:color w:val="000000" w:themeColor="text1"/>
                <w14:textFill>
                  <w14:solidFill>
                    <w14:schemeClr w14:val="tx1"/>
                  </w14:solidFill>
                </w14:textFill>
              </w:rPr>
              <w:t>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占地性质为占地性质为</w:t>
            </w:r>
            <w:r>
              <w:rPr>
                <w:color w:val="000000" w:themeColor="text1"/>
                <w14:textFill>
                  <w14:solidFill>
                    <w14:schemeClr w14:val="tx1"/>
                  </w14:solidFill>
                </w14:textFill>
              </w:rPr>
              <w:t>水域及水利设施用地和其他土地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工程建设临时用地</w:t>
            </w:r>
            <w:r>
              <w:rPr>
                <w:rFonts w:hint="eastAsia"/>
                <w:color w:val="000000" w:themeColor="text1"/>
                <w14:textFill>
                  <w14:solidFill>
                    <w14:schemeClr w14:val="tx1"/>
                  </w14:solidFill>
                </w14:textFill>
              </w:rPr>
              <w:t>不涉及基本农田及生态保护红线。</w:t>
            </w:r>
          </w:p>
          <w:p w14:paraId="2E6CCED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（3）植被现状</w:t>
            </w:r>
          </w:p>
          <w:p w14:paraId="6E1DE747">
            <w:pPr>
              <w:pStyle w:val="47"/>
              <w:ind w:firstLine="42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陆生植物：河道岸坡</w:t>
            </w:r>
            <w:r>
              <w:rPr>
                <w:rFonts w:hint="eastAsia"/>
                <w:color w:val="000000" w:themeColor="text1"/>
                <w:szCs w:val="21"/>
                <w14:textFill>
                  <w14:solidFill>
                    <w14:schemeClr w14:val="tx1"/>
                  </w14:solidFill>
                </w14:textFill>
              </w:rPr>
              <w:t>现状植被为稗草、狗尾草等野生草本，覆盖率约</w:t>
            </w:r>
            <w:r>
              <w:rPr>
                <w:color w:val="000000" w:themeColor="text1"/>
                <w:szCs w:val="21"/>
                <w14:textFill>
                  <w14:solidFill>
                    <w14:schemeClr w14:val="tx1"/>
                  </w14:solidFill>
                </w14:textFill>
              </w:rPr>
              <w:t>30%</w:t>
            </w:r>
            <w:r>
              <w:rPr>
                <w:rFonts w:hint="eastAsia"/>
                <w:color w:val="000000" w:themeColor="text1"/>
                <w:szCs w:val="21"/>
                <w14:textFill>
                  <w14:solidFill>
                    <w14:schemeClr w14:val="tx1"/>
                  </w14:solidFill>
                </w14:textFill>
              </w:rPr>
              <w:t>；局部分布杞柳等灌木，呈零散分布；沿岸耕地以旱田为主，种植玉米（占比70%）、大豆（占比25%），少量杂粮（占比5%），复种指数1.0；居民点周边：育才小区周边有零星绿化植被，包括杨树（胸径10-15cm）、丁香（株高1.5-2m），绿化覆盖率约20%；施工影响区：无珍稀濒危植物，植被均为东北寒温带常见乡土物种，生态系统稳定性一般，易受洪水扰动。项目区及周边陆生植物均为该地区的广布种、常见种，项目影响区域内无野生珍稀或濒危植物分布，植物群落的物种组成及结构较为单一。</w:t>
            </w:r>
          </w:p>
          <w:p w14:paraId="15761BF2">
            <w:pPr>
              <w:pStyle w:val="47"/>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陆生动物：多年来，在农业垦殖、区域车辆来往的共同影响下，评价区对动物产生的趋避作用，使得评价区附近无大型兽类出没。本项目周围无生态环境敏感点，评价区域内无国家级、省级重点保护珍稀或濒危物种。野生动物一般多为常见的麻雀、乌鸦、喜鹊等鸟类、鼠类，此外还有一些常见爬行类动物如黑龙江林蛙、麻蜥等，多见于河道浅水区及湿润草丛。评价区无重点保护的野生动物栖息地，评价区生态系统保持着完整性和稳定性。</w:t>
            </w:r>
          </w:p>
          <w:p w14:paraId="5B27D28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（4）水生生物现状</w:t>
            </w:r>
          </w:p>
          <w:p w14:paraId="2881FAB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本项目水生生态现状调查按照《环境影响评价技术导则总纲》（HJ/T 2.1-2016）、《环境影响评价技术导则 水利水电工程》（HJ/T 88-2003）、《地表水和污水监测技术规范》（HJ/T91-2002）、《水库渔业资源调查规范》（SL167-2014）、《内陆水域渔业自然资源调查手册》、《淡水浮游生物研究方法》进行分析。分析评估以类比分析法、常规分析法和生态机理分析法为主。</w:t>
            </w:r>
          </w:p>
          <w:p w14:paraId="1D7B147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从涉及河段地方相关专业主管部门收集调查流域自然环境、社会经济发展和水生态环境以及渔业发展现状资料，调研集成该河段相关研究成果。采取实地踏勘、走访等方式，获取第一手资料。</w:t>
            </w:r>
          </w:p>
          <w:p w14:paraId="15CD13F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本项目区域水体为梅花河，</w:t>
            </w:r>
            <w:r>
              <w:rPr>
                <w:color w:val="000000" w:themeColor="text1"/>
                <w14:textFill>
                  <w14:solidFill>
                    <w14:schemeClr w14:val="tx1"/>
                  </w14:solidFill>
                </w14:textFill>
              </w:rPr>
              <w:t>梅花河是汤旺河的一级支流，发源于伊东林场分公司的老黑顶子山，总流域面积331km2，河长38km。河源高程583.7m，位于伊青林场分公司，河源坐标东经129°10′15.6″，北纬47°55′29.1″，河口高程230m，坐标东经128°55′45.0″，北纬47°43′18.0″落差353.7m，其右岸有支流桦林河在伊东经营所南侧汇入，最终在伊美区东升镇南部汇入汤旺河。</w:t>
            </w:r>
            <w:r>
              <w:rPr>
                <w:rFonts w:hint="eastAsia"/>
                <w:color w:val="000000" w:themeColor="text1"/>
                <w14:textFill>
                  <w14:solidFill>
                    <w14:schemeClr w14:val="tx1"/>
                  </w14:solidFill>
                </w14:textFill>
              </w:rPr>
              <w:t>本项目不涉及鱼类“三场一通道”，不会对鱼类繁殖产生影响。因此，工程施工对鱼类的不利影响较小，且是暂时的。由于河道内水生植物、底栖动物及鱼类分布量极少，施工期对河道水生群落生物的影响极小。</w:t>
            </w:r>
          </w:p>
          <w:p w14:paraId="7783B26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通过查阅水行政主管部门资料并走访当地居民，了解到梅花河中现存鱼类主要为鲫鱼、泥鳅、虹鳟、金鳟、哲罗蛙，无受保护鱼类，也没有形成捕捞量。底栖生物为螺类、蚌类及摇蚊幼虫等，生物多样性较低。且项目区域人类活动频繁，河流沿线无鱼类产卵场、索饵场、越冬场，主要鱼类简介如下。</w:t>
            </w:r>
          </w:p>
          <w:p w14:paraId="7E65CAB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河段水体原有的生物量和净生产量并不高，而且这些水生生物都是河流水生环境中常见的物种，没有珍稀或濒危物种，无鱼类三场。因此，本项目施工造成水生群落生物量和净生产量的损失量不大，造成的生物多样性损失较小，对水生生态环境影响较小。</w:t>
            </w:r>
          </w:p>
          <w:p w14:paraId="322F12C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二、环境空气质量现状</w:t>
            </w:r>
          </w:p>
          <w:p w14:paraId="32625167">
            <w:pPr>
              <w:adjustRightInd w:val="0"/>
              <w:snapToGrid w:val="0"/>
              <w:spacing w:line="360" w:lineRule="auto"/>
              <w:ind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基本污染物环境质量现状</w:t>
            </w:r>
          </w:p>
          <w:p w14:paraId="4176B56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本项目所在地属伊春市，根据《202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黑龙江省</w:t>
            </w:r>
            <w:r>
              <w:rPr>
                <w:color w:val="000000" w:themeColor="text1"/>
                <w14:textFill>
                  <w14:solidFill>
                    <w14:schemeClr w14:val="tx1"/>
                  </w14:solidFill>
                </w14:textFill>
              </w:rPr>
              <w:t>生态环境质量</w:t>
            </w:r>
            <w:r>
              <w:rPr>
                <w:rFonts w:hint="eastAsia"/>
                <w:color w:val="000000" w:themeColor="text1"/>
                <w14:textFill>
                  <w14:solidFill>
                    <w14:schemeClr w14:val="tx1"/>
                  </w14:solidFill>
                </w14:textFill>
              </w:rPr>
              <w:t>状况</w:t>
            </w:r>
            <w:r>
              <w:rPr>
                <w:color w:val="000000" w:themeColor="text1"/>
                <w14:textFill>
                  <w14:solidFill>
                    <w14:schemeClr w14:val="tx1"/>
                  </w14:solidFill>
                </w14:textFill>
              </w:rPr>
              <w:t>》，202</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年，全市环境空气质量达标，二氧化硫、二氧化氮年均值、可吸入颗粒物PM10、细颗粒物 PM</w:t>
            </w:r>
            <w:r>
              <w:rPr>
                <w:color w:val="000000" w:themeColor="text1"/>
                <w:vertAlign w:val="subscript"/>
                <w14:textFill>
                  <w14:solidFill>
                    <w14:schemeClr w14:val="tx1"/>
                  </w14:solidFill>
                </w14:textFill>
              </w:rPr>
              <w:t>2.5</w:t>
            </w:r>
            <w:r>
              <w:rPr>
                <w:color w:val="000000" w:themeColor="text1"/>
                <w14:textFill>
                  <w14:solidFill>
                    <w14:schemeClr w14:val="tx1"/>
                  </w14:solidFill>
                </w14:textFill>
              </w:rPr>
              <w:t>、一氧化碳24小时平均第95百分位数和臭氧日最大8小时滑动平均值的第90百分位数共6项污染物年均值浓度均优于国家环境空气质量二级标准。本项目所在区域属于达标区。</w:t>
            </w:r>
          </w:p>
          <w:p w14:paraId="126EAC00">
            <w:pPr>
              <w:pStyle w:val="61"/>
              <w:rPr>
                <w:rFonts w:cs="Times New Roman"/>
                <w:color w:val="000000" w:themeColor="text1"/>
                <w14:textFill>
                  <w14:solidFill>
                    <w14:schemeClr w14:val="tx1"/>
                  </w14:solidFill>
                </w14:textFill>
              </w:rPr>
            </w:pPr>
          </w:p>
          <w:p w14:paraId="021A9E9E">
            <w:pPr>
              <w:pStyle w:val="61"/>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表3-</w:t>
            </w:r>
            <w:r>
              <w:rPr>
                <w:rFonts w:hint="eastAsia" w:cs="Times New Roman"/>
                <w:color w:val="000000" w:themeColor="text1"/>
                <w14:textFill>
                  <w14:solidFill>
                    <w14:schemeClr w14:val="tx1"/>
                  </w14:solidFill>
                </w14:textFill>
              </w:rPr>
              <w:t>1</w:t>
            </w:r>
            <w:r>
              <w:rPr>
                <w:rFonts w:cs="Times New Roman"/>
                <w:color w:val="000000" w:themeColor="text1"/>
                <w14:textFill>
                  <w14:solidFill>
                    <w14:schemeClr w14:val="tx1"/>
                  </w14:solidFill>
                </w14:textFill>
              </w:rPr>
              <w:t xml:space="preserve"> 202</w:t>
            </w:r>
            <w:r>
              <w:rPr>
                <w:rFonts w:hint="eastAsia" w:cs="Times New Roman"/>
                <w:color w:val="000000" w:themeColor="text1"/>
                <w14:textFill>
                  <w14:solidFill>
                    <w14:schemeClr w14:val="tx1"/>
                  </w14:solidFill>
                </w14:textFill>
              </w:rPr>
              <w:t>5</w:t>
            </w:r>
            <w:r>
              <w:rPr>
                <w:rFonts w:cs="Times New Roman"/>
                <w:color w:val="000000" w:themeColor="text1"/>
                <w14:textFill>
                  <w14:solidFill>
                    <w14:schemeClr w14:val="tx1"/>
                  </w14:solidFill>
                </w14:textFill>
              </w:rPr>
              <w:t>年环境空气各项污染物达标情况一览表   单位：μg/m</w:t>
            </w:r>
            <w:r>
              <w:rPr>
                <w:rFonts w:cs="Times New Roman"/>
                <w:color w:val="000000" w:themeColor="text1"/>
                <w:vertAlign w:val="superscript"/>
                <w14:textFill>
                  <w14:solidFill>
                    <w14:schemeClr w14:val="tx1"/>
                  </w14:solidFill>
                </w14:textFill>
              </w:rPr>
              <w:t>3</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92"/>
              <w:gridCol w:w="2967"/>
              <w:gridCol w:w="984"/>
              <w:gridCol w:w="1084"/>
              <w:gridCol w:w="889"/>
              <w:gridCol w:w="982"/>
            </w:tblGrid>
            <w:tr w14:paraId="09287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5243D795">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污染物</w:t>
                  </w:r>
                </w:p>
              </w:tc>
              <w:tc>
                <w:tcPr>
                  <w:tcW w:w="1958" w:type="pct"/>
                  <w:vAlign w:val="center"/>
                </w:tcPr>
                <w:p w14:paraId="0FB25436">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年评价指标</w:t>
                  </w:r>
                </w:p>
              </w:tc>
              <w:tc>
                <w:tcPr>
                  <w:tcW w:w="619" w:type="pct"/>
                  <w:vAlign w:val="center"/>
                </w:tcPr>
                <w:p w14:paraId="4755675F">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现状浓度/（μg/m</w:t>
                  </w:r>
                  <w:r>
                    <w:rPr>
                      <w:rFonts w:ascii="Times New Roman" w:hAnsi="Times New Roman"/>
                      <w:sz w:val="21"/>
                      <w:szCs w:val="21"/>
                      <w:vertAlign w:val="superscript"/>
                      <w:lang w:bidi="ar"/>
                    </w:rPr>
                    <w:t>3</w:t>
                  </w:r>
                  <w:r>
                    <w:rPr>
                      <w:rFonts w:ascii="Times New Roman" w:hAnsi="Times New Roman"/>
                      <w:sz w:val="21"/>
                      <w:szCs w:val="21"/>
                      <w:lang w:bidi="ar"/>
                    </w:rPr>
                    <w:t>）</w:t>
                  </w:r>
                </w:p>
              </w:tc>
              <w:tc>
                <w:tcPr>
                  <w:tcW w:w="719" w:type="pct"/>
                  <w:vAlign w:val="center"/>
                </w:tcPr>
                <w:p w14:paraId="326B737D">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标准值/（μg/m</w:t>
                  </w:r>
                  <w:r>
                    <w:rPr>
                      <w:rFonts w:ascii="Times New Roman" w:hAnsi="Times New Roman"/>
                      <w:sz w:val="21"/>
                      <w:szCs w:val="21"/>
                      <w:vertAlign w:val="superscript"/>
                      <w:lang w:bidi="ar"/>
                    </w:rPr>
                    <w:t>3</w:t>
                  </w:r>
                  <w:r>
                    <w:rPr>
                      <w:rFonts w:ascii="Times New Roman" w:hAnsi="Times New Roman"/>
                      <w:sz w:val="21"/>
                      <w:szCs w:val="21"/>
                      <w:lang w:bidi="ar"/>
                    </w:rPr>
                    <w:t>）</w:t>
                  </w:r>
                </w:p>
              </w:tc>
              <w:tc>
                <w:tcPr>
                  <w:tcW w:w="591" w:type="pct"/>
                  <w:vAlign w:val="center"/>
                </w:tcPr>
                <w:p w14:paraId="5F3A634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占标率/%</w:t>
                  </w:r>
                </w:p>
              </w:tc>
              <w:tc>
                <w:tcPr>
                  <w:tcW w:w="651" w:type="pct"/>
                  <w:vAlign w:val="center"/>
                </w:tcPr>
                <w:p w14:paraId="5E0008C4">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p w14:paraId="425D1CD9">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情况</w:t>
                  </w:r>
                </w:p>
              </w:tc>
            </w:tr>
            <w:tr w14:paraId="42BD58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712673A1">
                  <w:pPr>
                    <w:pStyle w:val="15"/>
                    <w:widowControl w:val="0"/>
                    <w:spacing w:before="0" w:beforeAutospacing="0" w:after="0" w:afterAutospacing="0"/>
                    <w:jc w:val="center"/>
                    <w:rPr>
                      <w:rFonts w:ascii="Times New Roman" w:hAnsi="Times New Roman"/>
                      <w:sz w:val="21"/>
                      <w:szCs w:val="21"/>
                      <w:vertAlign w:val="subscript"/>
                    </w:rPr>
                  </w:pPr>
                  <w:r>
                    <w:rPr>
                      <w:rFonts w:ascii="Times New Roman" w:hAnsi="Times New Roman"/>
                      <w:sz w:val="21"/>
                      <w:szCs w:val="21"/>
                      <w:lang w:bidi="ar"/>
                    </w:rPr>
                    <w:t>PM</w:t>
                  </w:r>
                  <w:r>
                    <w:rPr>
                      <w:rFonts w:ascii="Times New Roman" w:hAnsi="Times New Roman"/>
                      <w:sz w:val="21"/>
                      <w:szCs w:val="21"/>
                      <w:vertAlign w:val="subscript"/>
                      <w:lang w:bidi="ar"/>
                    </w:rPr>
                    <w:t>2.5</w:t>
                  </w:r>
                </w:p>
              </w:tc>
              <w:tc>
                <w:tcPr>
                  <w:tcW w:w="1958" w:type="pct"/>
                  <w:vAlign w:val="center"/>
                </w:tcPr>
                <w:p w14:paraId="6B2EED75">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年平均质量浓度</w:t>
                  </w:r>
                </w:p>
              </w:tc>
              <w:tc>
                <w:tcPr>
                  <w:tcW w:w="619" w:type="pct"/>
                  <w:vAlign w:val="center"/>
                </w:tcPr>
                <w:p w14:paraId="02589905">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24</w:t>
                  </w:r>
                </w:p>
              </w:tc>
              <w:tc>
                <w:tcPr>
                  <w:tcW w:w="719" w:type="pct"/>
                  <w:vAlign w:val="center"/>
                </w:tcPr>
                <w:p w14:paraId="1BF2FD81">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lang w:bidi="ar"/>
                    </w:rPr>
                    <w:t>30</w:t>
                  </w:r>
                </w:p>
              </w:tc>
              <w:tc>
                <w:tcPr>
                  <w:tcW w:w="591" w:type="pct"/>
                  <w:vAlign w:val="center"/>
                </w:tcPr>
                <w:p w14:paraId="53F4098B">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rPr>
                    <w:t>80</w:t>
                  </w:r>
                </w:p>
              </w:tc>
              <w:tc>
                <w:tcPr>
                  <w:tcW w:w="651" w:type="pct"/>
                  <w:vAlign w:val="center"/>
                </w:tcPr>
                <w:p w14:paraId="541EF582">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r w14:paraId="3EDF3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74EC1839">
                  <w:pPr>
                    <w:pStyle w:val="15"/>
                    <w:widowControl w:val="0"/>
                    <w:spacing w:before="0" w:beforeAutospacing="0" w:after="0" w:afterAutospacing="0"/>
                    <w:jc w:val="center"/>
                    <w:rPr>
                      <w:rFonts w:ascii="Times New Roman" w:hAnsi="Times New Roman"/>
                      <w:sz w:val="21"/>
                      <w:szCs w:val="21"/>
                      <w:vertAlign w:val="subscript"/>
                    </w:rPr>
                  </w:pPr>
                  <w:r>
                    <w:rPr>
                      <w:rFonts w:ascii="Times New Roman" w:hAnsi="Times New Roman"/>
                      <w:sz w:val="21"/>
                      <w:szCs w:val="21"/>
                      <w:lang w:bidi="ar"/>
                    </w:rPr>
                    <w:t>PM</w:t>
                  </w:r>
                  <w:r>
                    <w:rPr>
                      <w:rFonts w:ascii="Times New Roman" w:hAnsi="Times New Roman"/>
                      <w:sz w:val="21"/>
                      <w:szCs w:val="21"/>
                      <w:vertAlign w:val="subscript"/>
                      <w:lang w:bidi="ar"/>
                    </w:rPr>
                    <w:t>10</w:t>
                  </w:r>
                </w:p>
              </w:tc>
              <w:tc>
                <w:tcPr>
                  <w:tcW w:w="1958" w:type="pct"/>
                  <w:vAlign w:val="center"/>
                </w:tcPr>
                <w:p w14:paraId="206A422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年平均质量浓度</w:t>
                  </w:r>
                </w:p>
              </w:tc>
              <w:tc>
                <w:tcPr>
                  <w:tcW w:w="619" w:type="pct"/>
                  <w:vAlign w:val="center"/>
                </w:tcPr>
                <w:p w14:paraId="2778F7B0">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3</w:t>
                  </w:r>
                  <w:r>
                    <w:rPr>
                      <w:rFonts w:hint="eastAsia" w:ascii="Times New Roman" w:hAnsi="Times New Roman"/>
                      <w:sz w:val="21"/>
                      <w:szCs w:val="21"/>
                      <w:lang w:bidi="ar"/>
                    </w:rPr>
                    <w:t>2</w:t>
                  </w:r>
                </w:p>
              </w:tc>
              <w:tc>
                <w:tcPr>
                  <w:tcW w:w="719" w:type="pct"/>
                  <w:vAlign w:val="center"/>
                </w:tcPr>
                <w:p w14:paraId="66C2D7C7">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lang w:bidi="ar"/>
                    </w:rPr>
                    <w:t>60</w:t>
                  </w:r>
                </w:p>
              </w:tc>
              <w:tc>
                <w:tcPr>
                  <w:tcW w:w="591" w:type="pct"/>
                  <w:vAlign w:val="center"/>
                </w:tcPr>
                <w:p w14:paraId="5BDCDA03">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rPr>
                    <w:t>53.33</w:t>
                  </w:r>
                </w:p>
              </w:tc>
              <w:tc>
                <w:tcPr>
                  <w:tcW w:w="651" w:type="pct"/>
                  <w:vAlign w:val="center"/>
                </w:tcPr>
                <w:p w14:paraId="42A4946F">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r w14:paraId="657B0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1534A25D">
                  <w:pPr>
                    <w:pStyle w:val="15"/>
                    <w:widowControl w:val="0"/>
                    <w:spacing w:before="0" w:beforeAutospacing="0" w:after="0" w:afterAutospacing="0"/>
                    <w:jc w:val="center"/>
                    <w:rPr>
                      <w:rFonts w:ascii="Times New Roman" w:hAnsi="Times New Roman"/>
                      <w:sz w:val="21"/>
                      <w:szCs w:val="21"/>
                      <w:vertAlign w:val="subscript"/>
                    </w:rPr>
                  </w:pPr>
                  <w:r>
                    <w:rPr>
                      <w:rFonts w:ascii="Times New Roman" w:hAnsi="Times New Roman"/>
                      <w:sz w:val="21"/>
                      <w:szCs w:val="21"/>
                      <w:lang w:bidi="ar"/>
                    </w:rPr>
                    <w:t>SO</w:t>
                  </w:r>
                  <w:r>
                    <w:rPr>
                      <w:rFonts w:ascii="Times New Roman" w:hAnsi="Times New Roman"/>
                      <w:sz w:val="21"/>
                      <w:szCs w:val="21"/>
                      <w:vertAlign w:val="subscript"/>
                      <w:lang w:bidi="ar"/>
                    </w:rPr>
                    <w:t>2</w:t>
                  </w:r>
                </w:p>
              </w:tc>
              <w:tc>
                <w:tcPr>
                  <w:tcW w:w="1958" w:type="pct"/>
                  <w:vAlign w:val="center"/>
                </w:tcPr>
                <w:p w14:paraId="1F459072">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年平均质量浓度</w:t>
                  </w:r>
                </w:p>
              </w:tc>
              <w:tc>
                <w:tcPr>
                  <w:tcW w:w="619" w:type="pct"/>
                  <w:vAlign w:val="center"/>
                </w:tcPr>
                <w:p w14:paraId="4AC323E7">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lang w:bidi="ar"/>
                    </w:rPr>
                    <w:t>5</w:t>
                  </w:r>
                </w:p>
              </w:tc>
              <w:tc>
                <w:tcPr>
                  <w:tcW w:w="719" w:type="pct"/>
                  <w:vAlign w:val="center"/>
                </w:tcPr>
                <w:p w14:paraId="3B45417D">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60</w:t>
                  </w:r>
                </w:p>
              </w:tc>
              <w:tc>
                <w:tcPr>
                  <w:tcW w:w="591" w:type="pct"/>
                  <w:vAlign w:val="center"/>
                </w:tcPr>
                <w:p w14:paraId="6AEE39D1">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rPr>
                    <w:t>8.33</w:t>
                  </w:r>
                </w:p>
              </w:tc>
              <w:tc>
                <w:tcPr>
                  <w:tcW w:w="651" w:type="pct"/>
                  <w:vAlign w:val="center"/>
                </w:tcPr>
                <w:p w14:paraId="502CE5DC">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r w14:paraId="5BCA36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3BF4BB33">
                  <w:pPr>
                    <w:pStyle w:val="15"/>
                    <w:widowControl w:val="0"/>
                    <w:spacing w:before="0" w:beforeAutospacing="0" w:after="0" w:afterAutospacing="0"/>
                    <w:jc w:val="center"/>
                    <w:rPr>
                      <w:rFonts w:ascii="Times New Roman" w:hAnsi="Times New Roman"/>
                      <w:sz w:val="21"/>
                      <w:szCs w:val="21"/>
                      <w:vertAlign w:val="subscript"/>
                    </w:rPr>
                  </w:pPr>
                  <w:r>
                    <w:rPr>
                      <w:rFonts w:ascii="Times New Roman" w:hAnsi="Times New Roman"/>
                      <w:sz w:val="21"/>
                      <w:szCs w:val="21"/>
                      <w:lang w:bidi="ar"/>
                    </w:rPr>
                    <w:t>NO</w:t>
                  </w:r>
                  <w:r>
                    <w:rPr>
                      <w:rFonts w:ascii="Times New Roman" w:hAnsi="Times New Roman"/>
                      <w:sz w:val="21"/>
                      <w:szCs w:val="21"/>
                      <w:vertAlign w:val="subscript"/>
                      <w:lang w:bidi="ar"/>
                    </w:rPr>
                    <w:t>2</w:t>
                  </w:r>
                </w:p>
              </w:tc>
              <w:tc>
                <w:tcPr>
                  <w:tcW w:w="1958" w:type="pct"/>
                  <w:vAlign w:val="center"/>
                </w:tcPr>
                <w:p w14:paraId="36BE771C">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年平均质量浓度</w:t>
                  </w:r>
                </w:p>
              </w:tc>
              <w:tc>
                <w:tcPr>
                  <w:tcW w:w="619" w:type="pct"/>
                  <w:vAlign w:val="center"/>
                </w:tcPr>
                <w:p w14:paraId="43EC3002">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lang w:bidi="ar"/>
                    </w:rPr>
                    <w:t>11</w:t>
                  </w:r>
                </w:p>
              </w:tc>
              <w:tc>
                <w:tcPr>
                  <w:tcW w:w="719" w:type="pct"/>
                  <w:vAlign w:val="center"/>
                </w:tcPr>
                <w:p w14:paraId="56FA9777">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40</w:t>
                  </w:r>
                </w:p>
              </w:tc>
              <w:tc>
                <w:tcPr>
                  <w:tcW w:w="591" w:type="pct"/>
                  <w:vAlign w:val="center"/>
                </w:tcPr>
                <w:p w14:paraId="669188CB">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rPr>
                    <w:t>27.5</w:t>
                  </w:r>
                </w:p>
              </w:tc>
              <w:tc>
                <w:tcPr>
                  <w:tcW w:w="651" w:type="pct"/>
                  <w:vAlign w:val="center"/>
                </w:tcPr>
                <w:p w14:paraId="7839C868">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r w14:paraId="5A64DA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77A7AA80">
                  <w:pPr>
                    <w:pStyle w:val="15"/>
                    <w:widowControl w:val="0"/>
                    <w:spacing w:before="0" w:beforeAutospacing="0" w:after="0" w:afterAutospacing="0"/>
                    <w:jc w:val="center"/>
                    <w:rPr>
                      <w:rFonts w:ascii="Times New Roman" w:hAnsi="Times New Roman"/>
                      <w:sz w:val="21"/>
                      <w:szCs w:val="21"/>
                      <w:vertAlign w:val="subscript"/>
                    </w:rPr>
                  </w:pPr>
                  <w:r>
                    <w:rPr>
                      <w:rFonts w:ascii="Times New Roman" w:hAnsi="Times New Roman"/>
                      <w:sz w:val="21"/>
                      <w:szCs w:val="21"/>
                      <w:lang w:bidi="ar"/>
                    </w:rPr>
                    <w:t>CO</w:t>
                  </w:r>
                </w:p>
              </w:tc>
              <w:tc>
                <w:tcPr>
                  <w:tcW w:w="1958" w:type="pct"/>
                  <w:vAlign w:val="center"/>
                </w:tcPr>
                <w:p w14:paraId="7644F81E">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第95百分位数日平均浓度（mg/m</w:t>
                  </w:r>
                  <w:r>
                    <w:rPr>
                      <w:rFonts w:ascii="Times New Roman" w:hAnsi="Times New Roman"/>
                      <w:sz w:val="21"/>
                      <w:szCs w:val="21"/>
                      <w:vertAlign w:val="superscript"/>
                      <w:lang w:bidi="ar"/>
                    </w:rPr>
                    <w:t>3</w:t>
                  </w:r>
                  <w:r>
                    <w:rPr>
                      <w:rFonts w:ascii="Times New Roman" w:hAnsi="Times New Roman"/>
                      <w:sz w:val="21"/>
                      <w:szCs w:val="21"/>
                      <w:lang w:bidi="ar"/>
                    </w:rPr>
                    <w:t>）</w:t>
                  </w:r>
                </w:p>
              </w:tc>
              <w:tc>
                <w:tcPr>
                  <w:tcW w:w="619" w:type="pct"/>
                  <w:vAlign w:val="center"/>
                </w:tcPr>
                <w:p w14:paraId="4EEF8E69">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lang w:bidi="ar"/>
                    </w:rPr>
                    <w:t>1.0</w:t>
                  </w:r>
                </w:p>
              </w:tc>
              <w:tc>
                <w:tcPr>
                  <w:tcW w:w="719" w:type="pct"/>
                  <w:vAlign w:val="center"/>
                </w:tcPr>
                <w:p w14:paraId="57372131">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4.0</w:t>
                  </w:r>
                </w:p>
              </w:tc>
              <w:tc>
                <w:tcPr>
                  <w:tcW w:w="591" w:type="pct"/>
                  <w:vAlign w:val="center"/>
                </w:tcPr>
                <w:p w14:paraId="790146D7">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2</w:t>
                  </w:r>
                  <w:r>
                    <w:rPr>
                      <w:rFonts w:hint="eastAsia" w:ascii="Times New Roman" w:hAnsi="Times New Roman"/>
                      <w:sz w:val="21"/>
                      <w:szCs w:val="21"/>
                      <w:lang w:bidi="ar"/>
                    </w:rPr>
                    <w:t>5</w:t>
                  </w:r>
                  <w:r>
                    <w:rPr>
                      <w:rFonts w:ascii="Times New Roman" w:hAnsi="Times New Roman"/>
                      <w:sz w:val="21"/>
                      <w:szCs w:val="21"/>
                      <w:lang w:bidi="ar"/>
                    </w:rPr>
                    <w:t>.00</w:t>
                  </w:r>
                </w:p>
              </w:tc>
              <w:tc>
                <w:tcPr>
                  <w:tcW w:w="651" w:type="pct"/>
                  <w:vAlign w:val="center"/>
                </w:tcPr>
                <w:p w14:paraId="4107917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r w14:paraId="6F188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Pr>
              <w:tc>
                <w:tcPr>
                  <w:tcW w:w="461" w:type="pct"/>
                  <w:vAlign w:val="center"/>
                </w:tcPr>
                <w:p w14:paraId="6A1B562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O</w:t>
                  </w:r>
                  <w:r>
                    <w:rPr>
                      <w:rFonts w:ascii="Times New Roman" w:hAnsi="Times New Roman"/>
                      <w:sz w:val="21"/>
                      <w:szCs w:val="21"/>
                      <w:vertAlign w:val="subscript"/>
                      <w:lang w:bidi="ar"/>
                    </w:rPr>
                    <w:t>3</w:t>
                  </w:r>
                </w:p>
              </w:tc>
              <w:tc>
                <w:tcPr>
                  <w:tcW w:w="1958" w:type="pct"/>
                  <w:vAlign w:val="center"/>
                </w:tcPr>
                <w:p w14:paraId="35C584A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第90百分位数8h平均质量浓度</w:t>
                  </w:r>
                </w:p>
              </w:tc>
              <w:tc>
                <w:tcPr>
                  <w:tcW w:w="619" w:type="pct"/>
                  <w:vAlign w:val="center"/>
                </w:tcPr>
                <w:p w14:paraId="757F4DD0">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10</w:t>
                  </w:r>
                  <w:r>
                    <w:rPr>
                      <w:rFonts w:hint="eastAsia" w:ascii="Times New Roman" w:hAnsi="Times New Roman"/>
                      <w:sz w:val="21"/>
                      <w:szCs w:val="21"/>
                      <w:lang w:bidi="ar"/>
                    </w:rPr>
                    <w:t>2</w:t>
                  </w:r>
                </w:p>
              </w:tc>
              <w:tc>
                <w:tcPr>
                  <w:tcW w:w="719" w:type="pct"/>
                  <w:vAlign w:val="center"/>
                </w:tcPr>
                <w:p w14:paraId="2FD91F85">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160</w:t>
                  </w:r>
                </w:p>
              </w:tc>
              <w:tc>
                <w:tcPr>
                  <w:tcW w:w="591" w:type="pct"/>
                  <w:vAlign w:val="center"/>
                </w:tcPr>
                <w:p w14:paraId="379B0E01">
                  <w:pPr>
                    <w:pStyle w:val="15"/>
                    <w:widowControl w:val="0"/>
                    <w:spacing w:before="0" w:beforeAutospacing="0" w:after="0" w:afterAutospacing="0"/>
                    <w:jc w:val="center"/>
                    <w:rPr>
                      <w:rFonts w:ascii="Times New Roman" w:hAnsi="Times New Roman"/>
                      <w:sz w:val="21"/>
                      <w:szCs w:val="21"/>
                    </w:rPr>
                  </w:pPr>
                  <w:r>
                    <w:rPr>
                      <w:rFonts w:hint="eastAsia" w:ascii="Times New Roman" w:hAnsi="Times New Roman"/>
                      <w:sz w:val="21"/>
                      <w:szCs w:val="21"/>
                    </w:rPr>
                    <w:t>63.75</w:t>
                  </w:r>
                </w:p>
              </w:tc>
              <w:tc>
                <w:tcPr>
                  <w:tcW w:w="651" w:type="pct"/>
                  <w:vAlign w:val="center"/>
                </w:tcPr>
                <w:p w14:paraId="52750A4A">
                  <w:pPr>
                    <w:pStyle w:val="15"/>
                    <w:widowControl w:val="0"/>
                    <w:spacing w:before="0" w:beforeAutospacing="0" w:after="0" w:afterAutospacing="0"/>
                    <w:jc w:val="center"/>
                    <w:rPr>
                      <w:rFonts w:ascii="Times New Roman" w:hAnsi="Times New Roman"/>
                      <w:sz w:val="21"/>
                      <w:szCs w:val="21"/>
                    </w:rPr>
                  </w:pPr>
                  <w:r>
                    <w:rPr>
                      <w:rFonts w:ascii="Times New Roman" w:hAnsi="Times New Roman"/>
                      <w:sz w:val="21"/>
                      <w:szCs w:val="21"/>
                      <w:lang w:bidi="ar"/>
                    </w:rPr>
                    <w:t>达标</w:t>
                  </w:r>
                </w:p>
              </w:tc>
            </w:tr>
          </w:tbl>
          <w:p w14:paraId="1C379B17">
            <w:pPr>
              <w:adjustRightInd w:val="0"/>
              <w:snapToGrid w:val="0"/>
              <w:spacing w:line="360" w:lineRule="auto"/>
            </w:pPr>
            <w:r>
              <w:rPr>
                <w:sz w:val="18"/>
                <w:szCs w:val="18"/>
              </w:rPr>
              <w:t>注：日均值第X百分位数按照《</w:t>
            </w:r>
            <w:r>
              <w:rPr>
                <w:rFonts w:hint="eastAsia"/>
                <w:sz w:val="18"/>
                <w:szCs w:val="18"/>
              </w:rPr>
              <w:t>环境空气质量评价技术规范</w:t>
            </w:r>
            <w:r>
              <w:rPr>
                <w:sz w:val="18"/>
                <w:szCs w:val="18"/>
              </w:rPr>
              <w:t>》（</w:t>
            </w:r>
            <w:r>
              <w:rPr>
                <w:rFonts w:hint="eastAsia"/>
                <w:sz w:val="18"/>
                <w:szCs w:val="18"/>
              </w:rPr>
              <w:t>HJ 663-2026</w:t>
            </w:r>
            <w:r>
              <w:rPr>
                <w:sz w:val="18"/>
                <w:szCs w:val="18"/>
              </w:rPr>
              <w:t>），二氧化氮、二氧化硫X为98，PM</w:t>
            </w:r>
            <w:r>
              <w:rPr>
                <w:sz w:val="18"/>
                <w:szCs w:val="18"/>
                <w:vertAlign w:val="subscript"/>
              </w:rPr>
              <w:t>2.5</w:t>
            </w:r>
            <w:r>
              <w:rPr>
                <w:sz w:val="18"/>
                <w:szCs w:val="18"/>
              </w:rPr>
              <w:t>、PM</w:t>
            </w:r>
            <w:r>
              <w:rPr>
                <w:sz w:val="18"/>
                <w:szCs w:val="18"/>
                <w:vertAlign w:val="subscript"/>
              </w:rPr>
              <w:t>10</w:t>
            </w:r>
            <w:r>
              <w:rPr>
                <w:sz w:val="18"/>
                <w:szCs w:val="18"/>
              </w:rPr>
              <w:t>、一氧化碳X为95，臭氧日最大8小时平均X为90。</w:t>
            </w:r>
          </w:p>
          <w:p w14:paraId="1C457A8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由表3-</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可知，本项目区域属于环境空气质量达标区。</w:t>
            </w:r>
          </w:p>
          <w:p w14:paraId="63D4844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2、其他污染物环境空气质量现状评价</w:t>
            </w:r>
          </w:p>
          <w:p w14:paraId="062AC66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 1 \* GB3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①</w:t>
            </w:r>
            <w:r>
              <w:rPr>
                <w:color w:val="000000" w:themeColor="text1"/>
                <w14:textFill>
                  <w14:solidFill>
                    <w14:schemeClr w14:val="tx1"/>
                  </w14:solidFill>
                </w14:textFill>
              </w:rPr>
              <w:fldChar w:fldCharType="end"/>
            </w:r>
            <w:r>
              <w:rPr>
                <w:color w:val="000000" w:themeColor="text1"/>
                <w14:textFill>
                  <w14:solidFill>
                    <w14:schemeClr w14:val="tx1"/>
                  </w14:solidFill>
                </w14:textFill>
              </w:rPr>
              <w:t>监测点位基本信息</w:t>
            </w:r>
          </w:p>
          <w:p w14:paraId="320AEFC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本项目大气环境空气质量特征因子引自</w:t>
            </w:r>
            <w:r>
              <w:rPr>
                <w:color w:val="000000" w:themeColor="text1"/>
                <w14:textFill>
                  <w14:solidFill>
                    <w14:schemeClr w14:val="tx1"/>
                  </w14:solidFill>
                </w14:textFill>
              </w:rPr>
              <w:t>黑龙江中邺检测技术有限公司</w:t>
            </w:r>
            <w:r>
              <w:rPr>
                <w:rFonts w:hint="eastAsia"/>
                <w:color w:val="000000" w:themeColor="text1"/>
                <w14:textFill>
                  <w14:solidFill>
                    <w14:schemeClr w14:val="tx1"/>
                  </w14:solidFill>
                </w14:textFill>
              </w:rPr>
              <w:t>于2026年</w:t>
            </w:r>
            <w:r>
              <w:rPr>
                <w:rFonts w:hint="eastAsia"/>
                <w:color w:val="000000" w:themeColor="text1"/>
                <w:highlight w:val="yellow"/>
                <w14:textFill>
                  <w14:solidFill>
                    <w14:schemeClr w14:val="tx1"/>
                  </w14:solidFill>
                </w14:textFill>
              </w:rPr>
              <w:t>6月11日</w:t>
            </w:r>
            <w:r>
              <w:rPr>
                <w:rFonts w:hint="eastAsia"/>
                <w:color w:val="000000" w:themeColor="text1"/>
                <w14:textFill>
                  <w14:solidFill>
                    <w14:schemeClr w14:val="tx1"/>
                  </w14:solidFill>
                </w14:textFill>
              </w:rPr>
              <w:t>出具的检测报告，详见附件。</w:t>
            </w:r>
          </w:p>
          <w:p w14:paraId="689E92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p w14:paraId="2658726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TSP </w:t>
            </w:r>
          </w:p>
          <w:p w14:paraId="2A29834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监测时间</w:t>
            </w:r>
          </w:p>
          <w:p w14:paraId="159F0F6B">
            <w:pPr>
              <w:pStyle w:val="47"/>
              <w:ind w:firstLine="420"/>
              <w:rPr>
                <w:color w:val="000000" w:themeColor="text1"/>
                <w14:textFill>
                  <w14:solidFill>
                    <w14:schemeClr w14:val="tx1"/>
                  </w14:solidFill>
                </w14:textFill>
              </w:rPr>
            </w:pPr>
            <w:r>
              <w:rPr>
                <w:rFonts w:hint="eastAsia"/>
                <w:color w:val="000000" w:themeColor="text1"/>
                <w:highlight w:val="yellow"/>
                <w14:textFill>
                  <w14:solidFill>
                    <w14:schemeClr w14:val="tx1"/>
                  </w14:solidFill>
                </w14:textFill>
              </w:rPr>
              <w:t>监测时间：2026年6月6~8日，</w:t>
            </w:r>
            <w:r>
              <w:rPr>
                <w:rFonts w:hint="eastAsia"/>
                <w:color w:val="000000" w:themeColor="text1"/>
                <w14:textFill>
                  <w14:solidFill>
                    <w14:schemeClr w14:val="tx1"/>
                  </w14:solidFill>
                </w14:textFill>
              </w:rPr>
              <w:t>连续监测3天。</w:t>
            </w:r>
          </w:p>
          <w:p w14:paraId="121F4BA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③监测频率</w:t>
            </w:r>
          </w:p>
          <w:p w14:paraId="55A6CA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TSP日平均浓度，采样3天，每天至少有24小时的采样时间。</w:t>
            </w:r>
          </w:p>
          <w:p w14:paraId="7AA4C96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④监测点位</w:t>
            </w:r>
          </w:p>
          <w:p w14:paraId="1ED01CF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监测点位置具体见表3-2和图3-2。</w:t>
            </w:r>
          </w:p>
          <w:p w14:paraId="30F4C6FD">
            <w:pPr>
              <w:pStyle w:val="47"/>
              <w:ind w:firstLine="0" w:firstLineChars="0"/>
              <w:jc w:val="center"/>
              <w:rPr>
                <w:lang w:val="zh-CN"/>
              </w:rPr>
            </w:pPr>
            <w:r>
              <w:drawing>
                <wp:inline distT="0" distB="0" distL="0" distR="0">
                  <wp:extent cx="4363720" cy="2708910"/>
                  <wp:effectExtent l="0" t="0" r="0" b="0"/>
                  <wp:docPr id="103530903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309031" name="图片 7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378438" cy="2718307"/>
                          </a:xfrm>
                          <a:prstGeom prst="rect">
                            <a:avLst/>
                          </a:prstGeom>
                          <a:noFill/>
                          <a:ln>
                            <a:noFill/>
                          </a:ln>
                        </pic:spPr>
                      </pic:pic>
                    </a:graphicData>
                  </a:graphic>
                </wp:inline>
              </w:drawing>
            </w:r>
          </w:p>
          <w:p w14:paraId="3982B0C7">
            <w:pPr>
              <w:adjustRightInd w:val="0"/>
              <w:snapToGrid w:val="0"/>
              <w:spacing w:line="360" w:lineRule="auto"/>
              <w:jc w:val="center"/>
              <w:rPr>
                <w:rFonts w:eastAsia="黑体"/>
                <w:color w:val="000000" w:themeColor="text1"/>
                <w:kern w:val="0"/>
                <w:szCs w:val="20"/>
                <w14:textFill>
                  <w14:solidFill>
                    <w14:schemeClr w14:val="tx1"/>
                  </w14:solidFill>
                </w14:textFill>
              </w:rPr>
            </w:pPr>
            <w:r>
              <w:rPr>
                <w:rFonts w:hint="eastAsia" w:eastAsia="黑体"/>
                <w:color w:val="000000" w:themeColor="text1"/>
                <w:kern w:val="0"/>
                <w:szCs w:val="20"/>
                <w14:textFill>
                  <w14:solidFill>
                    <w14:schemeClr w14:val="tx1"/>
                  </w14:solidFill>
                </w14:textFill>
              </w:rPr>
              <w:t xml:space="preserve">图3-2 </w:t>
            </w:r>
            <w:r>
              <w:rPr>
                <w:rFonts w:eastAsia="黑体"/>
                <w:color w:val="000000" w:themeColor="text1"/>
                <w:kern w:val="0"/>
                <w:szCs w:val="20"/>
                <w14:textFill>
                  <w14:solidFill>
                    <w14:schemeClr w14:val="tx1"/>
                  </w14:solidFill>
                </w14:textFill>
              </w:rPr>
              <w:t xml:space="preserve"> 项目环境空气现状监测布点</w:t>
            </w:r>
            <w:r>
              <w:rPr>
                <w:rFonts w:hint="eastAsia" w:eastAsia="黑体"/>
                <w:color w:val="000000" w:themeColor="text1"/>
                <w:kern w:val="0"/>
                <w:szCs w:val="20"/>
                <w14:textFill>
                  <w14:solidFill>
                    <w14:schemeClr w14:val="tx1"/>
                  </w14:solidFill>
                </w14:textFill>
              </w:rPr>
              <w:t>图</w:t>
            </w:r>
          </w:p>
          <w:p w14:paraId="65C4861A">
            <w:pPr>
              <w:spacing w:line="360" w:lineRule="auto"/>
              <w:ind w:firstLine="480" w:firstLineChars="200"/>
              <w:rPr>
                <w:kern w:val="0"/>
                <w:sz w:val="24"/>
                <w:lang w:val="zh-CN"/>
              </w:rPr>
            </w:pPr>
            <w:r>
              <w:rPr>
                <w:rFonts w:hint="eastAsia"/>
                <w:kern w:val="0"/>
                <w:sz w:val="24"/>
                <w:lang w:val="zh-CN"/>
              </w:rPr>
              <w:t>监测点位置具体见表</w:t>
            </w:r>
            <w:r>
              <w:rPr>
                <w:rFonts w:hint="eastAsia"/>
                <w:kern w:val="0"/>
                <w:sz w:val="24"/>
              </w:rPr>
              <w:t>3</w:t>
            </w:r>
            <w:r>
              <w:rPr>
                <w:rFonts w:hint="eastAsia"/>
                <w:kern w:val="0"/>
                <w:sz w:val="24"/>
                <w:lang w:val="zh-CN"/>
              </w:rPr>
              <w:t>-2。</w:t>
            </w:r>
          </w:p>
          <w:p w14:paraId="3F597C0C">
            <w:pPr>
              <w:autoSpaceDE w:val="0"/>
              <w:autoSpaceDN w:val="0"/>
              <w:adjustRightInd w:val="0"/>
              <w:snapToGrid w:val="0"/>
              <w:jc w:val="center"/>
              <w:rPr>
                <w:rFonts w:eastAsia="黑体"/>
                <w:color w:val="000000" w:themeColor="text1"/>
                <w:kern w:val="0"/>
                <w:szCs w:val="20"/>
                <w14:textFill>
                  <w14:solidFill>
                    <w14:schemeClr w14:val="tx1"/>
                  </w14:solidFill>
                </w14:textFill>
              </w:rPr>
            </w:pPr>
            <w:r>
              <w:rPr>
                <w:rFonts w:eastAsia="黑体"/>
                <w:color w:val="000000" w:themeColor="text1"/>
                <w:kern w:val="0"/>
                <w:szCs w:val="20"/>
                <w14:textFill>
                  <w14:solidFill>
                    <w14:schemeClr w14:val="tx1"/>
                  </w14:solidFill>
                </w14:textFill>
              </w:rPr>
              <w:t>表</w:t>
            </w:r>
            <w:r>
              <w:rPr>
                <w:rFonts w:hint="eastAsia" w:eastAsia="黑体"/>
                <w:color w:val="000000" w:themeColor="text1"/>
                <w:kern w:val="0"/>
                <w:szCs w:val="20"/>
                <w14:textFill>
                  <w14:solidFill>
                    <w14:schemeClr w14:val="tx1"/>
                  </w14:solidFill>
                </w14:textFill>
              </w:rPr>
              <w:t>3-2</w:t>
            </w:r>
            <w:r>
              <w:rPr>
                <w:rFonts w:eastAsia="黑体"/>
                <w:color w:val="000000" w:themeColor="text1"/>
                <w:kern w:val="0"/>
                <w:szCs w:val="20"/>
                <w14:textFill>
                  <w14:solidFill>
                    <w14:schemeClr w14:val="tx1"/>
                  </w14:solidFill>
                </w14:textFill>
              </w:rPr>
              <w:t xml:space="preserve"> 项目环境空气现状监测布点一览表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1369"/>
              <w:gridCol w:w="1507"/>
              <w:gridCol w:w="1327"/>
              <w:gridCol w:w="711"/>
              <w:gridCol w:w="982"/>
              <w:gridCol w:w="1094"/>
            </w:tblGrid>
            <w:tr w14:paraId="58491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0" w:type="pct"/>
                  <w:vMerge w:val="restart"/>
                  <w:vAlign w:val="center"/>
                </w:tcPr>
                <w:p w14:paraId="66F8A1B6">
                  <w:pPr>
                    <w:pStyle w:val="43"/>
                    <w:rPr>
                      <w:szCs w:val="21"/>
                    </w:rPr>
                  </w:pPr>
                  <w:r>
                    <w:rPr>
                      <w:szCs w:val="21"/>
                    </w:rPr>
                    <w:t>编号</w:t>
                  </w:r>
                </w:p>
              </w:tc>
              <w:tc>
                <w:tcPr>
                  <w:tcW w:w="901" w:type="pct"/>
                  <w:vMerge w:val="restart"/>
                  <w:vAlign w:val="center"/>
                </w:tcPr>
                <w:p w14:paraId="6B60BCA6">
                  <w:pPr>
                    <w:pStyle w:val="43"/>
                    <w:rPr>
                      <w:szCs w:val="21"/>
                    </w:rPr>
                  </w:pPr>
                  <w:r>
                    <w:rPr>
                      <w:szCs w:val="21"/>
                    </w:rPr>
                    <w:t>监测点名称</w:t>
                  </w:r>
                </w:p>
              </w:tc>
              <w:tc>
                <w:tcPr>
                  <w:tcW w:w="1865" w:type="pct"/>
                  <w:gridSpan w:val="2"/>
                  <w:vAlign w:val="center"/>
                </w:tcPr>
                <w:p w14:paraId="79321DF8">
                  <w:pPr>
                    <w:pStyle w:val="43"/>
                    <w:rPr>
                      <w:szCs w:val="21"/>
                    </w:rPr>
                  </w:pPr>
                  <w:r>
                    <w:rPr>
                      <w:szCs w:val="21"/>
                    </w:rPr>
                    <w:t>监测点坐标/</w:t>
                  </w:r>
                  <w:r>
                    <w:rPr>
                      <w:rFonts w:hint="eastAsia"/>
                      <w:szCs w:val="21"/>
                    </w:rPr>
                    <w:t>°</w:t>
                  </w:r>
                </w:p>
              </w:tc>
              <w:tc>
                <w:tcPr>
                  <w:tcW w:w="468" w:type="pct"/>
                  <w:vMerge w:val="restart"/>
                  <w:vAlign w:val="center"/>
                </w:tcPr>
                <w:p w14:paraId="12B4A211">
                  <w:pPr>
                    <w:pStyle w:val="43"/>
                    <w:rPr>
                      <w:szCs w:val="21"/>
                    </w:rPr>
                  </w:pPr>
                  <w:r>
                    <w:rPr>
                      <w:szCs w:val="21"/>
                    </w:rPr>
                    <w:t>监测因子</w:t>
                  </w:r>
                </w:p>
              </w:tc>
              <w:tc>
                <w:tcPr>
                  <w:tcW w:w="646" w:type="pct"/>
                  <w:vMerge w:val="restart"/>
                  <w:vAlign w:val="center"/>
                </w:tcPr>
                <w:p w14:paraId="36BA1A1A">
                  <w:pPr>
                    <w:pStyle w:val="43"/>
                    <w:rPr>
                      <w:szCs w:val="21"/>
                    </w:rPr>
                  </w:pPr>
                  <w:r>
                    <w:rPr>
                      <w:szCs w:val="21"/>
                    </w:rPr>
                    <w:t>相对厂址方位</w:t>
                  </w:r>
                </w:p>
              </w:tc>
              <w:tc>
                <w:tcPr>
                  <w:tcW w:w="720" w:type="pct"/>
                  <w:vMerge w:val="restart"/>
                  <w:vAlign w:val="center"/>
                </w:tcPr>
                <w:p w14:paraId="1C882C91">
                  <w:pPr>
                    <w:pStyle w:val="43"/>
                    <w:rPr>
                      <w:szCs w:val="21"/>
                    </w:rPr>
                  </w:pPr>
                  <w:r>
                    <w:rPr>
                      <w:szCs w:val="21"/>
                    </w:rPr>
                    <w:t>相对厂界</w:t>
                  </w:r>
                </w:p>
                <w:p w14:paraId="2F227757">
                  <w:pPr>
                    <w:pStyle w:val="43"/>
                    <w:rPr>
                      <w:szCs w:val="21"/>
                    </w:rPr>
                  </w:pPr>
                  <w:r>
                    <w:rPr>
                      <w:szCs w:val="21"/>
                    </w:rPr>
                    <w:t>距离/m</w:t>
                  </w:r>
                </w:p>
              </w:tc>
            </w:tr>
            <w:tr w14:paraId="626DE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0" w:type="pct"/>
                  <w:vMerge w:val="continue"/>
                  <w:vAlign w:val="center"/>
                </w:tcPr>
                <w:p w14:paraId="06BA7D41">
                  <w:pPr>
                    <w:pStyle w:val="43"/>
                    <w:rPr>
                      <w:szCs w:val="21"/>
                    </w:rPr>
                  </w:pPr>
                </w:p>
              </w:tc>
              <w:tc>
                <w:tcPr>
                  <w:tcW w:w="901" w:type="pct"/>
                  <w:vMerge w:val="continue"/>
                  <w:vAlign w:val="center"/>
                </w:tcPr>
                <w:p w14:paraId="3B63EA0D">
                  <w:pPr>
                    <w:pStyle w:val="43"/>
                    <w:rPr>
                      <w:szCs w:val="21"/>
                    </w:rPr>
                  </w:pPr>
                </w:p>
              </w:tc>
              <w:tc>
                <w:tcPr>
                  <w:tcW w:w="992" w:type="pct"/>
                  <w:vAlign w:val="center"/>
                </w:tcPr>
                <w:p w14:paraId="0316BA7C">
                  <w:pPr>
                    <w:pStyle w:val="43"/>
                    <w:rPr>
                      <w:szCs w:val="21"/>
                    </w:rPr>
                  </w:pPr>
                  <w:r>
                    <w:rPr>
                      <w:rFonts w:hint="eastAsia"/>
                      <w:szCs w:val="21"/>
                    </w:rPr>
                    <w:t>经度</w:t>
                  </w:r>
                </w:p>
              </w:tc>
              <w:tc>
                <w:tcPr>
                  <w:tcW w:w="873" w:type="pct"/>
                  <w:vAlign w:val="center"/>
                </w:tcPr>
                <w:p w14:paraId="19FCDEA5">
                  <w:pPr>
                    <w:pStyle w:val="43"/>
                    <w:rPr>
                      <w:szCs w:val="21"/>
                    </w:rPr>
                  </w:pPr>
                  <w:r>
                    <w:rPr>
                      <w:rFonts w:hint="eastAsia"/>
                      <w:szCs w:val="21"/>
                    </w:rPr>
                    <w:t>纬度</w:t>
                  </w:r>
                </w:p>
              </w:tc>
              <w:tc>
                <w:tcPr>
                  <w:tcW w:w="468" w:type="pct"/>
                  <w:vMerge w:val="continue"/>
                  <w:vAlign w:val="center"/>
                </w:tcPr>
                <w:p w14:paraId="14F6313E">
                  <w:pPr>
                    <w:pStyle w:val="43"/>
                    <w:rPr>
                      <w:szCs w:val="21"/>
                    </w:rPr>
                  </w:pPr>
                </w:p>
              </w:tc>
              <w:tc>
                <w:tcPr>
                  <w:tcW w:w="646" w:type="pct"/>
                  <w:vMerge w:val="continue"/>
                  <w:vAlign w:val="center"/>
                </w:tcPr>
                <w:p w14:paraId="43CBE513">
                  <w:pPr>
                    <w:pStyle w:val="43"/>
                    <w:rPr>
                      <w:szCs w:val="21"/>
                    </w:rPr>
                  </w:pPr>
                </w:p>
              </w:tc>
              <w:tc>
                <w:tcPr>
                  <w:tcW w:w="720" w:type="pct"/>
                  <w:vMerge w:val="continue"/>
                  <w:vAlign w:val="center"/>
                </w:tcPr>
                <w:p w14:paraId="001FE3AC">
                  <w:pPr>
                    <w:pStyle w:val="43"/>
                    <w:rPr>
                      <w:szCs w:val="21"/>
                    </w:rPr>
                  </w:pPr>
                </w:p>
              </w:tc>
            </w:tr>
            <w:tr w14:paraId="3E47A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0" w:type="pct"/>
                  <w:vAlign w:val="center"/>
                </w:tcPr>
                <w:p w14:paraId="2C7D392A">
                  <w:pPr>
                    <w:pStyle w:val="43"/>
                    <w:rPr>
                      <w:szCs w:val="21"/>
                    </w:rPr>
                  </w:pPr>
                  <w:r>
                    <w:rPr>
                      <w:rFonts w:hint="eastAsia"/>
                      <w:szCs w:val="21"/>
                    </w:rPr>
                    <w:t>1</w:t>
                  </w:r>
                </w:p>
              </w:tc>
              <w:tc>
                <w:tcPr>
                  <w:tcW w:w="901" w:type="pct"/>
                  <w:vAlign w:val="center"/>
                </w:tcPr>
                <w:p w14:paraId="5B06DC7E">
                  <w:pPr>
                    <w:pStyle w:val="43"/>
                    <w:rPr>
                      <w:szCs w:val="21"/>
                    </w:rPr>
                  </w:pPr>
                  <w:r>
                    <w:rPr>
                      <w:rFonts w:hint="eastAsia"/>
                      <w:szCs w:val="21"/>
                    </w:rPr>
                    <w:t>项目东侧</w:t>
                  </w:r>
                </w:p>
              </w:tc>
              <w:tc>
                <w:tcPr>
                  <w:tcW w:w="992" w:type="pct"/>
                  <w:vAlign w:val="center"/>
                </w:tcPr>
                <w:p w14:paraId="3145BE9E">
                  <w:pPr>
                    <w:pStyle w:val="43"/>
                    <w:rPr>
                      <w:szCs w:val="21"/>
                    </w:rPr>
                  </w:pPr>
                  <w:r>
                    <w:rPr>
                      <w:szCs w:val="21"/>
                    </w:rPr>
                    <w:t xml:space="preserve">129.04369354  </w:t>
                  </w:r>
                </w:p>
              </w:tc>
              <w:tc>
                <w:tcPr>
                  <w:tcW w:w="873" w:type="pct"/>
                  <w:vAlign w:val="center"/>
                </w:tcPr>
                <w:p w14:paraId="5BAE7C01">
                  <w:pPr>
                    <w:pStyle w:val="43"/>
                    <w:rPr>
                      <w:szCs w:val="21"/>
                    </w:rPr>
                  </w:pPr>
                  <w:r>
                    <w:rPr>
                      <w:szCs w:val="21"/>
                    </w:rPr>
                    <w:t>47.79476422</w:t>
                  </w:r>
                </w:p>
              </w:tc>
              <w:tc>
                <w:tcPr>
                  <w:tcW w:w="468" w:type="pct"/>
                  <w:vAlign w:val="center"/>
                </w:tcPr>
                <w:p w14:paraId="4FD80C94">
                  <w:pPr>
                    <w:pStyle w:val="43"/>
                    <w:rPr>
                      <w:szCs w:val="21"/>
                    </w:rPr>
                  </w:pPr>
                  <w:r>
                    <w:rPr>
                      <w:rFonts w:hint="eastAsia"/>
                      <w:szCs w:val="21"/>
                    </w:rPr>
                    <w:t xml:space="preserve">TSP </w:t>
                  </w:r>
                </w:p>
              </w:tc>
              <w:tc>
                <w:tcPr>
                  <w:tcW w:w="646" w:type="pct"/>
                  <w:vAlign w:val="center"/>
                </w:tcPr>
                <w:p w14:paraId="2E6757EB">
                  <w:pPr>
                    <w:pStyle w:val="43"/>
                    <w:rPr>
                      <w:szCs w:val="21"/>
                    </w:rPr>
                  </w:pPr>
                  <w:r>
                    <w:rPr>
                      <w:rFonts w:hint="eastAsia"/>
                      <w:szCs w:val="21"/>
                    </w:rPr>
                    <w:t>东</w:t>
                  </w:r>
                </w:p>
              </w:tc>
              <w:tc>
                <w:tcPr>
                  <w:tcW w:w="720" w:type="pct"/>
                  <w:vAlign w:val="center"/>
                </w:tcPr>
                <w:p w14:paraId="4DA49728">
                  <w:pPr>
                    <w:pStyle w:val="43"/>
                    <w:rPr>
                      <w:szCs w:val="21"/>
                    </w:rPr>
                  </w:pPr>
                  <w:r>
                    <w:rPr>
                      <w:rFonts w:hint="eastAsia"/>
                      <w:szCs w:val="21"/>
                    </w:rPr>
                    <w:t>90</w:t>
                  </w:r>
                </w:p>
              </w:tc>
            </w:tr>
          </w:tbl>
          <w:p w14:paraId="5E4365FF">
            <w:pPr>
              <w:pStyle w:val="18"/>
              <w:adjustRightInd w:val="0"/>
              <w:snapToGrid w:val="0"/>
              <w:spacing w:before="24" w:after="24" w:line="360" w:lineRule="auto"/>
              <w:ind w:left="0" w:leftChars="0"/>
              <w:rPr>
                <w:lang w:val="zh-CN"/>
              </w:rPr>
            </w:pPr>
            <w:r>
              <w:rPr>
                <w:lang w:val="zh-CN"/>
              </w:rPr>
              <w:fldChar w:fldCharType="begin"/>
            </w:r>
            <w:r>
              <w:rPr>
                <w:lang w:val="zh-CN"/>
              </w:rPr>
              <w:instrText xml:space="preserve"> = 2 \* GB3 </w:instrText>
            </w:r>
            <w:r>
              <w:rPr>
                <w:lang w:val="zh-CN"/>
              </w:rPr>
              <w:fldChar w:fldCharType="separate"/>
            </w:r>
            <w:r>
              <w:rPr>
                <w:rFonts w:hint="eastAsia"/>
                <w:lang w:val="zh-CN"/>
              </w:rPr>
              <w:t>②</w:t>
            </w:r>
            <w:r>
              <w:rPr>
                <w:lang w:val="zh-CN"/>
              </w:rPr>
              <w:fldChar w:fldCharType="end"/>
            </w:r>
            <w:r>
              <w:rPr>
                <w:lang w:val="zh-CN"/>
              </w:rPr>
              <w:t>评价结果</w:t>
            </w:r>
          </w:p>
          <w:p w14:paraId="5AACBFAD">
            <w:pPr>
              <w:pStyle w:val="18"/>
              <w:adjustRightInd w:val="0"/>
              <w:snapToGrid w:val="0"/>
              <w:spacing w:before="24" w:after="24" w:line="360" w:lineRule="auto"/>
              <w:ind w:left="0" w:leftChars="0"/>
              <w:rPr>
                <w:lang w:val="zh-CN"/>
              </w:rPr>
            </w:pPr>
            <w:r>
              <w:rPr>
                <w:lang w:val="zh-CN"/>
              </w:rPr>
              <w:t>现状监测统计结果分析情况见表3-</w:t>
            </w:r>
            <w:r>
              <w:rPr>
                <w:rFonts w:hint="eastAsia"/>
                <w:lang w:val="zh-CN"/>
              </w:rPr>
              <w:t>3</w:t>
            </w:r>
            <w:r>
              <w:rPr>
                <w:lang w:val="zh-CN"/>
              </w:rPr>
              <w:t>。</w:t>
            </w:r>
          </w:p>
          <w:p w14:paraId="30423A19">
            <w:pPr>
              <w:autoSpaceDE w:val="0"/>
              <w:autoSpaceDN w:val="0"/>
              <w:adjustRightInd w:val="0"/>
              <w:snapToGrid w:val="0"/>
              <w:jc w:val="center"/>
              <w:rPr>
                <w:rFonts w:eastAsia="黑体"/>
                <w:color w:val="000000" w:themeColor="text1"/>
                <w:kern w:val="0"/>
                <w:szCs w:val="20"/>
                <w14:textFill>
                  <w14:solidFill>
                    <w14:schemeClr w14:val="tx1"/>
                  </w14:solidFill>
                </w14:textFill>
              </w:rPr>
            </w:pPr>
            <w:r>
              <w:rPr>
                <w:rFonts w:eastAsia="黑体"/>
                <w:color w:val="000000" w:themeColor="text1"/>
                <w:kern w:val="0"/>
                <w:szCs w:val="20"/>
                <w14:textFill>
                  <w14:solidFill>
                    <w14:schemeClr w14:val="tx1"/>
                  </w14:solidFill>
                </w14:textFill>
              </w:rPr>
              <w:t>表3-</w:t>
            </w:r>
            <w:r>
              <w:rPr>
                <w:rFonts w:hint="eastAsia" w:eastAsia="黑体"/>
                <w:color w:val="000000" w:themeColor="text1"/>
                <w:kern w:val="0"/>
                <w:szCs w:val="20"/>
                <w14:textFill>
                  <w14:solidFill>
                    <w14:schemeClr w14:val="tx1"/>
                  </w14:solidFill>
                </w14:textFill>
              </w:rPr>
              <w:t>3</w:t>
            </w:r>
            <w:r>
              <w:rPr>
                <w:rFonts w:eastAsia="黑体"/>
                <w:color w:val="000000" w:themeColor="text1"/>
                <w:kern w:val="0"/>
                <w:szCs w:val="20"/>
                <w14:textFill>
                  <w14:solidFill>
                    <w14:schemeClr w14:val="tx1"/>
                  </w14:solidFill>
                </w14:textFill>
              </w:rPr>
              <w:t xml:space="preserve"> 监测结果统计分析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1251"/>
              <w:gridCol w:w="1161"/>
              <w:gridCol w:w="527"/>
              <w:gridCol w:w="396"/>
              <w:gridCol w:w="1011"/>
              <w:gridCol w:w="1011"/>
              <w:gridCol w:w="726"/>
              <w:gridCol w:w="726"/>
              <w:gridCol w:w="396"/>
            </w:tblGrid>
            <w:tr w14:paraId="74387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20" w:hRule="atLeast"/>
                <w:tblHeader/>
                <w:jc w:val="center"/>
              </w:trPr>
              <w:tc>
                <w:tcPr>
                  <w:tcW w:w="253" w:type="pct"/>
                  <w:vMerge w:val="restart"/>
                  <w:vAlign w:val="center"/>
                </w:tcPr>
                <w:p w14:paraId="77BB9A49">
                  <w:pPr>
                    <w:pStyle w:val="43"/>
                    <w:rPr>
                      <w:szCs w:val="21"/>
                    </w:rPr>
                  </w:pPr>
                  <w:r>
                    <w:rPr>
                      <w:szCs w:val="21"/>
                    </w:rPr>
                    <w:t>监测</w:t>
                  </w:r>
                </w:p>
                <w:p w14:paraId="731ACE1D">
                  <w:pPr>
                    <w:pStyle w:val="43"/>
                    <w:rPr>
                      <w:szCs w:val="21"/>
                    </w:rPr>
                  </w:pPr>
                  <w:r>
                    <w:rPr>
                      <w:szCs w:val="21"/>
                    </w:rPr>
                    <w:t>点位</w:t>
                  </w:r>
                </w:p>
              </w:tc>
              <w:tc>
                <w:tcPr>
                  <w:tcW w:w="1718" w:type="pct"/>
                  <w:gridSpan w:val="2"/>
                  <w:vAlign w:val="center"/>
                </w:tcPr>
                <w:p w14:paraId="66622871">
                  <w:pPr>
                    <w:pStyle w:val="43"/>
                    <w:rPr>
                      <w:szCs w:val="21"/>
                    </w:rPr>
                  </w:pPr>
                  <w:r>
                    <w:rPr>
                      <w:szCs w:val="21"/>
                    </w:rPr>
                    <w:t>监测点坐标/°</w:t>
                  </w:r>
                </w:p>
              </w:tc>
              <w:tc>
                <w:tcPr>
                  <w:tcW w:w="334" w:type="pct"/>
                  <w:vMerge w:val="restart"/>
                  <w:vAlign w:val="center"/>
                </w:tcPr>
                <w:p w14:paraId="5EB66545">
                  <w:pPr>
                    <w:pStyle w:val="43"/>
                    <w:rPr>
                      <w:szCs w:val="21"/>
                    </w:rPr>
                  </w:pPr>
                  <w:r>
                    <w:rPr>
                      <w:szCs w:val="21"/>
                    </w:rPr>
                    <w:t>污染物</w:t>
                  </w:r>
                </w:p>
              </w:tc>
              <w:tc>
                <w:tcPr>
                  <w:tcW w:w="253" w:type="pct"/>
                  <w:vMerge w:val="restart"/>
                  <w:vAlign w:val="center"/>
                </w:tcPr>
                <w:p w14:paraId="1657E954">
                  <w:pPr>
                    <w:pStyle w:val="43"/>
                    <w:rPr>
                      <w:szCs w:val="21"/>
                    </w:rPr>
                  </w:pPr>
                  <w:r>
                    <w:rPr>
                      <w:szCs w:val="21"/>
                    </w:rPr>
                    <w:t>平均时间</w:t>
                  </w:r>
                </w:p>
              </w:tc>
              <w:tc>
                <w:tcPr>
                  <w:tcW w:w="636" w:type="pct"/>
                  <w:vMerge w:val="restart"/>
                  <w:vAlign w:val="center"/>
                </w:tcPr>
                <w:p w14:paraId="459EE626">
                  <w:pPr>
                    <w:pStyle w:val="43"/>
                    <w:rPr>
                      <w:szCs w:val="21"/>
                    </w:rPr>
                  </w:pPr>
                  <w:r>
                    <w:rPr>
                      <w:szCs w:val="21"/>
                    </w:rPr>
                    <w:t>评价标准</w:t>
                  </w:r>
                </w:p>
                <w:p w14:paraId="7BF02734">
                  <w:pPr>
                    <w:pStyle w:val="43"/>
                    <w:rPr>
                      <w:szCs w:val="21"/>
                    </w:rPr>
                  </w:pPr>
                  <w:r>
                    <w:rPr>
                      <w:szCs w:val="21"/>
                    </w:rPr>
                    <w:t>（μg/m</w:t>
                  </w:r>
                  <w:r>
                    <w:rPr>
                      <w:szCs w:val="21"/>
                      <w:vertAlign w:val="superscript"/>
                    </w:rPr>
                    <w:t>3</w:t>
                  </w:r>
                  <w:r>
                    <w:rPr>
                      <w:szCs w:val="21"/>
                    </w:rPr>
                    <w:t>）</w:t>
                  </w:r>
                </w:p>
              </w:tc>
              <w:tc>
                <w:tcPr>
                  <w:tcW w:w="636" w:type="pct"/>
                  <w:vMerge w:val="restart"/>
                  <w:vAlign w:val="center"/>
                </w:tcPr>
                <w:p w14:paraId="471CE935">
                  <w:pPr>
                    <w:pStyle w:val="43"/>
                    <w:rPr>
                      <w:szCs w:val="21"/>
                    </w:rPr>
                  </w:pPr>
                  <w:r>
                    <w:rPr>
                      <w:szCs w:val="21"/>
                    </w:rPr>
                    <w:t>监测浓度范围（μg/m</w:t>
                  </w:r>
                  <w:r>
                    <w:rPr>
                      <w:szCs w:val="21"/>
                      <w:vertAlign w:val="superscript"/>
                    </w:rPr>
                    <w:t>3</w:t>
                  </w:r>
                  <w:r>
                    <w:rPr>
                      <w:szCs w:val="21"/>
                    </w:rPr>
                    <w:t>）</w:t>
                  </w:r>
                </w:p>
              </w:tc>
              <w:tc>
                <w:tcPr>
                  <w:tcW w:w="458" w:type="pct"/>
                  <w:vMerge w:val="restart"/>
                  <w:vAlign w:val="center"/>
                </w:tcPr>
                <w:p w14:paraId="3B2B5EB6">
                  <w:pPr>
                    <w:pStyle w:val="43"/>
                    <w:rPr>
                      <w:szCs w:val="21"/>
                    </w:rPr>
                  </w:pPr>
                  <w:r>
                    <w:rPr>
                      <w:szCs w:val="21"/>
                    </w:rPr>
                    <w:t>最大浓度占标比（%）</w:t>
                  </w:r>
                </w:p>
              </w:tc>
              <w:tc>
                <w:tcPr>
                  <w:tcW w:w="458" w:type="pct"/>
                  <w:vMerge w:val="restart"/>
                  <w:vAlign w:val="center"/>
                </w:tcPr>
                <w:p w14:paraId="09DD3866">
                  <w:pPr>
                    <w:pStyle w:val="43"/>
                    <w:rPr>
                      <w:szCs w:val="21"/>
                    </w:rPr>
                  </w:pPr>
                  <w:r>
                    <w:rPr>
                      <w:szCs w:val="21"/>
                    </w:rPr>
                    <w:t>超标率（%）</w:t>
                  </w:r>
                </w:p>
              </w:tc>
              <w:tc>
                <w:tcPr>
                  <w:tcW w:w="253" w:type="pct"/>
                  <w:vMerge w:val="restart"/>
                  <w:vAlign w:val="center"/>
                </w:tcPr>
                <w:p w14:paraId="06C95116">
                  <w:pPr>
                    <w:pStyle w:val="43"/>
                    <w:rPr>
                      <w:szCs w:val="21"/>
                    </w:rPr>
                  </w:pPr>
                  <w:r>
                    <w:rPr>
                      <w:szCs w:val="21"/>
                    </w:rPr>
                    <w:t>达标情况</w:t>
                  </w:r>
                </w:p>
              </w:tc>
            </w:tr>
            <w:tr w14:paraId="7F7A2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253" w:type="pct"/>
                  <w:vMerge w:val="continue"/>
                  <w:vAlign w:val="center"/>
                </w:tcPr>
                <w:p w14:paraId="36214CAF">
                  <w:pPr>
                    <w:pStyle w:val="43"/>
                    <w:rPr>
                      <w:szCs w:val="21"/>
                    </w:rPr>
                  </w:pPr>
                </w:p>
              </w:tc>
              <w:tc>
                <w:tcPr>
                  <w:tcW w:w="892" w:type="pct"/>
                  <w:vAlign w:val="center"/>
                </w:tcPr>
                <w:p w14:paraId="3687B901">
                  <w:pPr>
                    <w:pStyle w:val="43"/>
                    <w:rPr>
                      <w:szCs w:val="21"/>
                    </w:rPr>
                  </w:pPr>
                  <w:r>
                    <w:rPr>
                      <w:szCs w:val="21"/>
                    </w:rPr>
                    <w:t>经度</w:t>
                  </w:r>
                </w:p>
              </w:tc>
              <w:tc>
                <w:tcPr>
                  <w:tcW w:w="826" w:type="pct"/>
                  <w:vAlign w:val="center"/>
                </w:tcPr>
                <w:p w14:paraId="0FD136A1">
                  <w:pPr>
                    <w:pStyle w:val="43"/>
                    <w:rPr>
                      <w:szCs w:val="21"/>
                    </w:rPr>
                  </w:pPr>
                  <w:r>
                    <w:rPr>
                      <w:szCs w:val="21"/>
                    </w:rPr>
                    <w:t>纬度</w:t>
                  </w:r>
                </w:p>
              </w:tc>
              <w:tc>
                <w:tcPr>
                  <w:tcW w:w="334" w:type="pct"/>
                  <w:vMerge w:val="continue"/>
                  <w:vAlign w:val="center"/>
                </w:tcPr>
                <w:p w14:paraId="68297B1A">
                  <w:pPr>
                    <w:pStyle w:val="43"/>
                    <w:rPr>
                      <w:szCs w:val="21"/>
                    </w:rPr>
                  </w:pPr>
                </w:p>
              </w:tc>
              <w:tc>
                <w:tcPr>
                  <w:tcW w:w="253" w:type="pct"/>
                  <w:vMerge w:val="continue"/>
                  <w:vAlign w:val="center"/>
                </w:tcPr>
                <w:p w14:paraId="1A6492A1">
                  <w:pPr>
                    <w:pStyle w:val="43"/>
                    <w:rPr>
                      <w:szCs w:val="21"/>
                    </w:rPr>
                  </w:pPr>
                </w:p>
              </w:tc>
              <w:tc>
                <w:tcPr>
                  <w:tcW w:w="636" w:type="pct"/>
                  <w:vMerge w:val="continue"/>
                  <w:vAlign w:val="center"/>
                </w:tcPr>
                <w:p w14:paraId="1F59D978">
                  <w:pPr>
                    <w:pStyle w:val="43"/>
                    <w:rPr>
                      <w:szCs w:val="21"/>
                    </w:rPr>
                  </w:pPr>
                </w:p>
              </w:tc>
              <w:tc>
                <w:tcPr>
                  <w:tcW w:w="636" w:type="pct"/>
                  <w:vMerge w:val="continue"/>
                  <w:vAlign w:val="center"/>
                </w:tcPr>
                <w:p w14:paraId="54F8A629">
                  <w:pPr>
                    <w:pStyle w:val="43"/>
                    <w:rPr>
                      <w:szCs w:val="21"/>
                    </w:rPr>
                  </w:pPr>
                </w:p>
              </w:tc>
              <w:tc>
                <w:tcPr>
                  <w:tcW w:w="458" w:type="pct"/>
                  <w:vMerge w:val="continue"/>
                  <w:vAlign w:val="center"/>
                </w:tcPr>
                <w:p w14:paraId="620B5D5E">
                  <w:pPr>
                    <w:pStyle w:val="43"/>
                    <w:rPr>
                      <w:szCs w:val="21"/>
                    </w:rPr>
                  </w:pPr>
                </w:p>
              </w:tc>
              <w:tc>
                <w:tcPr>
                  <w:tcW w:w="458" w:type="pct"/>
                  <w:vMerge w:val="continue"/>
                  <w:vAlign w:val="center"/>
                </w:tcPr>
                <w:p w14:paraId="6909BD42">
                  <w:pPr>
                    <w:pStyle w:val="43"/>
                    <w:rPr>
                      <w:szCs w:val="21"/>
                    </w:rPr>
                  </w:pPr>
                </w:p>
              </w:tc>
              <w:tc>
                <w:tcPr>
                  <w:tcW w:w="253" w:type="pct"/>
                  <w:vMerge w:val="continue"/>
                  <w:vAlign w:val="center"/>
                </w:tcPr>
                <w:p w14:paraId="35AE6C36">
                  <w:pPr>
                    <w:pStyle w:val="43"/>
                    <w:rPr>
                      <w:szCs w:val="21"/>
                    </w:rPr>
                  </w:pPr>
                </w:p>
              </w:tc>
            </w:tr>
            <w:tr w14:paraId="30296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53" w:type="pct"/>
                  <w:vAlign w:val="center"/>
                </w:tcPr>
                <w:p w14:paraId="0C685C1A">
                  <w:pPr>
                    <w:pStyle w:val="43"/>
                    <w:rPr>
                      <w:szCs w:val="21"/>
                    </w:rPr>
                  </w:pPr>
                  <w:r>
                    <w:rPr>
                      <w:rFonts w:hint="eastAsia"/>
                      <w:szCs w:val="21"/>
                    </w:rPr>
                    <w:t>项目东侧</w:t>
                  </w:r>
                </w:p>
              </w:tc>
              <w:tc>
                <w:tcPr>
                  <w:tcW w:w="892" w:type="pct"/>
                  <w:vAlign w:val="center"/>
                </w:tcPr>
                <w:p w14:paraId="1AA2145C">
                  <w:pPr>
                    <w:spacing w:line="240" w:lineRule="exact"/>
                    <w:jc w:val="center"/>
                    <w:rPr>
                      <w:kern w:val="0"/>
                      <w:szCs w:val="21"/>
                    </w:rPr>
                  </w:pPr>
                  <w:r>
                    <w:rPr>
                      <w:sz w:val="18"/>
                      <w:szCs w:val="21"/>
                    </w:rPr>
                    <w:t xml:space="preserve">129.04369354  </w:t>
                  </w:r>
                </w:p>
              </w:tc>
              <w:tc>
                <w:tcPr>
                  <w:tcW w:w="826" w:type="pct"/>
                  <w:vAlign w:val="center"/>
                </w:tcPr>
                <w:p w14:paraId="56F3C8C4">
                  <w:pPr>
                    <w:spacing w:line="240" w:lineRule="exact"/>
                    <w:jc w:val="center"/>
                    <w:rPr>
                      <w:kern w:val="0"/>
                      <w:szCs w:val="21"/>
                    </w:rPr>
                  </w:pPr>
                  <w:r>
                    <w:rPr>
                      <w:sz w:val="18"/>
                      <w:szCs w:val="21"/>
                    </w:rPr>
                    <w:t>47.79476422</w:t>
                  </w:r>
                </w:p>
              </w:tc>
              <w:tc>
                <w:tcPr>
                  <w:tcW w:w="334" w:type="pct"/>
                  <w:vAlign w:val="center"/>
                </w:tcPr>
                <w:p w14:paraId="6169DBA5">
                  <w:pPr>
                    <w:pStyle w:val="43"/>
                    <w:rPr>
                      <w:szCs w:val="21"/>
                    </w:rPr>
                  </w:pPr>
                  <w:r>
                    <w:rPr>
                      <w:szCs w:val="21"/>
                    </w:rPr>
                    <w:t>TSP</w:t>
                  </w:r>
                </w:p>
              </w:tc>
              <w:tc>
                <w:tcPr>
                  <w:tcW w:w="253" w:type="pct"/>
                  <w:vAlign w:val="center"/>
                </w:tcPr>
                <w:p w14:paraId="351C3DFB">
                  <w:pPr>
                    <w:pStyle w:val="43"/>
                    <w:rPr>
                      <w:szCs w:val="21"/>
                    </w:rPr>
                  </w:pPr>
                  <w:r>
                    <w:rPr>
                      <w:rFonts w:hint="eastAsia"/>
                      <w:szCs w:val="21"/>
                    </w:rPr>
                    <w:t>日</w:t>
                  </w:r>
                  <w:r>
                    <w:rPr>
                      <w:szCs w:val="21"/>
                    </w:rPr>
                    <w:t>均</w:t>
                  </w:r>
                </w:p>
              </w:tc>
              <w:tc>
                <w:tcPr>
                  <w:tcW w:w="636" w:type="pct"/>
                  <w:vAlign w:val="center"/>
                </w:tcPr>
                <w:p w14:paraId="17829563">
                  <w:pPr>
                    <w:pStyle w:val="43"/>
                    <w:rPr>
                      <w:szCs w:val="21"/>
                    </w:rPr>
                  </w:pPr>
                  <w:r>
                    <w:rPr>
                      <w:szCs w:val="21"/>
                    </w:rPr>
                    <w:t>300</w:t>
                  </w:r>
                </w:p>
              </w:tc>
              <w:tc>
                <w:tcPr>
                  <w:tcW w:w="636" w:type="pct"/>
                  <w:vAlign w:val="center"/>
                </w:tcPr>
                <w:p w14:paraId="07A9AA38">
                  <w:pPr>
                    <w:pStyle w:val="106"/>
                    <w:rPr>
                      <w:sz w:val="21"/>
                      <w:szCs w:val="21"/>
                    </w:rPr>
                  </w:pPr>
                  <w:r>
                    <w:rPr>
                      <w:rFonts w:hint="eastAsia"/>
                      <w:sz w:val="21"/>
                      <w:szCs w:val="21"/>
                    </w:rPr>
                    <w:t>198~208</w:t>
                  </w:r>
                </w:p>
              </w:tc>
              <w:tc>
                <w:tcPr>
                  <w:tcW w:w="458" w:type="pct"/>
                  <w:vAlign w:val="center"/>
                </w:tcPr>
                <w:p w14:paraId="12F3E31D">
                  <w:pPr>
                    <w:pStyle w:val="106"/>
                    <w:rPr>
                      <w:sz w:val="21"/>
                      <w:szCs w:val="21"/>
                    </w:rPr>
                  </w:pPr>
                  <w:r>
                    <w:rPr>
                      <w:rFonts w:hint="eastAsia"/>
                      <w:sz w:val="21"/>
                      <w:szCs w:val="21"/>
                    </w:rPr>
                    <w:t>69.33</w:t>
                  </w:r>
                </w:p>
              </w:tc>
              <w:tc>
                <w:tcPr>
                  <w:tcW w:w="458" w:type="pct"/>
                  <w:vAlign w:val="center"/>
                </w:tcPr>
                <w:p w14:paraId="315C8EED">
                  <w:pPr>
                    <w:pStyle w:val="43"/>
                    <w:rPr>
                      <w:szCs w:val="21"/>
                    </w:rPr>
                  </w:pPr>
                  <w:r>
                    <w:rPr>
                      <w:szCs w:val="21"/>
                    </w:rPr>
                    <w:t>0</w:t>
                  </w:r>
                </w:p>
              </w:tc>
              <w:tc>
                <w:tcPr>
                  <w:tcW w:w="253" w:type="pct"/>
                  <w:vAlign w:val="center"/>
                </w:tcPr>
                <w:p w14:paraId="46E3E733">
                  <w:pPr>
                    <w:pStyle w:val="43"/>
                    <w:rPr>
                      <w:szCs w:val="21"/>
                    </w:rPr>
                  </w:pPr>
                  <w:r>
                    <w:rPr>
                      <w:rFonts w:hint="eastAsia"/>
                      <w:szCs w:val="21"/>
                    </w:rPr>
                    <w:t>达标</w:t>
                  </w:r>
                </w:p>
              </w:tc>
            </w:tr>
          </w:tbl>
          <w:p w14:paraId="3F34F2E6">
            <w:pPr>
              <w:pStyle w:val="18"/>
              <w:adjustRightInd w:val="0"/>
              <w:snapToGrid w:val="0"/>
              <w:spacing w:before="24" w:after="24" w:line="360" w:lineRule="auto"/>
              <w:ind w:left="0" w:leftChars="0"/>
              <w:rPr>
                <w:lang w:val="zh-CN"/>
              </w:rPr>
            </w:pPr>
            <w:r>
              <w:rPr>
                <w:lang w:val="zh-CN"/>
              </w:rPr>
              <w:t>根据表3-</w:t>
            </w:r>
            <w:r>
              <w:rPr>
                <w:rFonts w:hint="eastAsia"/>
                <w:lang w:val="zh-CN"/>
              </w:rPr>
              <w:t>3</w:t>
            </w:r>
            <w:r>
              <w:rPr>
                <w:lang w:val="zh-CN"/>
              </w:rPr>
              <w:t>，本项目所在范围内TSP的环境空气质量现状满足《环境空气质量标准》（GB3095-20</w:t>
            </w:r>
            <w:r>
              <w:rPr>
                <w:rFonts w:hint="eastAsia"/>
                <w:lang w:val="zh-CN"/>
              </w:rPr>
              <w:t>26</w:t>
            </w:r>
            <w:r>
              <w:rPr>
                <w:lang w:val="zh-CN"/>
              </w:rPr>
              <w:t>）中二级标准要求。</w:t>
            </w:r>
          </w:p>
          <w:p w14:paraId="0491B1D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三、地表水环境质量现状</w:t>
            </w:r>
          </w:p>
          <w:p w14:paraId="1AC118A6">
            <w:pPr>
              <w:pStyle w:val="17"/>
              <w:spacing w:after="0" w:line="360" w:lineRule="auto"/>
              <w:ind w:firstLineChars="200"/>
              <w:rPr>
                <w:kern w:val="0"/>
                <w:szCs w:val="21"/>
              </w:rPr>
            </w:pPr>
            <w:r>
              <w:rPr>
                <w:kern w:val="0"/>
                <w:szCs w:val="21"/>
              </w:rPr>
              <w:t>根据《2025年黑龙江省生态环境质量状况》，伊春市参与国家考核计算的断面共11个，Ⅰ~Ⅲ类水质比例为63.6%，无劣V类水质断面。与上年同期相比，Ⅰ~Ⅲ类水质比例上升9.1个百分点，均无劣V类水质断面。伊春市饮用水水源地扣除自然本底因素影响后水量达标率为100%。</w:t>
            </w:r>
            <w:r>
              <w:rPr>
                <w:szCs w:val="21"/>
              </w:rPr>
              <w:t>本项目区域地表水体为</w:t>
            </w:r>
            <w:r>
              <w:rPr>
                <w:rFonts w:hint="eastAsia"/>
                <w:szCs w:val="21"/>
              </w:rPr>
              <w:t>梅花</w:t>
            </w:r>
            <w:r>
              <w:rPr>
                <w:szCs w:val="21"/>
              </w:rPr>
              <w:t>河，其汇入汤旺河，根据《全国重要江河湖泊水功能区划》(2011-2030年)（黑龙江省），起始断面为101水文站，终止断面为苔青，其河段水域功能为过渡，水质目标为Ⅳ类，执行《地表水环境质量标准》（GB3838-2002）中Ⅳ类标准。根据《2025年黑龙江省生态环境质量状况》，该监测断面202</w:t>
            </w:r>
            <w:r>
              <w:rPr>
                <w:rFonts w:hint="eastAsia"/>
                <w:szCs w:val="21"/>
              </w:rPr>
              <w:t>4</w:t>
            </w:r>
            <w:r>
              <w:rPr>
                <w:szCs w:val="21"/>
              </w:rPr>
              <w:t>年水质现状满足《地表水环境质量标准》（GB3838-2002）Ⅳ类标准要求，</w:t>
            </w:r>
          </w:p>
          <w:p w14:paraId="77EA7BD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四、声环境质量现状</w:t>
            </w:r>
          </w:p>
          <w:p w14:paraId="57CE6DC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经现场勘查可知，项目周围50m范围内无噪声敏感点，根据《建设项目环境影响报告表编制技术指南（污染影响类）》（试行）规定，本项目不进行声环境质量现状调查。</w:t>
            </w:r>
          </w:p>
          <w:p w14:paraId="7DACAF2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五、土壤环境质量现状、河道底泥监测</w:t>
            </w:r>
          </w:p>
          <w:p w14:paraId="25715FE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本次在河道清淤处进行布点，土壤环境质量现状监测数据引用</w:t>
            </w:r>
            <w:r>
              <w:rPr>
                <w:color w:val="000000" w:themeColor="text1"/>
                <w14:textFill>
                  <w14:solidFill>
                    <w14:schemeClr w14:val="tx1"/>
                  </w14:solidFill>
                </w14:textFill>
              </w:rPr>
              <w:t>黑龙江省高能环境检测有限公司</w:t>
            </w:r>
            <w:r>
              <w:rPr>
                <w:rFonts w:hint="eastAsia"/>
                <w:color w:val="000000" w:themeColor="text1"/>
                <w14:textFill>
                  <w14:solidFill>
                    <w14:schemeClr w14:val="tx1"/>
                  </w14:solidFill>
                </w14:textFill>
              </w:rPr>
              <w:t>2026年5月7日出具的对河道底泥土壤的现状监测数据，底泥监测报告见附件。项目占地主要在河道范围内，施工期无土壤环境污染风险，河道底泥监测结果数据详见下表。</w:t>
            </w:r>
          </w:p>
          <w:p w14:paraId="7AB21AB1">
            <w:pPr>
              <w:pStyle w:val="47"/>
              <w:ind w:firstLine="420"/>
              <w:rPr>
                <w:color w:val="000000" w:themeColor="text1"/>
                <w14:textFill>
                  <w14:solidFill>
                    <w14:schemeClr w14:val="tx1"/>
                  </w14:solidFill>
                </w14:textFill>
              </w:rPr>
            </w:pPr>
          </w:p>
          <w:p w14:paraId="7BDDB519">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底泥监测结果</w:t>
            </w:r>
          </w:p>
          <w:tbl>
            <w:tblPr>
              <w:tblStyle w:val="6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99"/>
              <w:gridCol w:w="1899"/>
              <w:gridCol w:w="1901"/>
              <w:gridCol w:w="1902"/>
            </w:tblGrid>
            <w:tr w14:paraId="3B13B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Align w:val="center"/>
                </w:tcPr>
                <w:p w14:paraId="6E6530F2">
                  <w:pPr>
                    <w:pStyle w:val="43"/>
                    <w:rPr>
                      <w:color w:val="000000" w:themeColor="text1"/>
                      <w14:textFill>
                        <w14:solidFill>
                          <w14:schemeClr w14:val="tx1"/>
                        </w14:solidFill>
                      </w14:textFill>
                    </w:rPr>
                  </w:pPr>
                  <w:r>
                    <w:rPr>
                      <w:color w:val="000000" w:themeColor="text1"/>
                      <w14:textFill>
                        <w14:solidFill>
                          <w14:schemeClr w14:val="tx1"/>
                        </w14:solidFill>
                      </w14:textFill>
                    </w:rPr>
                    <w:t>检测点位</w:t>
                  </w:r>
                </w:p>
              </w:tc>
              <w:tc>
                <w:tcPr>
                  <w:tcW w:w="1916" w:type="dxa"/>
                  <w:vAlign w:val="center"/>
                </w:tcPr>
                <w:p w14:paraId="136F6FA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监测项目</w:t>
                  </w:r>
                </w:p>
              </w:tc>
              <w:tc>
                <w:tcPr>
                  <w:tcW w:w="1916" w:type="dxa"/>
                  <w:vAlign w:val="center"/>
                </w:tcPr>
                <w:p w14:paraId="351B87F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监测结果</w:t>
                  </w:r>
                </w:p>
              </w:tc>
              <w:tc>
                <w:tcPr>
                  <w:tcW w:w="1916" w:type="dxa"/>
                  <w:vAlign w:val="center"/>
                </w:tcPr>
                <w:p w14:paraId="7C3B622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r>
            <w:tr w14:paraId="3F7459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restart"/>
                  <w:vAlign w:val="center"/>
                </w:tcPr>
                <w:p w14:paraId="7FBAE1C6">
                  <w:pPr>
                    <w:pStyle w:val="43"/>
                    <w:rPr>
                      <w:color w:val="000000" w:themeColor="text1"/>
                      <w14:textFill>
                        <w14:solidFill>
                          <w14:schemeClr w14:val="tx1"/>
                        </w14:solidFill>
                      </w14:textFill>
                    </w:rPr>
                  </w:pPr>
                  <w:r>
                    <w:rPr>
                      <w:color w:val="000000" w:themeColor="text1"/>
                      <w14:textFill>
                        <w14:solidFill>
                          <w14:schemeClr w14:val="tx1"/>
                        </w14:solidFill>
                      </w14:textFill>
                    </w:rPr>
                    <w:t>项目河道清淤段内</w:t>
                  </w:r>
                </w:p>
              </w:tc>
              <w:tc>
                <w:tcPr>
                  <w:tcW w:w="1916" w:type="dxa"/>
                  <w:vAlign w:val="center"/>
                </w:tcPr>
                <w:p w14:paraId="310DE1A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汞</w:t>
                  </w:r>
                </w:p>
              </w:tc>
              <w:tc>
                <w:tcPr>
                  <w:tcW w:w="1916" w:type="dxa"/>
                  <w:vAlign w:val="center"/>
                </w:tcPr>
                <w:p w14:paraId="7C96CAA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0.693</w:t>
                  </w:r>
                </w:p>
              </w:tc>
              <w:tc>
                <w:tcPr>
                  <w:tcW w:w="1916" w:type="dxa"/>
                  <w:vMerge w:val="restart"/>
                  <w:vAlign w:val="center"/>
                </w:tcPr>
                <w:p w14:paraId="3FEAA7EA">
                  <w:pPr>
                    <w:pStyle w:val="43"/>
                    <w:rPr>
                      <w:color w:val="000000" w:themeColor="text1"/>
                      <w14:textFill>
                        <w14:solidFill>
                          <w14:schemeClr w14:val="tx1"/>
                        </w14:solidFill>
                      </w14:textFill>
                    </w:rPr>
                  </w:pPr>
                  <w:r>
                    <w:rPr>
                      <w:color w:val="000000" w:themeColor="text1"/>
                      <w14:textFill>
                        <w14:solidFill>
                          <w14:schemeClr w14:val="tx1"/>
                        </w14:solidFill>
                      </w14:textFill>
                    </w:rPr>
                    <w:t>mg/kg</w:t>
                  </w:r>
                </w:p>
              </w:tc>
            </w:tr>
            <w:tr w14:paraId="1BFE7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2E8413F5">
                  <w:pPr>
                    <w:pStyle w:val="43"/>
                    <w:rPr>
                      <w:color w:val="000000" w:themeColor="text1"/>
                      <w14:textFill>
                        <w14:solidFill>
                          <w14:schemeClr w14:val="tx1"/>
                        </w14:solidFill>
                      </w14:textFill>
                    </w:rPr>
                  </w:pPr>
                </w:p>
              </w:tc>
              <w:tc>
                <w:tcPr>
                  <w:tcW w:w="1916" w:type="dxa"/>
                  <w:vAlign w:val="center"/>
                </w:tcPr>
                <w:p w14:paraId="1F15A94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砷</w:t>
                  </w:r>
                </w:p>
              </w:tc>
              <w:tc>
                <w:tcPr>
                  <w:tcW w:w="1916" w:type="dxa"/>
                  <w:vAlign w:val="center"/>
                </w:tcPr>
                <w:p w14:paraId="1D0BE93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4.75</w:t>
                  </w:r>
                </w:p>
              </w:tc>
              <w:tc>
                <w:tcPr>
                  <w:tcW w:w="1916" w:type="dxa"/>
                  <w:vMerge w:val="continue"/>
                  <w:vAlign w:val="center"/>
                </w:tcPr>
                <w:p w14:paraId="6CFF2724">
                  <w:pPr>
                    <w:pStyle w:val="43"/>
                    <w:rPr>
                      <w:color w:val="000000" w:themeColor="text1"/>
                      <w14:textFill>
                        <w14:solidFill>
                          <w14:schemeClr w14:val="tx1"/>
                        </w14:solidFill>
                      </w14:textFill>
                    </w:rPr>
                  </w:pPr>
                </w:p>
              </w:tc>
            </w:tr>
            <w:tr w14:paraId="0BF43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7B9B32AE">
                  <w:pPr>
                    <w:pStyle w:val="43"/>
                    <w:rPr>
                      <w:color w:val="000000" w:themeColor="text1"/>
                      <w14:textFill>
                        <w14:solidFill>
                          <w14:schemeClr w14:val="tx1"/>
                        </w14:solidFill>
                      </w14:textFill>
                    </w:rPr>
                  </w:pPr>
                </w:p>
              </w:tc>
              <w:tc>
                <w:tcPr>
                  <w:tcW w:w="1916" w:type="dxa"/>
                  <w:vAlign w:val="center"/>
                </w:tcPr>
                <w:p w14:paraId="3638CAA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铜</w:t>
                  </w:r>
                </w:p>
              </w:tc>
              <w:tc>
                <w:tcPr>
                  <w:tcW w:w="1916" w:type="dxa"/>
                  <w:vAlign w:val="center"/>
                </w:tcPr>
                <w:p w14:paraId="3BC46B4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1916" w:type="dxa"/>
                  <w:vMerge w:val="continue"/>
                  <w:vAlign w:val="center"/>
                </w:tcPr>
                <w:p w14:paraId="795526A3">
                  <w:pPr>
                    <w:pStyle w:val="43"/>
                    <w:rPr>
                      <w:color w:val="000000" w:themeColor="text1"/>
                      <w14:textFill>
                        <w14:solidFill>
                          <w14:schemeClr w14:val="tx1"/>
                        </w14:solidFill>
                      </w14:textFill>
                    </w:rPr>
                  </w:pPr>
                </w:p>
              </w:tc>
            </w:tr>
            <w:tr w14:paraId="35A39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164379C8">
                  <w:pPr>
                    <w:pStyle w:val="43"/>
                    <w:rPr>
                      <w:color w:val="000000" w:themeColor="text1"/>
                      <w14:textFill>
                        <w14:solidFill>
                          <w14:schemeClr w14:val="tx1"/>
                        </w14:solidFill>
                      </w14:textFill>
                    </w:rPr>
                  </w:pPr>
                </w:p>
              </w:tc>
              <w:tc>
                <w:tcPr>
                  <w:tcW w:w="1916" w:type="dxa"/>
                  <w:vAlign w:val="center"/>
                </w:tcPr>
                <w:p w14:paraId="7DDE0B7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镍</w:t>
                  </w:r>
                </w:p>
              </w:tc>
              <w:tc>
                <w:tcPr>
                  <w:tcW w:w="1916" w:type="dxa"/>
                  <w:vAlign w:val="center"/>
                </w:tcPr>
                <w:p w14:paraId="4A69FD2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916" w:type="dxa"/>
                  <w:vMerge w:val="continue"/>
                  <w:vAlign w:val="center"/>
                </w:tcPr>
                <w:p w14:paraId="5F220BB3">
                  <w:pPr>
                    <w:pStyle w:val="43"/>
                    <w:rPr>
                      <w:color w:val="000000" w:themeColor="text1"/>
                      <w14:textFill>
                        <w14:solidFill>
                          <w14:schemeClr w14:val="tx1"/>
                        </w14:solidFill>
                      </w14:textFill>
                    </w:rPr>
                  </w:pPr>
                </w:p>
              </w:tc>
            </w:tr>
            <w:tr w14:paraId="061EB0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046A8937">
                  <w:pPr>
                    <w:pStyle w:val="43"/>
                    <w:rPr>
                      <w:color w:val="000000" w:themeColor="text1"/>
                      <w14:textFill>
                        <w14:solidFill>
                          <w14:schemeClr w14:val="tx1"/>
                        </w14:solidFill>
                      </w14:textFill>
                    </w:rPr>
                  </w:pPr>
                </w:p>
              </w:tc>
              <w:tc>
                <w:tcPr>
                  <w:tcW w:w="1916" w:type="dxa"/>
                  <w:vAlign w:val="center"/>
                </w:tcPr>
                <w:p w14:paraId="64D3D70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铅</w:t>
                  </w:r>
                </w:p>
              </w:tc>
              <w:tc>
                <w:tcPr>
                  <w:tcW w:w="1916" w:type="dxa"/>
                  <w:vAlign w:val="center"/>
                </w:tcPr>
                <w:p w14:paraId="2DEC039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1916" w:type="dxa"/>
                  <w:vMerge w:val="continue"/>
                  <w:vAlign w:val="center"/>
                </w:tcPr>
                <w:p w14:paraId="5252F44D">
                  <w:pPr>
                    <w:pStyle w:val="43"/>
                    <w:rPr>
                      <w:color w:val="000000" w:themeColor="text1"/>
                      <w14:textFill>
                        <w14:solidFill>
                          <w14:schemeClr w14:val="tx1"/>
                        </w14:solidFill>
                      </w14:textFill>
                    </w:rPr>
                  </w:pPr>
                </w:p>
              </w:tc>
            </w:tr>
            <w:tr w14:paraId="334FC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5DF24BB8">
                  <w:pPr>
                    <w:pStyle w:val="43"/>
                    <w:rPr>
                      <w:color w:val="000000" w:themeColor="text1"/>
                      <w14:textFill>
                        <w14:solidFill>
                          <w14:schemeClr w14:val="tx1"/>
                        </w14:solidFill>
                      </w14:textFill>
                    </w:rPr>
                  </w:pPr>
                </w:p>
              </w:tc>
              <w:tc>
                <w:tcPr>
                  <w:tcW w:w="1916" w:type="dxa"/>
                  <w:vAlign w:val="center"/>
                </w:tcPr>
                <w:p w14:paraId="7DFFB3B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镉</w:t>
                  </w:r>
                </w:p>
              </w:tc>
              <w:tc>
                <w:tcPr>
                  <w:tcW w:w="1916" w:type="dxa"/>
                  <w:vAlign w:val="center"/>
                </w:tcPr>
                <w:p w14:paraId="559F6EE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0.38</w:t>
                  </w:r>
                </w:p>
              </w:tc>
              <w:tc>
                <w:tcPr>
                  <w:tcW w:w="1916" w:type="dxa"/>
                  <w:vMerge w:val="continue"/>
                  <w:vAlign w:val="center"/>
                </w:tcPr>
                <w:p w14:paraId="606F009D">
                  <w:pPr>
                    <w:pStyle w:val="43"/>
                    <w:rPr>
                      <w:color w:val="000000" w:themeColor="text1"/>
                      <w14:textFill>
                        <w14:solidFill>
                          <w14:schemeClr w14:val="tx1"/>
                        </w14:solidFill>
                      </w14:textFill>
                    </w:rPr>
                  </w:pPr>
                </w:p>
              </w:tc>
            </w:tr>
            <w:tr w14:paraId="449A5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4975BB2C">
                  <w:pPr>
                    <w:pStyle w:val="43"/>
                    <w:rPr>
                      <w:color w:val="000000" w:themeColor="text1"/>
                      <w14:textFill>
                        <w14:solidFill>
                          <w14:schemeClr w14:val="tx1"/>
                        </w14:solidFill>
                      </w14:textFill>
                    </w:rPr>
                  </w:pPr>
                </w:p>
              </w:tc>
              <w:tc>
                <w:tcPr>
                  <w:tcW w:w="1916" w:type="dxa"/>
                  <w:vAlign w:val="center"/>
                </w:tcPr>
                <w:p w14:paraId="0C69ADE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铬</w:t>
                  </w:r>
                </w:p>
              </w:tc>
              <w:tc>
                <w:tcPr>
                  <w:tcW w:w="1916" w:type="dxa"/>
                  <w:vAlign w:val="center"/>
                </w:tcPr>
                <w:p w14:paraId="4D40FDD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11</w:t>
                  </w:r>
                </w:p>
              </w:tc>
              <w:tc>
                <w:tcPr>
                  <w:tcW w:w="1916" w:type="dxa"/>
                  <w:vMerge w:val="continue"/>
                  <w:vAlign w:val="center"/>
                </w:tcPr>
                <w:p w14:paraId="5155E350">
                  <w:pPr>
                    <w:pStyle w:val="43"/>
                    <w:rPr>
                      <w:color w:val="000000" w:themeColor="text1"/>
                      <w14:textFill>
                        <w14:solidFill>
                          <w14:schemeClr w14:val="tx1"/>
                        </w14:solidFill>
                      </w14:textFill>
                    </w:rPr>
                  </w:pPr>
                </w:p>
              </w:tc>
            </w:tr>
            <w:tr w14:paraId="656072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530AEE2F">
                  <w:pPr>
                    <w:pStyle w:val="43"/>
                    <w:rPr>
                      <w:color w:val="000000" w:themeColor="text1"/>
                      <w14:textFill>
                        <w14:solidFill>
                          <w14:schemeClr w14:val="tx1"/>
                        </w14:solidFill>
                      </w14:textFill>
                    </w:rPr>
                  </w:pPr>
                </w:p>
              </w:tc>
              <w:tc>
                <w:tcPr>
                  <w:tcW w:w="1916" w:type="dxa"/>
                  <w:vAlign w:val="center"/>
                </w:tcPr>
                <w:p w14:paraId="44728EE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锌</w:t>
                  </w:r>
                </w:p>
              </w:tc>
              <w:tc>
                <w:tcPr>
                  <w:tcW w:w="1916" w:type="dxa"/>
                  <w:vAlign w:val="center"/>
                </w:tcPr>
                <w:p w14:paraId="79E1FD9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78</w:t>
                  </w:r>
                </w:p>
              </w:tc>
              <w:tc>
                <w:tcPr>
                  <w:tcW w:w="1916" w:type="dxa"/>
                  <w:vMerge w:val="continue"/>
                  <w:vAlign w:val="center"/>
                </w:tcPr>
                <w:p w14:paraId="6DCADF2D">
                  <w:pPr>
                    <w:pStyle w:val="43"/>
                    <w:rPr>
                      <w:color w:val="000000" w:themeColor="text1"/>
                      <w14:textFill>
                        <w14:solidFill>
                          <w14:schemeClr w14:val="tx1"/>
                        </w14:solidFill>
                      </w14:textFill>
                    </w:rPr>
                  </w:pPr>
                </w:p>
              </w:tc>
            </w:tr>
            <w:tr w14:paraId="756BD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16" w:type="dxa"/>
                  <w:vMerge w:val="continue"/>
                  <w:vAlign w:val="center"/>
                </w:tcPr>
                <w:p w14:paraId="0AD701C7">
                  <w:pPr>
                    <w:pStyle w:val="43"/>
                    <w:rPr>
                      <w:color w:val="000000" w:themeColor="text1"/>
                      <w14:textFill>
                        <w14:solidFill>
                          <w14:schemeClr w14:val="tx1"/>
                        </w14:solidFill>
                      </w14:textFill>
                    </w:rPr>
                  </w:pPr>
                </w:p>
              </w:tc>
              <w:tc>
                <w:tcPr>
                  <w:tcW w:w="1916" w:type="dxa"/>
                  <w:vAlign w:val="center"/>
                </w:tcPr>
                <w:p w14:paraId="3671C96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pH</w:t>
                  </w:r>
                </w:p>
              </w:tc>
              <w:tc>
                <w:tcPr>
                  <w:tcW w:w="1916" w:type="dxa"/>
                  <w:vAlign w:val="center"/>
                </w:tcPr>
                <w:p w14:paraId="4647D5F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6.1</w:t>
                  </w:r>
                </w:p>
              </w:tc>
              <w:tc>
                <w:tcPr>
                  <w:tcW w:w="1916" w:type="dxa"/>
                  <w:vAlign w:val="center"/>
                </w:tcPr>
                <w:p w14:paraId="4CE97B3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无量纲</w:t>
                  </w:r>
                </w:p>
              </w:tc>
            </w:tr>
          </w:tbl>
          <w:p w14:paraId="799D4EE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根据底泥分析检测数据，河道底泥土壤中重金属指标均满足《土壤环境质量 农用地土壤污染风险管控标准（试行）(GB 15618-2018》中表1农用地土壤污染风险筛选值（其他）要求。</w:t>
            </w:r>
          </w:p>
        </w:tc>
      </w:tr>
      <w:tr w14:paraId="7DC536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593" w:type="pct"/>
            <w:vAlign w:val="center"/>
          </w:tcPr>
          <w:p w14:paraId="5BCDB352">
            <w:pPr>
              <w:adjustRightInd w:val="0"/>
              <w:snapToGrid w:val="0"/>
              <w:jc w:val="center"/>
              <w:rPr>
                <w:color w:val="000000" w:themeColor="text1"/>
                <w:kern w:val="0"/>
                <w:szCs w:val="21"/>
                <w14:textFill>
                  <w14:solidFill>
                    <w14:schemeClr w14:val="tx1"/>
                  </w14:solidFill>
                </w14:textFill>
              </w:rPr>
            </w:pPr>
            <w:r>
              <w:rPr>
                <w:bCs/>
                <w:color w:val="000000" w:themeColor="text1"/>
                <w:szCs w:val="21"/>
                <w14:textFill>
                  <w14:solidFill>
                    <w14:schemeClr w14:val="tx1"/>
                  </w14:solidFill>
                </w14:textFill>
              </w:rPr>
              <w:t>与项目有关的原有环境污染和生态破坏问题</w:t>
            </w:r>
          </w:p>
        </w:tc>
        <w:tc>
          <w:tcPr>
            <w:tcW w:w="4407" w:type="pct"/>
            <w:vAlign w:val="center"/>
          </w:tcPr>
          <w:p w14:paraId="4C84A29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本工程现状及存在的主要问题如下：</w:t>
            </w:r>
          </w:p>
          <w:p w14:paraId="0408519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梅花河现状河道有防洪任务河段长 10.44km，按照治理情况划分，其中已安排实施长 7.04km，有治理需求长 3.40km。已治理河段堤防建设均已达到设计防洪标准，并运行正常。其中伊东林场分公司段堤防长3.427km，堤顶宽4m，迎水侧采用干砌石护坡，背水侧为植草护坡，干砌石固脚，迎背水侧坡比均为1:2.5，涵闸2 座；东升马场段堤防长2.68km，堤顶宽4m，迎水侧采用雷诺护垫护坡，背水侧为植草护坡，格宾石笼固脚，迎背水侧坡比均为1:2.5，涵闸1 座。设计防洪标准均为20年一遇。</w:t>
            </w:r>
          </w:p>
          <w:p w14:paraId="66F2002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拟治理段梅花河为淤积坑塘，河道内无滩地出露，河床为砂砾石及大量淤泥，无其它附着物。</w:t>
            </w:r>
          </w:p>
          <w:p w14:paraId="7FBFD7C2">
            <w:pPr>
              <w:pStyle w:val="47"/>
              <w:ind w:firstLine="420"/>
              <w:rPr>
                <w:color w:val="000000" w:themeColor="text1"/>
                <w14:textFill>
                  <w14:solidFill>
                    <w14:schemeClr w14:val="tx1"/>
                  </w14:solidFill>
                </w14:textFill>
              </w:rPr>
            </w:pPr>
          </w:p>
        </w:tc>
      </w:tr>
      <w:tr w14:paraId="4AE66F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11BDEF38">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生态环境保护目标</w:t>
            </w:r>
          </w:p>
        </w:tc>
        <w:tc>
          <w:tcPr>
            <w:tcW w:w="4407" w:type="pct"/>
            <w:vAlign w:val="center"/>
          </w:tcPr>
          <w:p w14:paraId="080D6EE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评价范围内不涉及世界文化和自然遗产地、风景名胜区、森林公园、地质公园、重要湿地、原始天然林、珍稀濒危野生动植物、重要水生生物的产卵场、索饵场、越冬场及洄游通道等生态敏感区。生态环境保护目标主要为施工占地范围内的生态系统完整性、生物多样性、动植物及其生境等生物和非生物因素。</w:t>
            </w:r>
          </w:p>
          <w:p w14:paraId="12C13C5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根据现场调查及《黑龙江湿地名录》中坐标点判断，本项目不占用重要湿地。</w:t>
            </w:r>
          </w:p>
          <w:p w14:paraId="2965AF23">
            <w:pPr>
              <w:pStyle w:val="47"/>
              <w:ind w:firstLine="420"/>
              <w:rPr>
                <w:color w:val="000000" w:themeColor="text1"/>
                <w14:textFill>
                  <w14:solidFill>
                    <w14:schemeClr w14:val="tx1"/>
                  </w14:solidFill>
                </w14:textFill>
              </w:rPr>
            </w:pPr>
            <w:bookmarkStart w:id="28" w:name="_Hlk186792410"/>
            <w:r>
              <w:rPr>
                <w:rFonts w:hint="eastAsia"/>
                <w:color w:val="000000" w:themeColor="text1"/>
                <w14:textFill>
                  <w14:solidFill>
                    <w14:schemeClr w14:val="tx1"/>
                  </w14:solidFill>
                </w14:textFill>
              </w:rPr>
              <w:t>本项目涉及的地表水体为梅花河，评价区不涉及饮用水水源保护区、饮用水取水口，涉水的自然保护区、风景名胜区，重要湿地、重点保护与珍稀水生生物的栖息地、重要水生生物的自然产卵场及索饵场、越冬场和洄游通道，天然渔场等渔业水体,以及水产种质资源保护区等水环境保护目标，施工期的水环境影响区域主要是工程影响区上下游水域防止项目施工过程污染水体，保护水域的水环境。</w:t>
            </w:r>
            <w:bookmarkEnd w:id="28"/>
          </w:p>
          <w:p w14:paraId="5F94D37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施工期工程两侧</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0m范围内声环境保护目标、5</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m范围内环境空气保护目标详见下表3</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p>
          <w:p w14:paraId="5EAE35A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本工程不涉及自然保护区、风景名胜区、自然公园、重要湿地、生态保护红线等环境敏感区，参考《环境影响评价技术导则  生态影响》（HJ 19-2022），项目为线性工程，本次生态环境评价以主体工程外300m作为评价范围，评价范围内无珍稀濒危野生动物集中分布，故生态环境保护目标为300m范围内的陆生生态及水生生态系统。本项目施工期主要环境保护目标详见下表。</w:t>
            </w:r>
          </w:p>
          <w:p w14:paraId="6F83B171">
            <w:pPr>
              <w:pStyle w:val="46"/>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主要环境保护目标</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1522"/>
              <w:gridCol w:w="1488"/>
              <w:gridCol w:w="1125"/>
              <w:gridCol w:w="2218"/>
            </w:tblGrid>
            <w:tr w14:paraId="3B481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1" w:type="pct"/>
                  <w:vAlign w:val="center"/>
                </w:tcPr>
                <w:p w14:paraId="2A3B1CEF">
                  <w:pPr>
                    <w:pStyle w:val="43"/>
                    <w:rPr>
                      <w:snapToGrid w:val="0"/>
                      <w:color w:val="000000" w:themeColor="text1"/>
                      <w:szCs w:val="21"/>
                      <w14:textFill>
                        <w14:solidFill>
                          <w14:schemeClr w14:val="tx1"/>
                        </w14:solidFill>
                      </w14:textFill>
                    </w:rPr>
                  </w:pPr>
                  <w:bookmarkStart w:id="29" w:name="_Hlk531714149"/>
                  <w:r>
                    <w:rPr>
                      <w:rFonts w:hint="eastAsia"/>
                      <w:snapToGrid w:val="0"/>
                      <w:color w:val="000000" w:themeColor="text1"/>
                      <w:szCs w:val="21"/>
                      <w14:textFill>
                        <w14:solidFill>
                          <w14:schemeClr w14:val="tx1"/>
                        </w14:solidFill>
                      </w14:textFill>
                    </w:rPr>
                    <w:t>环境要素</w:t>
                  </w:r>
                </w:p>
              </w:tc>
              <w:tc>
                <w:tcPr>
                  <w:tcW w:w="1001" w:type="pct"/>
                  <w:vAlign w:val="center"/>
                </w:tcPr>
                <w:p w14:paraId="38D1D16B">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环境保护目标</w:t>
                  </w:r>
                </w:p>
              </w:tc>
              <w:tc>
                <w:tcPr>
                  <w:tcW w:w="979" w:type="pct"/>
                  <w:vAlign w:val="center"/>
                </w:tcPr>
                <w:p w14:paraId="645BD27B">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与工程的相对位置关系</w:t>
                  </w:r>
                </w:p>
              </w:tc>
              <w:tc>
                <w:tcPr>
                  <w:tcW w:w="740" w:type="pct"/>
                  <w:vAlign w:val="center"/>
                </w:tcPr>
                <w:p w14:paraId="31A6A601">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主要保护对象</w:t>
                  </w:r>
                </w:p>
              </w:tc>
              <w:tc>
                <w:tcPr>
                  <w:tcW w:w="1459" w:type="pct"/>
                  <w:vAlign w:val="center"/>
                </w:tcPr>
                <w:p w14:paraId="613B4EBA">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环境质量要求</w:t>
                  </w:r>
                </w:p>
              </w:tc>
            </w:tr>
            <w:tr w14:paraId="1C5D5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1" w:type="pct"/>
                  <w:vMerge w:val="restart"/>
                  <w:vAlign w:val="center"/>
                </w:tcPr>
                <w:p w14:paraId="56DA3CEF">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生态环境</w:t>
                  </w:r>
                </w:p>
              </w:tc>
              <w:tc>
                <w:tcPr>
                  <w:tcW w:w="1001" w:type="pct"/>
                  <w:vMerge w:val="restart"/>
                  <w:vAlign w:val="center"/>
                </w:tcPr>
                <w:p w14:paraId="0D60940A">
                  <w:pPr>
                    <w:pStyle w:val="43"/>
                    <w:jc w:val="both"/>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临时工程沿线</w:t>
                  </w:r>
                  <w:r>
                    <w:rPr>
                      <w:snapToGrid w:val="0"/>
                      <w:color w:val="000000" w:themeColor="text1"/>
                      <w:szCs w:val="21"/>
                      <w14:textFill>
                        <w14:solidFill>
                          <w14:schemeClr w14:val="tx1"/>
                        </w14:solidFill>
                      </w14:textFill>
                    </w:rPr>
                    <w:t>300</w:t>
                  </w:r>
                  <w:r>
                    <w:rPr>
                      <w:rFonts w:hint="eastAsia"/>
                      <w:snapToGrid w:val="0"/>
                      <w:color w:val="000000" w:themeColor="text1"/>
                      <w:szCs w:val="21"/>
                      <w14:textFill>
                        <w14:solidFill>
                          <w14:schemeClr w14:val="tx1"/>
                        </w14:solidFill>
                      </w14:textFill>
                    </w:rPr>
                    <w:t>m范围内生态环境</w:t>
                  </w:r>
                </w:p>
              </w:tc>
              <w:tc>
                <w:tcPr>
                  <w:tcW w:w="979" w:type="pct"/>
                  <w:vAlign w:val="center"/>
                </w:tcPr>
                <w:p w14:paraId="4D1BF6BC">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临时占地内生态环境</w:t>
                  </w:r>
                </w:p>
              </w:tc>
              <w:tc>
                <w:tcPr>
                  <w:tcW w:w="740" w:type="pct"/>
                  <w:vAlign w:val="center"/>
                </w:tcPr>
                <w:p w14:paraId="44D55F7E">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农田、树木等陆生植被</w:t>
                  </w:r>
                </w:p>
              </w:tc>
              <w:tc>
                <w:tcPr>
                  <w:tcW w:w="1459" w:type="pct"/>
                  <w:vMerge w:val="restart"/>
                  <w:vAlign w:val="center"/>
                </w:tcPr>
                <w:p w14:paraId="48BD2C68">
                  <w:pPr>
                    <w:pStyle w:val="43"/>
                    <w:jc w:val="both"/>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生态质量不下降，周边生态环境不受明显影响</w:t>
                  </w:r>
                </w:p>
              </w:tc>
            </w:tr>
            <w:tr w14:paraId="6B679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1" w:type="pct"/>
                  <w:vMerge w:val="continue"/>
                  <w:vAlign w:val="center"/>
                </w:tcPr>
                <w:p w14:paraId="44F11BB6">
                  <w:pPr>
                    <w:pStyle w:val="43"/>
                    <w:rPr>
                      <w:snapToGrid w:val="0"/>
                      <w:color w:val="000000" w:themeColor="text1"/>
                      <w:szCs w:val="21"/>
                      <w14:textFill>
                        <w14:solidFill>
                          <w14:schemeClr w14:val="tx1"/>
                        </w14:solidFill>
                      </w14:textFill>
                    </w:rPr>
                  </w:pPr>
                </w:p>
              </w:tc>
              <w:tc>
                <w:tcPr>
                  <w:tcW w:w="1001" w:type="pct"/>
                  <w:vMerge w:val="continue"/>
                  <w:vAlign w:val="center"/>
                </w:tcPr>
                <w:p w14:paraId="70C0FB64">
                  <w:pPr>
                    <w:pStyle w:val="43"/>
                    <w:jc w:val="both"/>
                    <w:rPr>
                      <w:snapToGrid w:val="0"/>
                      <w:color w:val="000000" w:themeColor="text1"/>
                      <w:szCs w:val="21"/>
                      <w14:textFill>
                        <w14:solidFill>
                          <w14:schemeClr w14:val="tx1"/>
                        </w14:solidFill>
                      </w14:textFill>
                    </w:rPr>
                  </w:pPr>
                </w:p>
              </w:tc>
              <w:tc>
                <w:tcPr>
                  <w:tcW w:w="979" w:type="pct"/>
                  <w:vAlign w:val="center"/>
                </w:tcPr>
                <w:p w14:paraId="36792935">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沿线水生生态</w:t>
                  </w:r>
                </w:p>
              </w:tc>
              <w:tc>
                <w:tcPr>
                  <w:tcW w:w="740" w:type="pct"/>
                  <w:vAlign w:val="center"/>
                </w:tcPr>
                <w:p w14:paraId="612EB616">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水生生态及鱼类</w:t>
                  </w:r>
                </w:p>
              </w:tc>
              <w:tc>
                <w:tcPr>
                  <w:tcW w:w="1459" w:type="pct"/>
                  <w:vMerge w:val="continue"/>
                  <w:vAlign w:val="center"/>
                </w:tcPr>
                <w:p w14:paraId="580C500B">
                  <w:pPr>
                    <w:pStyle w:val="43"/>
                    <w:jc w:val="both"/>
                    <w:rPr>
                      <w:snapToGrid w:val="0"/>
                      <w:color w:val="000000" w:themeColor="text1"/>
                      <w:szCs w:val="21"/>
                      <w14:textFill>
                        <w14:solidFill>
                          <w14:schemeClr w14:val="tx1"/>
                        </w14:solidFill>
                      </w14:textFill>
                    </w:rPr>
                  </w:pPr>
                </w:p>
              </w:tc>
            </w:tr>
            <w:tr w14:paraId="7E6DE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1" w:type="pct"/>
                  <w:vAlign w:val="center"/>
                </w:tcPr>
                <w:p w14:paraId="637546BE">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环境空气</w:t>
                  </w:r>
                </w:p>
              </w:tc>
              <w:tc>
                <w:tcPr>
                  <w:tcW w:w="1980" w:type="pct"/>
                  <w:gridSpan w:val="2"/>
                  <w:vAlign w:val="center"/>
                </w:tcPr>
                <w:p w14:paraId="2527D29F">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临时工程周边5</w:t>
                  </w:r>
                  <w:r>
                    <w:rPr>
                      <w:snapToGrid w:val="0"/>
                      <w:color w:val="000000" w:themeColor="text1"/>
                      <w:szCs w:val="21"/>
                      <w14:textFill>
                        <w14:solidFill>
                          <w14:schemeClr w14:val="tx1"/>
                        </w14:solidFill>
                      </w14:textFill>
                    </w:rPr>
                    <w:t>00</w:t>
                  </w:r>
                  <w:r>
                    <w:rPr>
                      <w:rFonts w:hint="eastAsia"/>
                      <w:snapToGrid w:val="0"/>
                      <w:color w:val="000000" w:themeColor="text1"/>
                      <w:szCs w:val="21"/>
                      <w14:textFill>
                        <w14:solidFill>
                          <w14:schemeClr w14:val="tx1"/>
                        </w14:solidFill>
                      </w14:textFill>
                    </w:rPr>
                    <w:t>m环境空气</w:t>
                  </w:r>
                </w:p>
              </w:tc>
              <w:tc>
                <w:tcPr>
                  <w:tcW w:w="740" w:type="pct"/>
                  <w:vAlign w:val="center"/>
                </w:tcPr>
                <w:p w14:paraId="03C7F150">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人群及生态环境</w:t>
                  </w:r>
                </w:p>
              </w:tc>
              <w:tc>
                <w:tcPr>
                  <w:tcW w:w="1459" w:type="pct"/>
                  <w:vAlign w:val="center"/>
                </w:tcPr>
                <w:p w14:paraId="28812B7B">
                  <w:pPr>
                    <w:pStyle w:val="43"/>
                    <w:jc w:val="both"/>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《环境空气质量标准》（GB 3095—2026）表1中的过渡阶段二级标准浓度限值（执行至2030年12月31日）以及基本项目二级标准浓度限值（2031年1月1日起执行）</w:t>
                  </w:r>
                </w:p>
              </w:tc>
            </w:tr>
            <w:tr w14:paraId="290721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1" w:type="pct"/>
                  <w:vAlign w:val="center"/>
                </w:tcPr>
                <w:p w14:paraId="7F5F7D0A">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声环境</w:t>
                  </w:r>
                </w:p>
              </w:tc>
              <w:tc>
                <w:tcPr>
                  <w:tcW w:w="1980" w:type="pct"/>
                  <w:gridSpan w:val="2"/>
                  <w:vAlign w:val="center"/>
                </w:tcPr>
                <w:p w14:paraId="0D4CDA87">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临时工程</w:t>
                  </w:r>
                  <w:r>
                    <w:rPr>
                      <w:snapToGrid w:val="0"/>
                      <w:color w:val="000000" w:themeColor="text1"/>
                      <w:szCs w:val="21"/>
                      <w14:textFill>
                        <w14:solidFill>
                          <w14:schemeClr w14:val="tx1"/>
                        </w14:solidFill>
                      </w14:textFill>
                    </w:rPr>
                    <w:t>20</w:t>
                  </w:r>
                  <w:r>
                    <w:rPr>
                      <w:rFonts w:hint="eastAsia"/>
                      <w:snapToGrid w:val="0"/>
                      <w:color w:val="000000" w:themeColor="text1"/>
                      <w:szCs w:val="21"/>
                      <w14:textFill>
                        <w14:solidFill>
                          <w14:schemeClr w14:val="tx1"/>
                        </w14:solidFill>
                      </w14:textFill>
                    </w:rPr>
                    <w:t>0m范围内声环境</w:t>
                  </w:r>
                </w:p>
              </w:tc>
              <w:tc>
                <w:tcPr>
                  <w:tcW w:w="740" w:type="pct"/>
                  <w:vAlign w:val="center"/>
                </w:tcPr>
                <w:p w14:paraId="5868241D">
                  <w:pPr>
                    <w:pStyle w:val="43"/>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人群及生态环境</w:t>
                  </w:r>
                </w:p>
              </w:tc>
              <w:tc>
                <w:tcPr>
                  <w:tcW w:w="1459" w:type="pct"/>
                  <w:vAlign w:val="center"/>
                </w:tcPr>
                <w:p w14:paraId="2E3E59C8">
                  <w:pPr>
                    <w:pStyle w:val="43"/>
                    <w:jc w:val="both"/>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《声环境质量标准》（GB3096-2008）中</w:t>
                  </w:r>
                  <w:r>
                    <w:rPr>
                      <w:snapToGrid w:val="0"/>
                      <w:color w:val="000000" w:themeColor="text1"/>
                      <w:szCs w:val="21"/>
                      <w14:textFill>
                        <w14:solidFill>
                          <w14:schemeClr w14:val="tx1"/>
                        </w14:solidFill>
                      </w14:textFill>
                    </w:rPr>
                    <w:t>2</w:t>
                  </w:r>
                  <w:r>
                    <w:rPr>
                      <w:rFonts w:hint="eastAsia"/>
                      <w:snapToGrid w:val="0"/>
                      <w:color w:val="000000" w:themeColor="text1"/>
                      <w:szCs w:val="21"/>
                      <w14:textFill>
                        <w14:solidFill>
                          <w14:schemeClr w14:val="tx1"/>
                        </w14:solidFill>
                      </w14:textFill>
                    </w:rPr>
                    <w:t>类标准</w:t>
                  </w:r>
                </w:p>
              </w:tc>
            </w:tr>
            <w:bookmarkEnd w:id="29"/>
          </w:tbl>
          <w:p w14:paraId="0B8C6EC0">
            <w:pPr>
              <w:pStyle w:val="47"/>
              <w:ind w:firstLine="420"/>
              <w:rPr>
                <w:color w:val="000000" w:themeColor="text1"/>
                <w14:textFill>
                  <w14:solidFill>
                    <w14:schemeClr w14:val="tx1"/>
                  </w14:solidFill>
                </w14:textFill>
              </w:rPr>
            </w:pPr>
          </w:p>
          <w:p w14:paraId="01E50B1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本项目运行期</w:t>
            </w:r>
            <w:r>
              <w:rPr>
                <w:color w:val="000000" w:themeColor="text1"/>
                <w14:textFill>
                  <w14:solidFill>
                    <w14:schemeClr w14:val="tx1"/>
                  </w14:solidFill>
                </w14:textFill>
              </w:rPr>
              <w:t>厂界外500m范围内无大气环境保护目标。厂界外50m范围内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声环境保护</w:t>
            </w:r>
            <w:r>
              <w:rPr>
                <w:rFonts w:hint="eastAsia"/>
                <w:color w:val="000000" w:themeColor="text1"/>
                <w14:textFill>
                  <w14:solidFill>
                    <w14:schemeClr w14:val="tx1"/>
                  </w14:solidFill>
                </w14:textFill>
              </w:rPr>
              <w:t>目标；厂界外500m范围内无地下水集中式饮用水水源和热水、矿泉水、温泉等特殊地下水资源。</w:t>
            </w:r>
          </w:p>
        </w:tc>
      </w:tr>
      <w:tr w14:paraId="4D7D35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93" w:type="pct"/>
            <w:vAlign w:val="center"/>
          </w:tcPr>
          <w:p w14:paraId="0561C940">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评价</w:t>
            </w:r>
          </w:p>
          <w:p w14:paraId="13724C0F">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标准</w:t>
            </w:r>
          </w:p>
        </w:tc>
        <w:tc>
          <w:tcPr>
            <w:tcW w:w="4407" w:type="pct"/>
            <w:vAlign w:val="center"/>
          </w:tcPr>
          <w:p w14:paraId="22DC8A9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一、环境质量标准</w:t>
            </w:r>
          </w:p>
          <w:p w14:paraId="01BD334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1、大气环境</w:t>
            </w:r>
          </w:p>
          <w:p w14:paraId="5264C04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项目周围环境空气</w:t>
            </w:r>
            <w:r>
              <w:rPr>
                <w:rFonts w:hint="eastAsia"/>
                <w:color w:val="000000" w:themeColor="text1"/>
                <w14:textFill>
                  <w14:solidFill>
                    <w14:schemeClr w14:val="tx1"/>
                  </w14:solidFill>
                </w14:textFill>
              </w:rPr>
              <w:t>质量</w:t>
            </w:r>
            <w:r>
              <w:rPr>
                <w:color w:val="000000" w:themeColor="text1"/>
                <w14:textFill>
                  <w14:solidFill>
                    <w14:schemeClr w14:val="tx1"/>
                  </w14:solidFill>
                </w14:textFill>
              </w:rPr>
              <w:t>执行</w:t>
            </w:r>
            <w:r>
              <w:rPr>
                <w:rFonts w:hint="eastAsia"/>
                <w:color w:val="000000" w:themeColor="text1"/>
                <w14:textFill>
                  <w14:solidFill>
                    <w14:schemeClr w14:val="tx1"/>
                  </w14:solidFill>
                </w14:textFill>
              </w:rPr>
              <w:t>《环境空气质量标准》（GB 3095—2026）表1</w:t>
            </w:r>
            <w:r>
              <w:rPr>
                <w:color w:val="000000" w:themeColor="text1"/>
                <w14:textFill>
                  <w14:solidFill>
                    <w14:schemeClr w14:val="tx1"/>
                  </w14:solidFill>
                </w14:textFill>
              </w:rPr>
              <w:t>中的</w:t>
            </w:r>
            <w:r>
              <w:rPr>
                <w:rFonts w:hint="eastAsia"/>
                <w:color w:val="000000" w:themeColor="text1"/>
                <w14:textFill>
                  <w14:solidFill>
                    <w14:schemeClr w14:val="tx1"/>
                  </w14:solidFill>
                </w14:textFill>
              </w:rPr>
              <w:t>过渡阶段</w:t>
            </w:r>
            <w:r>
              <w:rPr>
                <w:color w:val="000000" w:themeColor="text1"/>
                <w14:textFill>
                  <w14:solidFill>
                    <w14:schemeClr w14:val="tx1"/>
                  </w14:solidFill>
                </w14:textFill>
              </w:rPr>
              <w:t>二级标准浓度限值</w:t>
            </w:r>
            <w:r>
              <w:rPr>
                <w:rFonts w:hint="eastAsia"/>
                <w:color w:val="000000" w:themeColor="text1"/>
                <w14:textFill>
                  <w14:solidFill>
                    <w14:schemeClr w14:val="tx1"/>
                  </w14:solidFill>
                </w14:textFill>
              </w:rPr>
              <w:t>（执行至2</w:t>
            </w:r>
            <w:r>
              <w:rPr>
                <w:color w:val="000000" w:themeColor="text1"/>
                <w14:textFill>
                  <w14:solidFill>
                    <w14:schemeClr w14:val="tx1"/>
                  </w14:solidFill>
                </w14:textFill>
              </w:rPr>
              <w:t>030</w:t>
            </w:r>
            <w:r>
              <w:rPr>
                <w:rFonts w:hint="eastAsia"/>
                <w:color w:val="000000" w:themeColor="text1"/>
                <w14:textFill>
                  <w14:solidFill>
                    <w14:schemeClr w14:val="tx1"/>
                  </w14:solidFill>
                </w14:textFill>
              </w:rPr>
              <w:t>年1</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月3</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日）以及基本项目</w:t>
            </w:r>
            <w:r>
              <w:rPr>
                <w:color w:val="000000" w:themeColor="text1"/>
                <w14:textFill>
                  <w14:solidFill>
                    <w14:schemeClr w14:val="tx1"/>
                  </w14:solidFill>
                </w14:textFill>
              </w:rPr>
              <w:t>二级标准浓度限值</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031年1月1日</w:t>
            </w:r>
            <w:r>
              <w:rPr>
                <w:rFonts w:hint="eastAsia"/>
                <w:color w:val="000000" w:themeColor="text1"/>
                <w14:textFill>
                  <w14:solidFill>
                    <w14:schemeClr w14:val="tx1"/>
                  </w14:solidFill>
                </w14:textFill>
              </w:rPr>
              <w:t>起执行）</w:t>
            </w:r>
            <w:r>
              <w:rPr>
                <w:color w:val="000000" w:themeColor="text1"/>
                <w14:textFill>
                  <w14:solidFill>
                    <w14:schemeClr w14:val="tx1"/>
                  </w14:solidFill>
                </w14:textFill>
              </w:rPr>
              <w:t>。</w:t>
            </w:r>
          </w:p>
          <w:p w14:paraId="03C2FE97">
            <w:pPr>
              <w:pStyle w:val="46"/>
            </w:pPr>
            <w:r>
              <w:t>表3-</w:t>
            </w:r>
            <w:r>
              <w:rPr>
                <w:rFonts w:hint="eastAsia"/>
              </w:rPr>
              <w:t>6</w:t>
            </w:r>
            <w:r>
              <w:t xml:space="preserve"> </w:t>
            </w:r>
            <w:r>
              <w:rPr>
                <w:rFonts w:hint="eastAsia"/>
              </w:rPr>
              <w:t>环境空气质量标准</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1685"/>
              <w:gridCol w:w="2529"/>
              <w:gridCol w:w="1807"/>
              <w:gridCol w:w="696"/>
            </w:tblGrid>
            <w:tr w14:paraId="2FF39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Align w:val="center"/>
                </w:tcPr>
                <w:p w14:paraId="6CA75973">
                  <w:pPr>
                    <w:pStyle w:val="43"/>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109" w:type="pct"/>
                  <w:vAlign w:val="center"/>
                </w:tcPr>
                <w:p w14:paraId="517704B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平均时间</w:t>
                  </w:r>
                </w:p>
              </w:tc>
              <w:tc>
                <w:tcPr>
                  <w:tcW w:w="1664" w:type="pct"/>
                  <w:vAlign w:val="center"/>
                </w:tcPr>
                <w:p w14:paraId="5DFD908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过渡阶段二级标准</w:t>
                  </w:r>
                  <w:r>
                    <w:rPr>
                      <w:color w:val="000000" w:themeColor="text1"/>
                      <w14:textFill>
                        <w14:solidFill>
                          <w14:schemeClr w14:val="tx1"/>
                        </w14:solidFill>
                      </w14:textFill>
                    </w:rPr>
                    <w:t>浓度限值</w:t>
                  </w:r>
                </w:p>
              </w:tc>
              <w:tc>
                <w:tcPr>
                  <w:tcW w:w="1189" w:type="pct"/>
                  <w:vAlign w:val="center"/>
                </w:tcPr>
                <w:p w14:paraId="6B1F6F0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二级标准</w:t>
                  </w:r>
                  <w:r>
                    <w:rPr>
                      <w:color w:val="000000" w:themeColor="text1"/>
                      <w14:textFill>
                        <w14:solidFill>
                          <w14:schemeClr w14:val="tx1"/>
                        </w14:solidFill>
                      </w14:textFill>
                    </w:rPr>
                    <w:t>浓度限值</w:t>
                  </w:r>
                </w:p>
              </w:tc>
              <w:tc>
                <w:tcPr>
                  <w:tcW w:w="456" w:type="pct"/>
                  <w:vAlign w:val="center"/>
                </w:tcPr>
                <w:p w14:paraId="2BF7D85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r>
            <w:tr w14:paraId="259B75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447002C8">
                  <w:pPr>
                    <w:pStyle w:val="43"/>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109" w:type="pct"/>
                  <w:vAlign w:val="center"/>
                </w:tcPr>
                <w:p w14:paraId="182787C7">
                  <w:pPr>
                    <w:pStyle w:val="43"/>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664" w:type="pct"/>
                  <w:vAlign w:val="center"/>
                </w:tcPr>
                <w:p w14:paraId="3F909DF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1189" w:type="pct"/>
                  <w:vAlign w:val="center"/>
                </w:tcPr>
                <w:p w14:paraId="2A08907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p>
              </w:tc>
              <w:tc>
                <w:tcPr>
                  <w:tcW w:w="456" w:type="pct"/>
                  <w:vMerge w:val="restart"/>
                  <w:vAlign w:val="center"/>
                </w:tcPr>
                <w:p w14:paraId="774361A6">
                  <w:pPr>
                    <w:pStyle w:val="43"/>
                    <w:rPr>
                      <w:color w:val="000000" w:themeColor="text1"/>
                      <w14:textFill>
                        <w14:solidFill>
                          <w14:schemeClr w14:val="tx1"/>
                        </w14:solidFill>
                      </w14:textFill>
                    </w:rPr>
                  </w:pPr>
                  <w:r>
                    <w:rPr>
                      <w:color w:val="000000" w:themeColor="text1"/>
                      <w14:textFill>
                        <w14:solidFill>
                          <w14:schemeClr w14:val="tx1"/>
                        </w14:solidFill>
                      </w14:textFill>
                    </w:rPr>
                    <w:t>µg/m</w:t>
                  </w:r>
                  <w:r>
                    <w:rPr>
                      <w:color w:val="000000" w:themeColor="text1"/>
                      <w:vertAlign w:val="superscript"/>
                      <w14:textFill>
                        <w14:solidFill>
                          <w14:schemeClr w14:val="tx1"/>
                        </w14:solidFill>
                      </w14:textFill>
                    </w:rPr>
                    <w:t>3</w:t>
                  </w:r>
                </w:p>
              </w:tc>
            </w:tr>
            <w:tr w14:paraId="47474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79F01773">
                  <w:pPr>
                    <w:pStyle w:val="43"/>
                    <w:rPr>
                      <w:color w:val="000000" w:themeColor="text1"/>
                      <w14:textFill>
                        <w14:solidFill>
                          <w14:schemeClr w14:val="tx1"/>
                        </w14:solidFill>
                      </w14:textFill>
                    </w:rPr>
                  </w:pPr>
                </w:p>
              </w:tc>
              <w:tc>
                <w:tcPr>
                  <w:tcW w:w="1109" w:type="pct"/>
                  <w:vAlign w:val="center"/>
                </w:tcPr>
                <w:p w14:paraId="0AC09D9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日</w:t>
                  </w:r>
                  <w:r>
                    <w:rPr>
                      <w:color w:val="000000" w:themeColor="text1"/>
                      <w14:textFill>
                        <w14:solidFill>
                          <w14:schemeClr w14:val="tx1"/>
                        </w14:solidFill>
                      </w14:textFill>
                    </w:rPr>
                    <w:t>平均</w:t>
                  </w:r>
                </w:p>
              </w:tc>
              <w:tc>
                <w:tcPr>
                  <w:tcW w:w="1664" w:type="pct"/>
                  <w:vAlign w:val="center"/>
                </w:tcPr>
                <w:p w14:paraId="1A69E18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50</w:t>
                  </w:r>
                </w:p>
              </w:tc>
              <w:tc>
                <w:tcPr>
                  <w:tcW w:w="1189" w:type="pct"/>
                  <w:vAlign w:val="center"/>
                </w:tcPr>
                <w:p w14:paraId="6AFEAD3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456" w:type="pct"/>
                  <w:vMerge w:val="continue"/>
                  <w:vAlign w:val="center"/>
                </w:tcPr>
                <w:p w14:paraId="55BB7799">
                  <w:pPr>
                    <w:pStyle w:val="43"/>
                    <w:rPr>
                      <w:color w:val="000000" w:themeColor="text1"/>
                      <w14:textFill>
                        <w14:solidFill>
                          <w14:schemeClr w14:val="tx1"/>
                        </w14:solidFill>
                      </w14:textFill>
                    </w:rPr>
                  </w:pPr>
                </w:p>
              </w:tc>
            </w:tr>
            <w:tr w14:paraId="25ABC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6DBFD0CC">
                  <w:pPr>
                    <w:pStyle w:val="43"/>
                    <w:rPr>
                      <w:color w:val="000000" w:themeColor="text1"/>
                      <w14:textFill>
                        <w14:solidFill>
                          <w14:schemeClr w14:val="tx1"/>
                        </w14:solidFill>
                      </w14:textFill>
                    </w:rPr>
                  </w:pPr>
                </w:p>
              </w:tc>
              <w:tc>
                <w:tcPr>
                  <w:tcW w:w="1109" w:type="pct"/>
                  <w:vAlign w:val="center"/>
                </w:tcPr>
                <w:p w14:paraId="72BA1A4B">
                  <w:pPr>
                    <w:pStyle w:val="43"/>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664" w:type="pct"/>
                  <w:vAlign w:val="center"/>
                </w:tcPr>
                <w:p w14:paraId="688F969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00</w:t>
                  </w:r>
                </w:p>
              </w:tc>
              <w:tc>
                <w:tcPr>
                  <w:tcW w:w="1189" w:type="pct"/>
                  <w:vAlign w:val="center"/>
                </w:tcPr>
                <w:p w14:paraId="67904B7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50</w:t>
                  </w:r>
                </w:p>
              </w:tc>
              <w:tc>
                <w:tcPr>
                  <w:tcW w:w="456" w:type="pct"/>
                  <w:vMerge w:val="continue"/>
                  <w:vAlign w:val="center"/>
                </w:tcPr>
                <w:p w14:paraId="4747342E">
                  <w:pPr>
                    <w:pStyle w:val="43"/>
                    <w:rPr>
                      <w:color w:val="000000" w:themeColor="text1"/>
                      <w14:textFill>
                        <w14:solidFill>
                          <w14:schemeClr w14:val="tx1"/>
                        </w14:solidFill>
                      </w14:textFill>
                    </w:rPr>
                  </w:pPr>
                </w:p>
              </w:tc>
            </w:tr>
            <w:tr w14:paraId="0DEE10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3BC26E2E">
                  <w:pPr>
                    <w:pStyle w:val="43"/>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109" w:type="pct"/>
                  <w:vAlign w:val="center"/>
                </w:tcPr>
                <w:p w14:paraId="2D09A50B">
                  <w:pPr>
                    <w:pStyle w:val="43"/>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664" w:type="pct"/>
                  <w:vAlign w:val="center"/>
                </w:tcPr>
                <w:p w14:paraId="660D51A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0</w:t>
                  </w:r>
                </w:p>
              </w:tc>
              <w:tc>
                <w:tcPr>
                  <w:tcW w:w="1189" w:type="pct"/>
                  <w:vAlign w:val="center"/>
                </w:tcPr>
                <w:p w14:paraId="2802C93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456" w:type="pct"/>
                  <w:vMerge w:val="continue"/>
                  <w:vAlign w:val="center"/>
                </w:tcPr>
                <w:p w14:paraId="361DF241">
                  <w:pPr>
                    <w:pStyle w:val="43"/>
                    <w:rPr>
                      <w:color w:val="000000" w:themeColor="text1"/>
                      <w14:textFill>
                        <w14:solidFill>
                          <w14:schemeClr w14:val="tx1"/>
                        </w14:solidFill>
                      </w14:textFill>
                    </w:rPr>
                  </w:pPr>
                </w:p>
              </w:tc>
            </w:tr>
            <w:tr w14:paraId="390BEF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128FA8DC">
                  <w:pPr>
                    <w:pStyle w:val="43"/>
                    <w:rPr>
                      <w:color w:val="000000" w:themeColor="text1"/>
                      <w14:textFill>
                        <w14:solidFill>
                          <w14:schemeClr w14:val="tx1"/>
                        </w14:solidFill>
                      </w14:textFill>
                    </w:rPr>
                  </w:pPr>
                </w:p>
              </w:tc>
              <w:tc>
                <w:tcPr>
                  <w:tcW w:w="1109" w:type="pct"/>
                  <w:vAlign w:val="center"/>
                </w:tcPr>
                <w:p w14:paraId="2C4DBA3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日</w:t>
                  </w:r>
                  <w:r>
                    <w:rPr>
                      <w:color w:val="000000" w:themeColor="text1"/>
                      <w14:textFill>
                        <w14:solidFill>
                          <w14:schemeClr w14:val="tx1"/>
                        </w14:solidFill>
                      </w14:textFill>
                    </w:rPr>
                    <w:t>平均</w:t>
                  </w:r>
                </w:p>
              </w:tc>
              <w:tc>
                <w:tcPr>
                  <w:tcW w:w="1664" w:type="pct"/>
                  <w:vAlign w:val="center"/>
                </w:tcPr>
                <w:p w14:paraId="3CEDB5F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0</w:t>
                  </w:r>
                </w:p>
              </w:tc>
              <w:tc>
                <w:tcPr>
                  <w:tcW w:w="1189" w:type="pct"/>
                  <w:vAlign w:val="center"/>
                </w:tcPr>
                <w:p w14:paraId="066A5A0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456" w:type="pct"/>
                  <w:vMerge w:val="continue"/>
                  <w:vAlign w:val="center"/>
                </w:tcPr>
                <w:p w14:paraId="731B1A1F">
                  <w:pPr>
                    <w:pStyle w:val="43"/>
                    <w:rPr>
                      <w:color w:val="000000" w:themeColor="text1"/>
                      <w14:textFill>
                        <w14:solidFill>
                          <w14:schemeClr w14:val="tx1"/>
                        </w14:solidFill>
                      </w14:textFill>
                    </w:rPr>
                  </w:pPr>
                </w:p>
              </w:tc>
            </w:tr>
            <w:tr w14:paraId="0D036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467ED43B">
                  <w:pPr>
                    <w:pStyle w:val="43"/>
                    <w:rPr>
                      <w:color w:val="000000" w:themeColor="text1"/>
                      <w14:textFill>
                        <w14:solidFill>
                          <w14:schemeClr w14:val="tx1"/>
                        </w14:solidFill>
                      </w14:textFill>
                    </w:rPr>
                  </w:pPr>
                </w:p>
              </w:tc>
              <w:tc>
                <w:tcPr>
                  <w:tcW w:w="1109" w:type="pct"/>
                  <w:vAlign w:val="center"/>
                </w:tcPr>
                <w:p w14:paraId="0AA0AE15">
                  <w:pPr>
                    <w:pStyle w:val="43"/>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664" w:type="pct"/>
                  <w:vAlign w:val="center"/>
                </w:tcPr>
                <w:p w14:paraId="51431C8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1189" w:type="pct"/>
                  <w:vAlign w:val="center"/>
                </w:tcPr>
                <w:p w14:paraId="16A9D95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456" w:type="pct"/>
                  <w:vMerge w:val="continue"/>
                  <w:vAlign w:val="center"/>
                </w:tcPr>
                <w:p w14:paraId="55E6D457">
                  <w:pPr>
                    <w:pStyle w:val="43"/>
                    <w:rPr>
                      <w:color w:val="000000" w:themeColor="text1"/>
                      <w14:textFill>
                        <w14:solidFill>
                          <w14:schemeClr w14:val="tx1"/>
                        </w14:solidFill>
                      </w14:textFill>
                    </w:rPr>
                  </w:pPr>
                </w:p>
              </w:tc>
            </w:tr>
            <w:tr w14:paraId="0029B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488E2CC2">
                  <w:pPr>
                    <w:pStyle w:val="43"/>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109" w:type="pct"/>
                  <w:vAlign w:val="center"/>
                </w:tcPr>
                <w:p w14:paraId="1157E47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日</w:t>
                  </w:r>
                  <w:r>
                    <w:rPr>
                      <w:color w:val="000000" w:themeColor="text1"/>
                      <w14:textFill>
                        <w14:solidFill>
                          <w14:schemeClr w14:val="tx1"/>
                        </w14:solidFill>
                      </w14:textFill>
                    </w:rPr>
                    <w:t>平均</w:t>
                  </w:r>
                </w:p>
              </w:tc>
              <w:tc>
                <w:tcPr>
                  <w:tcW w:w="1664" w:type="pct"/>
                  <w:vAlign w:val="center"/>
                </w:tcPr>
                <w:p w14:paraId="73E433B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189" w:type="pct"/>
                  <w:vAlign w:val="center"/>
                </w:tcPr>
                <w:p w14:paraId="14A1042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56" w:type="pct"/>
                  <w:vMerge w:val="restart"/>
                  <w:vAlign w:val="center"/>
                </w:tcPr>
                <w:p w14:paraId="566A75E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mg</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p>
              </w:tc>
            </w:tr>
            <w:tr w14:paraId="51A13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06443EFA">
                  <w:pPr>
                    <w:pStyle w:val="43"/>
                    <w:rPr>
                      <w:color w:val="000000" w:themeColor="text1"/>
                      <w14:textFill>
                        <w14:solidFill>
                          <w14:schemeClr w14:val="tx1"/>
                        </w14:solidFill>
                      </w14:textFill>
                    </w:rPr>
                  </w:pPr>
                </w:p>
              </w:tc>
              <w:tc>
                <w:tcPr>
                  <w:tcW w:w="1109" w:type="pct"/>
                  <w:vAlign w:val="center"/>
                </w:tcPr>
                <w:p w14:paraId="0330BEE9">
                  <w:pPr>
                    <w:pStyle w:val="43"/>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664" w:type="pct"/>
                  <w:vAlign w:val="center"/>
                </w:tcPr>
                <w:p w14:paraId="0018AC1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1189" w:type="pct"/>
                  <w:vAlign w:val="center"/>
                </w:tcPr>
                <w:p w14:paraId="4D8DBD3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456" w:type="pct"/>
                  <w:vMerge w:val="continue"/>
                  <w:vAlign w:val="center"/>
                </w:tcPr>
                <w:p w14:paraId="36111D08">
                  <w:pPr>
                    <w:pStyle w:val="43"/>
                    <w:rPr>
                      <w:color w:val="000000" w:themeColor="text1"/>
                      <w14:textFill>
                        <w14:solidFill>
                          <w14:schemeClr w14:val="tx1"/>
                        </w14:solidFill>
                      </w14:textFill>
                    </w:rPr>
                  </w:pPr>
                </w:p>
              </w:tc>
            </w:tr>
            <w:tr w14:paraId="35A4E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3A9ACBDC">
                  <w:pPr>
                    <w:pStyle w:val="43"/>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1109" w:type="pct"/>
                  <w:vAlign w:val="center"/>
                </w:tcPr>
                <w:p w14:paraId="5F8B93C2">
                  <w:pPr>
                    <w:pStyle w:val="43"/>
                    <w:rPr>
                      <w:color w:val="000000" w:themeColor="text1"/>
                      <w14:textFill>
                        <w14:solidFill>
                          <w14:schemeClr w14:val="tx1"/>
                        </w14:solidFill>
                      </w14:textFill>
                    </w:rPr>
                  </w:pPr>
                  <w:r>
                    <w:rPr>
                      <w:color w:val="000000" w:themeColor="text1"/>
                      <w14:textFill>
                        <w14:solidFill>
                          <w14:schemeClr w14:val="tx1"/>
                        </w14:solidFill>
                      </w14:textFill>
                    </w:rPr>
                    <w:t>日</w:t>
                  </w:r>
                  <w:r>
                    <w:rPr>
                      <w:rFonts w:hint="eastAsia"/>
                      <w:color w:val="000000" w:themeColor="text1"/>
                      <w14:textFill>
                        <w14:solidFill>
                          <w14:schemeClr w14:val="tx1"/>
                        </w14:solidFill>
                      </w14:textFill>
                    </w:rPr>
                    <w:t>最大8</w:t>
                  </w:r>
                  <w:r>
                    <w:rPr>
                      <w:color w:val="000000" w:themeColor="text1"/>
                      <w14:textFill>
                        <w14:solidFill>
                          <w14:schemeClr w14:val="tx1"/>
                        </w14:solidFill>
                      </w14:textFill>
                    </w:rPr>
                    <w:t>小时平均</w:t>
                  </w:r>
                </w:p>
              </w:tc>
              <w:tc>
                <w:tcPr>
                  <w:tcW w:w="1664" w:type="pct"/>
                  <w:vAlign w:val="center"/>
                </w:tcPr>
                <w:p w14:paraId="08B0555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60</w:t>
                  </w:r>
                </w:p>
              </w:tc>
              <w:tc>
                <w:tcPr>
                  <w:tcW w:w="1189" w:type="pct"/>
                  <w:vAlign w:val="center"/>
                </w:tcPr>
                <w:p w14:paraId="6FC6B89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60</w:t>
                  </w:r>
                </w:p>
              </w:tc>
              <w:tc>
                <w:tcPr>
                  <w:tcW w:w="456" w:type="pct"/>
                  <w:vMerge w:val="restart"/>
                  <w:vAlign w:val="center"/>
                </w:tcPr>
                <w:p w14:paraId="3BB6EB26">
                  <w:pPr>
                    <w:pStyle w:val="43"/>
                    <w:rPr>
                      <w:color w:val="000000" w:themeColor="text1"/>
                      <w14:textFill>
                        <w14:solidFill>
                          <w14:schemeClr w14:val="tx1"/>
                        </w14:solidFill>
                      </w14:textFill>
                    </w:rPr>
                  </w:pPr>
                  <w:r>
                    <w:rPr>
                      <w:color w:val="000000" w:themeColor="text1"/>
                      <w14:textFill>
                        <w14:solidFill>
                          <w14:schemeClr w14:val="tx1"/>
                        </w14:solidFill>
                      </w14:textFill>
                    </w:rPr>
                    <w:t>µg/m</w:t>
                  </w:r>
                  <w:r>
                    <w:rPr>
                      <w:color w:val="000000" w:themeColor="text1"/>
                      <w:vertAlign w:val="superscript"/>
                      <w14:textFill>
                        <w14:solidFill>
                          <w14:schemeClr w14:val="tx1"/>
                        </w14:solidFill>
                      </w14:textFill>
                    </w:rPr>
                    <w:t>3</w:t>
                  </w:r>
                </w:p>
              </w:tc>
            </w:tr>
            <w:tr w14:paraId="105027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73685876">
                  <w:pPr>
                    <w:pStyle w:val="43"/>
                    <w:rPr>
                      <w:color w:val="000000" w:themeColor="text1"/>
                      <w14:textFill>
                        <w14:solidFill>
                          <w14:schemeClr w14:val="tx1"/>
                        </w14:solidFill>
                      </w14:textFill>
                    </w:rPr>
                  </w:pPr>
                </w:p>
              </w:tc>
              <w:tc>
                <w:tcPr>
                  <w:tcW w:w="1109" w:type="pct"/>
                  <w:vAlign w:val="center"/>
                </w:tcPr>
                <w:p w14:paraId="0516AC9E">
                  <w:pPr>
                    <w:pStyle w:val="43"/>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664" w:type="pct"/>
                  <w:vAlign w:val="center"/>
                </w:tcPr>
                <w:p w14:paraId="51E8E5B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1189" w:type="pct"/>
                  <w:vAlign w:val="center"/>
                </w:tcPr>
                <w:p w14:paraId="6EC17FC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c>
                <w:tcPr>
                  <w:tcW w:w="456" w:type="pct"/>
                  <w:vMerge w:val="continue"/>
                  <w:vAlign w:val="center"/>
                </w:tcPr>
                <w:p w14:paraId="73A498FE">
                  <w:pPr>
                    <w:pStyle w:val="43"/>
                    <w:rPr>
                      <w:color w:val="000000" w:themeColor="text1"/>
                      <w14:textFill>
                        <w14:solidFill>
                          <w14:schemeClr w14:val="tx1"/>
                        </w14:solidFill>
                      </w14:textFill>
                    </w:rPr>
                  </w:pPr>
                </w:p>
              </w:tc>
            </w:tr>
            <w:tr w14:paraId="0C77A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38E63F57">
                  <w:pPr>
                    <w:pStyle w:val="43"/>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109" w:type="pct"/>
                  <w:vAlign w:val="center"/>
                </w:tcPr>
                <w:p w14:paraId="7418CA6A">
                  <w:pPr>
                    <w:pStyle w:val="43"/>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664" w:type="pct"/>
                  <w:vAlign w:val="center"/>
                </w:tcPr>
                <w:p w14:paraId="761A2E3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1189" w:type="pct"/>
                  <w:vAlign w:val="center"/>
                </w:tcPr>
                <w:p w14:paraId="656C72A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456" w:type="pct"/>
                  <w:vMerge w:val="continue"/>
                  <w:vAlign w:val="center"/>
                </w:tcPr>
                <w:p w14:paraId="464EE6CC">
                  <w:pPr>
                    <w:pStyle w:val="43"/>
                    <w:rPr>
                      <w:color w:val="000000" w:themeColor="text1"/>
                      <w14:textFill>
                        <w14:solidFill>
                          <w14:schemeClr w14:val="tx1"/>
                        </w14:solidFill>
                      </w14:textFill>
                    </w:rPr>
                  </w:pPr>
                </w:p>
              </w:tc>
            </w:tr>
            <w:tr w14:paraId="2A5A95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4AA0A4EB">
                  <w:pPr>
                    <w:pStyle w:val="43"/>
                    <w:rPr>
                      <w:color w:val="000000" w:themeColor="text1"/>
                      <w14:textFill>
                        <w14:solidFill>
                          <w14:schemeClr w14:val="tx1"/>
                        </w14:solidFill>
                      </w14:textFill>
                    </w:rPr>
                  </w:pPr>
                </w:p>
              </w:tc>
              <w:tc>
                <w:tcPr>
                  <w:tcW w:w="1109" w:type="pct"/>
                  <w:vAlign w:val="center"/>
                </w:tcPr>
                <w:p w14:paraId="0FE39F3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日</w:t>
                  </w:r>
                  <w:r>
                    <w:rPr>
                      <w:color w:val="000000" w:themeColor="text1"/>
                      <w14:textFill>
                        <w14:solidFill>
                          <w14:schemeClr w14:val="tx1"/>
                        </w14:solidFill>
                      </w14:textFill>
                    </w:rPr>
                    <w:t>平均</w:t>
                  </w:r>
                </w:p>
              </w:tc>
              <w:tc>
                <w:tcPr>
                  <w:tcW w:w="1664" w:type="pct"/>
                  <w:vAlign w:val="center"/>
                </w:tcPr>
                <w:p w14:paraId="2A5FE4A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20</w:t>
                  </w:r>
                </w:p>
              </w:tc>
              <w:tc>
                <w:tcPr>
                  <w:tcW w:w="1189" w:type="pct"/>
                  <w:vAlign w:val="center"/>
                </w:tcPr>
                <w:p w14:paraId="3BD30B0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00</w:t>
                  </w:r>
                </w:p>
              </w:tc>
              <w:tc>
                <w:tcPr>
                  <w:tcW w:w="456" w:type="pct"/>
                  <w:vMerge w:val="continue"/>
                  <w:vAlign w:val="center"/>
                </w:tcPr>
                <w:p w14:paraId="77BF6649">
                  <w:pPr>
                    <w:pStyle w:val="43"/>
                    <w:rPr>
                      <w:color w:val="000000" w:themeColor="text1"/>
                      <w14:textFill>
                        <w14:solidFill>
                          <w14:schemeClr w14:val="tx1"/>
                        </w14:solidFill>
                      </w14:textFill>
                    </w:rPr>
                  </w:pPr>
                </w:p>
              </w:tc>
            </w:tr>
            <w:tr w14:paraId="2BA1B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restart"/>
                  <w:vAlign w:val="center"/>
                </w:tcPr>
                <w:p w14:paraId="7D974C1E">
                  <w:pPr>
                    <w:pStyle w:val="43"/>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109" w:type="pct"/>
                  <w:vAlign w:val="center"/>
                </w:tcPr>
                <w:p w14:paraId="305011BC">
                  <w:pPr>
                    <w:pStyle w:val="43"/>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664" w:type="pct"/>
                  <w:vAlign w:val="center"/>
                </w:tcPr>
                <w:p w14:paraId="0AC5367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w:t>
                  </w:r>
                </w:p>
              </w:tc>
              <w:tc>
                <w:tcPr>
                  <w:tcW w:w="1189" w:type="pct"/>
                  <w:vAlign w:val="center"/>
                </w:tcPr>
                <w:p w14:paraId="4AC611B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5</w:t>
                  </w:r>
                </w:p>
              </w:tc>
              <w:tc>
                <w:tcPr>
                  <w:tcW w:w="456" w:type="pct"/>
                  <w:vMerge w:val="continue"/>
                  <w:vAlign w:val="center"/>
                </w:tcPr>
                <w:p w14:paraId="6C6943E3">
                  <w:pPr>
                    <w:pStyle w:val="43"/>
                    <w:rPr>
                      <w:color w:val="000000" w:themeColor="text1"/>
                      <w14:textFill>
                        <w14:solidFill>
                          <w14:schemeClr w14:val="tx1"/>
                        </w14:solidFill>
                      </w14:textFill>
                    </w:rPr>
                  </w:pPr>
                </w:p>
              </w:tc>
            </w:tr>
            <w:tr w14:paraId="185D4E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82" w:type="pct"/>
                  <w:vMerge w:val="continue"/>
                  <w:vAlign w:val="center"/>
                </w:tcPr>
                <w:p w14:paraId="76F15C34">
                  <w:pPr>
                    <w:pStyle w:val="43"/>
                    <w:rPr>
                      <w:color w:val="000000" w:themeColor="text1"/>
                      <w14:textFill>
                        <w14:solidFill>
                          <w14:schemeClr w14:val="tx1"/>
                        </w14:solidFill>
                      </w14:textFill>
                    </w:rPr>
                  </w:pPr>
                </w:p>
              </w:tc>
              <w:tc>
                <w:tcPr>
                  <w:tcW w:w="1109" w:type="pct"/>
                  <w:vAlign w:val="center"/>
                </w:tcPr>
                <w:p w14:paraId="246B278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日</w:t>
                  </w:r>
                  <w:r>
                    <w:rPr>
                      <w:color w:val="000000" w:themeColor="text1"/>
                      <w14:textFill>
                        <w14:solidFill>
                          <w14:schemeClr w14:val="tx1"/>
                        </w14:solidFill>
                      </w14:textFill>
                    </w:rPr>
                    <w:t>平均</w:t>
                  </w:r>
                </w:p>
              </w:tc>
              <w:tc>
                <w:tcPr>
                  <w:tcW w:w="1664" w:type="pct"/>
                  <w:vAlign w:val="center"/>
                </w:tcPr>
                <w:p w14:paraId="3DD7805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1189" w:type="pct"/>
                  <w:vAlign w:val="center"/>
                </w:tcPr>
                <w:p w14:paraId="0F645D5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456" w:type="pct"/>
                  <w:vMerge w:val="continue"/>
                  <w:vAlign w:val="center"/>
                </w:tcPr>
                <w:p w14:paraId="46AAAF8E">
                  <w:pPr>
                    <w:pStyle w:val="43"/>
                    <w:rPr>
                      <w:color w:val="000000" w:themeColor="text1"/>
                      <w14:textFill>
                        <w14:solidFill>
                          <w14:schemeClr w14:val="tx1"/>
                        </w14:solidFill>
                      </w14:textFill>
                    </w:rPr>
                  </w:pPr>
                </w:p>
              </w:tc>
            </w:tr>
            <w:tr w14:paraId="5AE1A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5"/>
                  <w:vAlign w:val="center"/>
                </w:tcPr>
                <w:p w14:paraId="1A710AD0">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注：该标准自实施之日起至2030年12月31日，环境空气污染物基本项目实施过渡阶段浓度限值；2031年1月1日起，在全国范围内实施基本项目浓度限值。</w:t>
                  </w:r>
                </w:p>
              </w:tc>
            </w:tr>
          </w:tbl>
          <w:p w14:paraId="6536842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2、声环境</w:t>
            </w:r>
          </w:p>
          <w:p w14:paraId="77787B8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w:t>
            </w:r>
            <w:r>
              <w:rPr>
                <w:color w:val="000000" w:themeColor="text1"/>
                <w14:textFill>
                  <w14:solidFill>
                    <w14:schemeClr w14:val="tx1"/>
                  </w14:solidFill>
                </w14:textFill>
              </w:rPr>
              <w:t>项目声环境</w:t>
            </w:r>
            <w:r>
              <w:rPr>
                <w:rFonts w:hint="eastAsia"/>
                <w:color w:val="000000" w:themeColor="text1"/>
                <w14:textFill>
                  <w14:solidFill>
                    <w14:schemeClr w14:val="tx1"/>
                  </w14:solidFill>
                </w14:textFill>
              </w:rPr>
              <w:t>质量标准</w:t>
            </w:r>
            <w:r>
              <w:rPr>
                <w:color w:val="000000" w:themeColor="text1"/>
                <w14:textFill>
                  <w14:solidFill>
                    <w14:schemeClr w14:val="tx1"/>
                  </w14:solidFill>
                </w14:textFill>
              </w:rPr>
              <w:t>执行《声环境质量标准》（GB3096-2008）中的2类标准。</w:t>
            </w:r>
          </w:p>
          <w:p w14:paraId="642795B9">
            <w:pPr>
              <w:pStyle w:val="46"/>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声环境质量标准</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996"/>
              <w:gridCol w:w="1558"/>
              <w:gridCol w:w="1677"/>
              <w:gridCol w:w="3370"/>
            </w:tblGrid>
            <w:tr w14:paraId="12213D1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Merge w:val="restart"/>
                  <w:vAlign w:val="center"/>
                </w:tcPr>
                <w:p w14:paraId="5DA7D683">
                  <w:pPr>
                    <w:pStyle w:val="43"/>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2128" w:type="pct"/>
                  <w:gridSpan w:val="2"/>
                  <w:vAlign w:val="center"/>
                </w:tcPr>
                <w:p w14:paraId="0ADD468B">
                  <w:pPr>
                    <w:pStyle w:val="43"/>
                    <w:rPr>
                      <w:color w:val="000000" w:themeColor="text1"/>
                      <w14:textFill>
                        <w14:solidFill>
                          <w14:schemeClr w14:val="tx1"/>
                        </w14:solidFill>
                      </w14:textFill>
                    </w:rPr>
                  </w:pPr>
                  <w:r>
                    <w:rPr>
                      <w:color w:val="000000" w:themeColor="text1"/>
                      <w14:textFill>
                        <w14:solidFill>
                          <w14:schemeClr w14:val="tx1"/>
                        </w14:solidFill>
                      </w14:textFill>
                    </w:rPr>
                    <w:t>环境噪声标准值 dB(A)</w:t>
                  </w:r>
                </w:p>
              </w:tc>
              <w:tc>
                <w:tcPr>
                  <w:tcW w:w="2217" w:type="pct"/>
                  <w:vMerge w:val="restart"/>
                  <w:tcMar>
                    <w:left w:w="57" w:type="dxa"/>
                    <w:right w:w="57" w:type="dxa"/>
                  </w:tcMar>
                  <w:vAlign w:val="center"/>
                </w:tcPr>
                <w:p w14:paraId="65E80C00">
                  <w:pPr>
                    <w:pStyle w:val="43"/>
                    <w:rPr>
                      <w:color w:val="000000" w:themeColor="text1"/>
                      <w14:textFill>
                        <w14:solidFill>
                          <w14:schemeClr w14:val="tx1"/>
                        </w14:solidFill>
                      </w14:textFill>
                    </w:rPr>
                  </w:pPr>
                  <w:r>
                    <w:rPr>
                      <w:color w:val="000000" w:themeColor="text1"/>
                      <w14:textFill>
                        <w14:solidFill>
                          <w14:schemeClr w14:val="tx1"/>
                        </w14:solidFill>
                      </w14:textFill>
                    </w:rPr>
                    <w:t>标准来源</w:t>
                  </w:r>
                </w:p>
              </w:tc>
            </w:tr>
            <w:tr w14:paraId="27860A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Merge w:val="continue"/>
                  <w:vAlign w:val="center"/>
                </w:tcPr>
                <w:p w14:paraId="20321E3C">
                  <w:pPr>
                    <w:pStyle w:val="43"/>
                    <w:rPr>
                      <w:color w:val="000000" w:themeColor="text1"/>
                      <w14:textFill>
                        <w14:solidFill>
                          <w14:schemeClr w14:val="tx1"/>
                        </w14:solidFill>
                      </w14:textFill>
                    </w:rPr>
                  </w:pPr>
                </w:p>
              </w:tc>
              <w:tc>
                <w:tcPr>
                  <w:tcW w:w="1025" w:type="pct"/>
                  <w:vAlign w:val="center"/>
                </w:tcPr>
                <w:p w14:paraId="3DBEAD14">
                  <w:pPr>
                    <w:pStyle w:val="43"/>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1103" w:type="pct"/>
                  <w:vAlign w:val="center"/>
                </w:tcPr>
                <w:p w14:paraId="5702A477">
                  <w:pPr>
                    <w:pStyle w:val="43"/>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2217" w:type="pct"/>
                  <w:vMerge w:val="continue"/>
                  <w:tcMar>
                    <w:left w:w="57" w:type="dxa"/>
                    <w:right w:w="57" w:type="dxa"/>
                  </w:tcMar>
                  <w:vAlign w:val="center"/>
                </w:tcPr>
                <w:p w14:paraId="1B6C5F05">
                  <w:pPr>
                    <w:pStyle w:val="43"/>
                    <w:rPr>
                      <w:color w:val="000000" w:themeColor="text1"/>
                      <w14:textFill>
                        <w14:solidFill>
                          <w14:schemeClr w14:val="tx1"/>
                        </w14:solidFill>
                      </w14:textFill>
                    </w:rPr>
                  </w:pPr>
                </w:p>
              </w:tc>
            </w:tr>
            <w:tr w14:paraId="557A2E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jc w:val="center"/>
              </w:trPr>
              <w:tc>
                <w:tcPr>
                  <w:tcW w:w="655" w:type="pct"/>
                  <w:vAlign w:val="center"/>
                </w:tcPr>
                <w:p w14:paraId="5C5FC939">
                  <w:pPr>
                    <w:pStyle w:val="43"/>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1025" w:type="pct"/>
                  <w:vAlign w:val="center"/>
                </w:tcPr>
                <w:p w14:paraId="61B77695">
                  <w:pPr>
                    <w:pStyle w:val="43"/>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103" w:type="pct"/>
                  <w:vAlign w:val="center"/>
                </w:tcPr>
                <w:p w14:paraId="564D1B07">
                  <w:pPr>
                    <w:pStyle w:val="43"/>
                    <w:rPr>
                      <w:color w:val="000000" w:themeColor="text1"/>
                      <w14:textFill>
                        <w14:solidFill>
                          <w14:schemeClr w14:val="tx1"/>
                        </w14:solidFill>
                      </w14:textFill>
                    </w:rPr>
                  </w:pPr>
                  <w:r>
                    <w:rPr>
                      <w:color w:val="000000" w:themeColor="text1"/>
                      <w14:textFill>
                        <w14:solidFill>
                          <w14:schemeClr w14:val="tx1"/>
                        </w14:solidFill>
                      </w14:textFill>
                    </w:rPr>
                    <w:t>50</w:t>
                  </w:r>
                </w:p>
              </w:tc>
              <w:tc>
                <w:tcPr>
                  <w:tcW w:w="2217" w:type="pct"/>
                  <w:tcMar>
                    <w:left w:w="57" w:type="dxa"/>
                    <w:right w:w="57" w:type="dxa"/>
                  </w:tcMar>
                  <w:vAlign w:val="center"/>
                </w:tcPr>
                <w:p w14:paraId="6712C0C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《声环境质量标准》（GB3096-2008）</w:t>
                  </w:r>
                </w:p>
              </w:tc>
            </w:tr>
          </w:tbl>
          <w:p w14:paraId="4B5B303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、地表水环境质量标准</w:t>
            </w:r>
          </w:p>
          <w:p w14:paraId="50DA6429">
            <w:pPr>
              <w:pStyle w:val="46"/>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8</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《地表水环境质量标准》（GB3838-2002）</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2598"/>
              <w:gridCol w:w="1420"/>
              <w:gridCol w:w="722"/>
              <w:gridCol w:w="749"/>
              <w:gridCol w:w="749"/>
              <w:gridCol w:w="756"/>
            </w:tblGrid>
            <w:tr w14:paraId="65494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97" w:type="pct"/>
                  <w:vMerge w:val="restart"/>
                  <w:vAlign w:val="center"/>
                </w:tcPr>
                <w:p w14:paraId="647F9C5A">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编号</w:t>
                  </w:r>
                </w:p>
              </w:tc>
              <w:tc>
                <w:tcPr>
                  <w:tcW w:w="1709" w:type="pct"/>
                  <w:vMerge w:val="restart"/>
                  <w:vAlign w:val="center"/>
                </w:tcPr>
                <w:p w14:paraId="0E9E0C6E">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2892" w:type="pct"/>
                  <w:gridSpan w:val="5"/>
                  <w:vAlign w:val="center"/>
                </w:tcPr>
                <w:p w14:paraId="604F825E">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分类标准值</w:t>
                  </w:r>
                </w:p>
              </w:tc>
            </w:tr>
            <w:tr w14:paraId="687AC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397" w:type="pct"/>
                  <w:vMerge w:val="continue"/>
                  <w:vAlign w:val="center"/>
                </w:tcPr>
                <w:p w14:paraId="4782AB0A">
                  <w:pPr>
                    <w:pStyle w:val="43"/>
                    <w:rPr>
                      <w:color w:val="000000" w:themeColor="text1"/>
                      <w:szCs w:val="21"/>
                      <w14:textFill>
                        <w14:solidFill>
                          <w14:schemeClr w14:val="tx1"/>
                        </w14:solidFill>
                      </w14:textFill>
                    </w:rPr>
                  </w:pPr>
                </w:p>
              </w:tc>
              <w:tc>
                <w:tcPr>
                  <w:tcW w:w="1709" w:type="pct"/>
                  <w:vMerge w:val="continue"/>
                  <w:vAlign w:val="center"/>
                </w:tcPr>
                <w:p w14:paraId="7AE88C40">
                  <w:pPr>
                    <w:pStyle w:val="43"/>
                    <w:rPr>
                      <w:color w:val="000000" w:themeColor="text1"/>
                      <w:szCs w:val="21"/>
                      <w14:textFill>
                        <w14:solidFill>
                          <w14:schemeClr w14:val="tx1"/>
                        </w14:solidFill>
                      </w14:textFill>
                    </w:rPr>
                  </w:pPr>
                </w:p>
              </w:tc>
              <w:tc>
                <w:tcPr>
                  <w:tcW w:w="934" w:type="pct"/>
                  <w:vAlign w:val="center"/>
                </w:tcPr>
                <w:p w14:paraId="4659697D">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Ⅰ类</w:t>
                  </w:r>
                </w:p>
              </w:tc>
              <w:tc>
                <w:tcPr>
                  <w:tcW w:w="475" w:type="pct"/>
                  <w:vAlign w:val="center"/>
                </w:tcPr>
                <w:p w14:paraId="6F30AC29">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Ⅱ类</w:t>
                  </w:r>
                </w:p>
              </w:tc>
              <w:tc>
                <w:tcPr>
                  <w:tcW w:w="493" w:type="pct"/>
                  <w:vAlign w:val="center"/>
                </w:tcPr>
                <w:p w14:paraId="3949933C">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Ⅲ类</w:t>
                  </w:r>
                </w:p>
              </w:tc>
              <w:tc>
                <w:tcPr>
                  <w:tcW w:w="493" w:type="pct"/>
                  <w:vAlign w:val="center"/>
                </w:tcPr>
                <w:p w14:paraId="56A245D4">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Ⅳ类</w:t>
                  </w:r>
                </w:p>
              </w:tc>
              <w:tc>
                <w:tcPr>
                  <w:tcW w:w="495" w:type="pct"/>
                  <w:vAlign w:val="center"/>
                </w:tcPr>
                <w:p w14:paraId="2A5DB879">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Ⅴ类</w:t>
                  </w:r>
                </w:p>
              </w:tc>
            </w:tr>
            <w:tr w14:paraId="0B06A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97" w:type="pct"/>
                  <w:vAlign w:val="center"/>
                </w:tcPr>
                <w:p w14:paraId="493EE040">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709" w:type="pct"/>
                  <w:vAlign w:val="center"/>
                </w:tcPr>
                <w:p w14:paraId="0C2DCA33">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PH值（无量纲）</w:t>
                  </w:r>
                </w:p>
              </w:tc>
              <w:tc>
                <w:tcPr>
                  <w:tcW w:w="2892" w:type="pct"/>
                  <w:gridSpan w:val="5"/>
                  <w:vAlign w:val="center"/>
                </w:tcPr>
                <w:p w14:paraId="53B2BCED">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6～9</w:t>
                  </w:r>
                </w:p>
              </w:tc>
            </w:tr>
            <w:tr w14:paraId="665C9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397" w:type="pct"/>
                  <w:vAlign w:val="center"/>
                </w:tcPr>
                <w:p w14:paraId="18F4766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709" w:type="pct"/>
                  <w:vAlign w:val="center"/>
                </w:tcPr>
                <w:p w14:paraId="756EDD8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溶解氧≥</w:t>
                  </w:r>
                </w:p>
              </w:tc>
              <w:tc>
                <w:tcPr>
                  <w:tcW w:w="934" w:type="pct"/>
                  <w:vAlign w:val="center"/>
                </w:tcPr>
                <w:p w14:paraId="39355FE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饱和率90%(或7.5)</w:t>
                  </w:r>
                </w:p>
              </w:tc>
              <w:tc>
                <w:tcPr>
                  <w:tcW w:w="475" w:type="pct"/>
                  <w:vAlign w:val="center"/>
                </w:tcPr>
                <w:p w14:paraId="4FAD156E">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493" w:type="pct"/>
                  <w:vAlign w:val="center"/>
                </w:tcPr>
                <w:p w14:paraId="3E1C081C">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493" w:type="pct"/>
                  <w:vAlign w:val="center"/>
                </w:tcPr>
                <w:p w14:paraId="546FEA45">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495" w:type="pct"/>
                  <w:vAlign w:val="center"/>
                </w:tcPr>
                <w:p w14:paraId="647B3992">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r>
            <w:tr w14:paraId="61E20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97" w:type="pct"/>
                  <w:vAlign w:val="center"/>
                </w:tcPr>
                <w:p w14:paraId="08B79D4E">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709" w:type="pct"/>
                  <w:vAlign w:val="center"/>
                </w:tcPr>
                <w:p w14:paraId="071A5C2E">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高锰酸盐指数≤</w:t>
                  </w:r>
                </w:p>
              </w:tc>
              <w:tc>
                <w:tcPr>
                  <w:tcW w:w="934" w:type="pct"/>
                  <w:vAlign w:val="center"/>
                </w:tcPr>
                <w:p w14:paraId="194F15F3">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475" w:type="pct"/>
                  <w:vAlign w:val="center"/>
                </w:tcPr>
                <w:p w14:paraId="0A09B87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493" w:type="pct"/>
                  <w:vAlign w:val="center"/>
                </w:tcPr>
                <w:p w14:paraId="31F64EA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493" w:type="pct"/>
                  <w:vAlign w:val="center"/>
                </w:tcPr>
                <w:p w14:paraId="5134109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495" w:type="pct"/>
                  <w:vAlign w:val="center"/>
                </w:tcPr>
                <w:p w14:paraId="556D6C5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r>
            <w:tr w14:paraId="0A7D1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397" w:type="pct"/>
                  <w:vAlign w:val="center"/>
                </w:tcPr>
                <w:p w14:paraId="3717558A">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709" w:type="pct"/>
                  <w:vAlign w:val="center"/>
                </w:tcPr>
                <w:p w14:paraId="15396C1F">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化学需氧量（COD）≤</w:t>
                  </w:r>
                </w:p>
              </w:tc>
              <w:tc>
                <w:tcPr>
                  <w:tcW w:w="934" w:type="pct"/>
                  <w:vAlign w:val="center"/>
                </w:tcPr>
                <w:p w14:paraId="56F5A4B2">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475" w:type="pct"/>
                  <w:vAlign w:val="center"/>
                </w:tcPr>
                <w:p w14:paraId="28BC2CCA">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493" w:type="pct"/>
                  <w:vAlign w:val="center"/>
                </w:tcPr>
                <w:p w14:paraId="560EF8FB">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493" w:type="pct"/>
                  <w:vAlign w:val="center"/>
                </w:tcPr>
                <w:p w14:paraId="1772867C">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30</w:t>
                  </w:r>
                </w:p>
              </w:tc>
              <w:tc>
                <w:tcPr>
                  <w:tcW w:w="495" w:type="pct"/>
                  <w:vAlign w:val="center"/>
                </w:tcPr>
                <w:p w14:paraId="1F9DF999">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r>
            <w:tr w14:paraId="417B4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97" w:type="pct"/>
                  <w:vAlign w:val="center"/>
                </w:tcPr>
                <w:p w14:paraId="7D1CFF99">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1709" w:type="pct"/>
                  <w:vAlign w:val="center"/>
                </w:tcPr>
                <w:p w14:paraId="5C86948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五日生化需氧量（BOD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w:t>
                  </w:r>
                </w:p>
              </w:tc>
              <w:tc>
                <w:tcPr>
                  <w:tcW w:w="934" w:type="pct"/>
                  <w:vAlign w:val="center"/>
                </w:tcPr>
                <w:p w14:paraId="31FCFA4D">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475" w:type="pct"/>
                  <w:vAlign w:val="center"/>
                </w:tcPr>
                <w:p w14:paraId="511B2E1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493" w:type="pct"/>
                  <w:vAlign w:val="center"/>
                </w:tcPr>
                <w:p w14:paraId="1AC42B8F">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493" w:type="pct"/>
                  <w:vAlign w:val="center"/>
                </w:tcPr>
                <w:p w14:paraId="72C7C272">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495" w:type="pct"/>
                  <w:vAlign w:val="center"/>
                </w:tcPr>
                <w:p w14:paraId="747B83C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r w14:paraId="3DC7A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97" w:type="pct"/>
                  <w:vAlign w:val="center"/>
                </w:tcPr>
                <w:p w14:paraId="314F7B27">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709" w:type="pct"/>
                  <w:vAlign w:val="center"/>
                </w:tcPr>
                <w:p w14:paraId="51344369">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氨氮(NH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934" w:type="pct"/>
                  <w:vAlign w:val="center"/>
                </w:tcPr>
                <w:p w14:paraId="5D0AEE7B">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0.15</w:t>
                  </w:r>
                </w:p>
              </w:tc>
              <w:tc>
                <w:tcPr>
                  <w:tcW w:w="475" w:type="pct"/>
                  <w:vAlign w:val="center"/>
                </w:tcPr>
                <w:p w14:paraId="076BCEA3">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0.5</w:t>
                  </w:r>
                </w:p>
              </w:tc>
              <w:tc>
                <w:tcPr>
                  <w:tcW w:w="493" w:type="pct"/>
                  <w:vAlign w:val="center"/>
                </w:tcPr>
                <w:p w14:paraId="4DE2F08C">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493" w:type="pct"/>
                  <w:vAlign w:val="center"/>
                </w:tcPr>
                <w:p w14:paraId="16330095">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495" w:type="pct"/>
                  <w:vAlign w:val="center"/>
                </w:tcPr>
                <w:p w14:paraId="3DA9FFD0">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r>
          </w:tbl>
          <w:p w14:paraId="3BDE063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二、污染物排放标准</w:t>
            </w:r>
          </w:p>
          <w:p w14:paraId="4FA1F6A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1、废气</w:t>
            </w:r>
          </w:p>
          <w:p w14:paraId="138029C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本工程施工期</w:t>
            </w:r>
            <w:r>
              <w:rPr>
                <w:rFonts w:hint="eastAsia"/>
                <w:color w:val="000000" w:themeColor="text1"/>
                <w14:textFill>
                  <w14:solidFill>
                    <w14:schemeClr w14:val="tx1"/>
                  </w14:solidFill>
                </w14:textFill>
              </w:rPr>
              <w:t>和运行期</w:t>
            </w:r>
            <w:r>
              <w:rPr>
                <w:color w:val="000000" w:themeColor="text1"/>
                <w14:textFill>
                  <w14:solidFill>
                    <w14:schemeClr w14:val="tx1"/>
                  </w14:solidFill>
                </w14:textFill>
              </w:rPr>
              <w:t>产生的粉尘排放</w:t>
            </w:r>
            <w:r>
              <w:rPr>
                <w:rFonts w:hint="eastAsia"/>
                <w:color w:val="000000" w:themeColor="text1"/>
                <w14:textFill>
                  <w14:solidFill>
                    <w14:schemeClr w14:val="tx1"/>
                  </w14:solidFill>
                </w14:textFill>
              </w:rPr>
              <w:t>浓度</w:t>
            </w:r>
            <w:r>
              <w:rPr>
                <w:color w:val="000000" w:themeColor="text1"/>
                <w14:textFill>
                  <w14:solidFill>
                    <w14:schemeClr w14:val="tx1"/>
                  </w14:solidFill>
                </w14:textFill>
              </w:rPr>
              <w:t>执行《大气污染物综合排放标准》(GB16297-1996)表2中无组织排放监控浓度限值</w:t>
            </w:r>
            <w:r>
              <w:rPr>
                <w:rFonts w:hint="eastAsia"/>
                <w:color w:val="000000" w:themeColor="text1"/>
                <w14:textFill>
                  <w14:solidFill>
                    <w14:schemeClr w14:val="tx1"/>
                  </w14:solidFill>
                </w14:textFill>
              </w:rPr>
              <w:t>，具体详</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下表。</w:t>
            </w:r>
          </w:p>
          <w:p w14:paraId="36CE96B9">
            <w:pPr>
              <w:pStyle w:val="46"/>
              <w:rPr>
                <w:color w:val="000000" w:themeColor="text1"/>
                <w:szCs w:val="24"/>
                <w14:textFill>
                  <w14:solidFill>
                    <w14:schemeClr w14:val="tx1"/>
                  </w14:solidFill>
                </w14:textFill>
              </w:rPr>
            </w:pPr>
            <w:r>
              <w:rPr>
                <w:bCs/>
                <w:color w:val="000000" w:themeColor="text1"/>
                <w:szCs w:val="24"/>
                <w14:textFill>
                  <w14:solidFill>
                    <w14:schemeClr w14:val="tx1"/>
                  </w14:solidFill>
                </w14:textFill>
              </w:rPr>
              <w:t>表3-</w:t>
            </w:r>
            <w:r>
              <w:rPr>
                <w:rFonts w:hint="eastAsia"/>
                <w:bCs/>
                <w:color w:val="000000" w:themeColor="text1"/>
                <w:szCs w:val="24"/>
                <w14:textFill>
                  <w14:solidFill>
                    <w14:schemeClr w14:val="tx1"/>
                  </w14:solidFill>
                </w14:textFill>
              </w:rPr>
              <w:t>9</w:t>
            </w:r>
            <w:r>
              <w:rPr>
                <w:bCs/>
                <w:color w:val="000000" w:themeColor="text1"/>
                <w:szCs w:val="24"/>
                <w14:textFill>
                  <w14:solidFill>
                    <w14:schemeClr w14:val="tx1"/>
                  </w14:solidFill>
                </w14:textFill>
              </w:rPr>
              <w:t xml:space="preserve"> </w:t>
            </w:r>
            <w:r>
              <w:rPr>
                <w:color w:val="000000" w:themeColor="text1"/>
                <w14:textFill>
                  <w14:solidFill>
                    <w14:schemeClr w14:val="tx1"/>
                  </w14:solidFill>
                </w14:textFill>
              </w:rPr>
              <w:t>《大气污染物综合排放标准》(GB16297-1996)</w:t>
            </w:r>
          </w:p>
          <w:tbl>
            <w:tblPr>
              <w:tblStyle w:val="19"/>
              <w:tblW w:w="5000" w:type="pct"/>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144"/>
              <w:gridCol w:w="2175"/>
              <w:gridCol w:w="2282"/>
            </w:tblGrid>
            <w:tr w14:paraId="3A649B9F">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 w:hRule="atLeast"/>
              </w:trPr>
              <w:tc>
                <w:tcPr>
                  <w:tcW w:w="2931" w:type="dxa"/>
                  <w:vMerge w:val="restart"/>
                  <w:tcBorders>
                    <w:top w:val="single" w:color="auto" w:sz="12" w:space="0"/>
                  </w:tcBorders>
                  <w:vAlign w:val="center"/>
                </w:tcPr>
                <w:p w14:paraId="2E79073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污染物</w:t>
                  </w:r>
                </w:p>
              </w:tc>
              <w:tc>
                <w:tcPr>
                  <w:tcW w:w="4156" w:type="dxa"/>
                  <w:gridSpan w:val="2"/>
                  <w:tcBorders>
                    <w:top w:val="single" w:color="auto" w:sz="12" w:space="0"/>
                    <w:bottom w:val="single" w:color="auto" w:sz="4" w:space="0"/>
                  </w:tcBorders>
                  <w:vAlign w:val="center"/>
                </w:tcPr>
                <w:p w14:paraId="74173BF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无组织排放监控浓度限值</w:t>
                  </w:r>
                </w:p>
              </w:tc>
            </w:tr>
            <w:tr w14:paraId="09B5BE98">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 w:hRule="atLeast"/>
              </w:trPr>
              <w:tc>
                <w:tcPr>
                  <w:tcW w:w="2931" w:type="dxa"/>
                  <w:vMerge w:val="continue"/>
                  <w:vAlign w:val="center"/>
                </w:tcPr>
                <w:p w14:paraId="40B2E66C">
                  <w:pPr>
                    <w:pStyle w:val="43"/>
                    <w:rPr>
                      <w:color w:val="000000" w:themeColor="text1"/>
                      <w14:textFill>
                        <w14:solidFill>
                          <w14:schemeClr w14:val="tx1"/>
                        </w14:solidFill>
                      </w14:textFill>
                    </w:rPr>
                  </w:pPr>
                </w:p>
              </w:tc>
              <w:tc>
                <w:tcPr>
                  <w:tcW w:w="2028" w:type="dxa"/>
                  <w:tcBorders>
                    <w:top w:val="single" w:color="auto" w:sz="4" w:space="0"/>
                  </w:tcBorders>
                  <w:vAlign w:val="center"/>
                </w:tcPr>
                <w:p w14:paraId="2A3E97E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监控点</w:t>
                  </w:r>
                </w:p>
              </w:tc>
              <w:tc>
                <w:tcPr>
                  <w:tcW w:w="2128" w:type="dxa"/>
                  <w:tcBorders>
                    <w:top w:val="single" w:color="auto" w:sz="4" w:space="0"/>
                  </w:tcBorders>
                  <w:vAlign w:val="center"/>
                </w:tcPr>
                <w:p w14:paraId="3E56242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浓度（mg</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p>
              </w:tc>
            </w:tr>
            <w:tr w14:paraId="11727ACE">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2931" w:type="dxa"/>
                  <w:vAlign w:val="center"/>
                </w:tcPr>
                <w:p w14:paraId="1C5D793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颗粒物</w:t>
                  </w:r>
                </w:p>
              </w:tc>
              <w:tc>
                <w:tcPr>
                  <w:tcW w:w="2028" w:type="dxa"/>
                  <w:vAlign w:val="center"/>
                </w:tcPr>
                <w:p w14:paraId="48FF8B4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周界外浓度最高点</w:t>
                  </w:r>
                </w:p>
              </w:tc>
              <w:tc>
                <w:tcPr>
                  <w:tcW w:w="2128" w:type="dxa"/>
                  <w:vAlign w:val="center"/>
                </w:tcPr>
                <w:p w14:paraId="0E8EA59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r>
          </w:tbl>
          <w:p w14:paraId="104B142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燃用柴油的施工机械废气污染物中的NO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、CO及HC等排放量执行《非道路移动机械用柴油机排气污染物排放限值及测量方法（中国第三、四阶段）》（GB20891-2014）及修改单中污染物排放限值，具体详</w:t>
            </w:r>
            <w:r>
              <w:rPr>
                <w:color w:val="000000" w:themeColor="text1"/>
                <w14:textFill>
                  <w14:solidFill>
                    <w14:schemeClr w14:val="tx1"/>
                  </w14:solidFill>
                </w14:textFill>
              </w:rPr>
              <w:t>见</w:t>
            </w:r>
            <w:r>
              <w:rPr>
                <w:rFonts w:hint="eastAsia"/>
                <w:color w:val="000000" w:themeColor="text1"/>
                <w14:textFill>
                  <w14:solidFill>
                    <w14:schemeClr w14:val="tx1"/>
                  </w14:solidFill>
                </w14:textFill>
              </w:rPr>
              <w:t>下表。</w:t>
            </w:r>
          </w:p>
          <w:p w14:paraId="7FE1FFDA">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表3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10非道路移动机械用柴油机排气污染物排放限值及测量方法（中国第三、四阶段）》（GB20891-2014）及修改单</w:t>
            </w:r>
          </w:p>
          <w:tbl>
            <w:tblPr>
              <w:tblStyle w:val="6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838"/>
              <w:gridCol w:w="1250"/>
              <w:gridCol w:w="1133"/>
              <w:gridCol w:w="1126"/>
              <w:gridCol w:w="1126"/>
            </w:tblGrid>
            <w:tr w14:paraId="15252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5" w:type="dxa"/>
                  <w:vAlign w:val="center"/>
                </w:tcPr>
                <w:p w14:paraId="278DEA4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阶段</w:t>
                  </w:r>
                </w:p>
              </w:tc>
              <w:tc>
                <w:tcPr>
                  <w:tcW w:w="1873" w:type="dxa"/>
                  <w:vAlign w:val="center"/>
                </w:tcPr>
                <w:p w14:paraId="0A6278FF">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额定净功（P</w:t>
                  </w:r>
                  <w:r>
                    <w:rPr>
                      <w:color w:val="000000" w:themeColor="text1"/>
                      <w:vertAlign w:val="subscript"/>
                      <w14:textFill>
                        <w14:solidFill>
                          <w14:schemeClr w14:val="tx1"/>
                        </w14:solidFill>
                      </w14:textFill>
                    </w:rPr>
                    <w:t>max</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W</w:t>
                  </w:r>
                  <w:r>
                    <w:rPr>
                      <w:rFonts w:hint="eastAsia"/>
                      <w:color w:val="000000" w:themeColor="text1"/>
                      <w14:textFill>
                        <w14:solidFill>
                          <w14:schemeClr w14:val="tx1"/>
                        </w14:solidFill>
                      </w14:textFill>
                    </w:rPr>
                    <w:t>）</w:t>
                  </w:r>
                </w:p>
              </w:tc>
              <w:tc>
                <w:tcPr>
                  <w:tcW w:w="1254" w:type="dxa"/>
                  <w:vAlign w:val="center"/>
                </w:tcPr>
                <w:p w14:paraId="7EC88D20">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CO（g/kW·h）</w:t>
                  </w:r>
                </w:p>
              </w:tc>
              <w:tc>
                <w:tcPr>
                  <w:tcW w:w="1133" w:type="dxa"/>
                  <w:vAlign w:val="center"/>
                </w:tcPr>
                <w:p w14:paraId="6EDAF13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g</w:t>
                  </w:r>
                  <w:r>
                    <w:rPr>
                      <w:color w:val="000000" w:themeColor="text1"/>
                      <w14:textFill>
                        <w14:solidFill>
                          <w14:schemeClr w14:val="tx1"/>
                        </w14:solidFill>
                      </w14:textFill>
                    </w:rPr>
                    <w:t>/kW·h）</w:t>
                  </w:r>
                </w:p>
              </w:tc>
              <w:tc>
                <w:tcPr>
                  <w:tcW w:w="1126" w:type="dxa"/>
                  <w:vAlign w:val="center"/>
                </w:tcPr>
                <w:p w14:paraId="6063ECA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g</w:t>
                  </w:r>
                  <w:r>
                    <w:rPr>
                      <w:color w:val="000000" w:themeColor="text1"/>
                      <w14:textFill>
                        <w14:solidFill>
                          <w14:schemeClr w14:val="tx1"/>
                        </w14:solidFill>
                      </w14:textFill>
                    </w:rPr>
                    <w:t>/kW·h）</w:t>
                  </w:r>
                </w:p>
              </w:tc>
              <w:tc>
                <w:tcPr>
                  <w:tcW w:w="1126" w:type="dxa"/>
                  <w:vAlign w:val="center"/>
                </w:tcPr>
                <w:p w14:paraId="747A5BE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H</w:t>
                  </w:r>
                  <w:r>
                    <w:rPr>
                      <w:color w:val="000000" w:themeColor="text1"/>
                      <w14:textFill>
                        <w14:solidFill>
                          <w14:schemeClr w14:val="tx1"/>
                        </w14:solidFill>
                      </w14:textFill>
                    </w:rPr>
                    <w:t>C</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g</w:t>
                  </w:r>
                  <w:r>
                    <w:rPr>
                      <w:color w:val="000000" w:themeColor="text1"/>
                      <w14:textFill>
                        <w14:solidFill>
                          <w14:schemeClr w14:val="tx1"/>
                        </w14:solidFill>
                      </w14:textFill>
                    </w:rPr>
                    <w:t>/kW·h）</w:t>
                  </w:r>
                </w:p>
              </w:tc>
            </w:tr>
            <w:tr w14:paraId="41991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5" w:type="dxa"/>
                  <w:vAlign w:val="center"/>
                </w:tcPr>
                <w:p w14:paraId="4D8ADB3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第三阶段</w:t>
                  </w:r>
                </w:p>
              </w:tc>
              <w:tc>
                <w:tcPr>
                  <w:tcW w:w="1873" w:type="dxa"/>
                  <w:vAlign w:val="center"/>
                </w:tcPr>
                <w:p w14:paraId="6307CB5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&lt;75</w:t>
                  </w:r>
                </w:p>
              </w:tc>
              <w:tc>
                <w:tcPr>
                  <w:tcW w:w="1254" w:type="dxa"/>
                  <w:vAlign w:val="center"/>
                </w:tcPr>
                <w:p w14:paraId="3D1132C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1133" w:type="dxa"/>
                  <w:vAlign w:val="center"/>
                </w:tcPr>
                <w:p w14:paraId="57D5080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26" w:type="dxa"/>
                  <w:vAlign w:val="center"/>
                </w:tcPr>
                <w:p w14:paraId="22A0EBC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26" w:type="dxa"/>
                  <w:vAlign w:val="center"/>
                </w:tcPr>
                <w:p w14:paraId="1282DE5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w:t>
                  </w:r>
                </w:p>
              </w:tc>
            </w:tr>
            <w:tr w14:paraId="0F00EC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5" w:type="dxa"/>
                  <w:vMerge w:val="restart"/>
                  <w:vAlign w:val="center"/>
                </w:tcPr>
                <w:p w14:paraId="29E56E5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第四阶段</w:t>
                  </w:r>
                </w:p>
              </w:tc>
              <w:tc>
                <w:tcPr>
                  <w:tcW w:w="1873" w:type="dxa"/>
                  <w:vAlign w:val="center"/>
                </w:tcPr>
                <w:p w14:paraId="61C72ED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≤P</w:t>
                  </w:r>
                  <w:r>
                    <w:rPr>
                      <w:rFonts w:hint="eastAsia"/>
                      <w:color w:val="000000" w:themeColor="text1"/>
                      <w:vertAlign w:val="subscript"/>
                      <w14:textFill>
                        <w14:solidFill>
                          <w14:schemeClr w14:val="tx1"/>
                        </w14:solidFill>
                      </w14:textFill>
                    </w:rPr>
                    <w:t>max</w:t>
                  </w:r>
                  <w:r>
                    <w:rPr>
                      <w:color w:val="000000" w:themeColor="text1"/>
                      <w14:textFill>
                        <w14:solidFill>
                          <w14:schemeClr w14:val="tx1"/>
                        </w14:solidFill>
                      </w14:textFill>
                    </w:rPr>
                    <w:t>&lt;130</w:t>
                  </w:r>
                </w:p>
              </w:tc>
              <w:tc>
                <w:tcPr>
                  <w:tcW w:w="1254" w:type="dxa"/>
                  <w:vAlign w:val="center"/>
                </w:tcPr>
                <w:p w14:paraId="315DA8A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1133" w:type="dxa"/>
                  <w:vAlign w:val="center"/>
                </w:tcPr>
                <w:p w14:paraId="711BFCB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.19</w:t>
                  </w:r>
                </w:p>
              </w:tc>
              <w:tc>
                <w:tcPr>
                  <w:tcW w:w="1126" w:type="dxa"/>
                  <w:vAlign w:val="center"/>
                </w:tcPr>
                <w:p w14:paraId="59BBB1F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.3</w:t>
                  </w:r>
                </w:p>
              </w:tc>
              <w:tc>
                <w:tcPr>
                  <w:tcW w:w="1126" w:type="dxa"/>
                  <w:vAlign w:val="center"/>
                </w:tcPr>
                <w:p w14:paraId="10A7C36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572F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5" w:type="dxa"/>
                  <w:vMerge w:val="continue"/>
                  <w:vAlign w:val="center"/>
                </w:tcPr>
                <w:p w14:paraId="318C9476">
                  <w:pPr>
                    <w:pStyle w:val="43"/>
                    <w:rPr>
                      <w:color w:val="000000" w:themeColor="text1"/>
                      <w14:textFill>
                        <w14:solidFill>
                          <w14:schemeClr w14:val="tx1"/>
                        </w14:solidFill>
                      </w14:textFill>
                    </w:rPr>
                  </w:pPr>
                </w:p>
              </w:tc>
              <w:tc>
                <w:tcPr>
                  <w:tcW w:w="1873" w:type="dxa"/>
                  <w:vAlign w:val="center"/>
                </w:tcPr>
                <w:p w14:paraId="79283E1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≤P</w:t>
                  </w:r>
                  <w:r>
                    <w:rPr>
                      <w:color w:val="000000" w:themeColor="text1"/>
                      <w:vertAlign w:val="subscript"/>
                      <w14:textFill>
                        <w14:solidFill>
                          <w14:schemeClr w14:val="tx1"/>
                        </w14:solidFill>
                      </w14:textFill>
                    </w:rPr>
                    <w:t>max</w:t>
                  </w:r>
                  <w:r>
                    <w:rPr>
                      <w:color w:val="000000" w:themeColor="text1"/>
                      <w14:textFill>
                        <w14:solidFill>
                          <w14:schemeClr w14:val="tx1"/>
                        </w14:solidFill>
                      </w14:textFill>
                    </w:rPr>
                    <w:t>&lt;56</w:t>
                  </w:r>
                </w:p>
              </w:tc>
              <w:tc>
                <w:tcPr>
                  <w:tcW w:w="1254" w:type="dxa"/>
                  <w:vAlign w:val="center"/>
                </w:tcPr>
                <w:p w14:paraId="17E306A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c>
                <w:tcPr>
                  <w:tcW w:w="1133" w:type="dxa"/>
                  <w:vAlign w:val="center"/>
                </w:tcPr>
                <w:p w14:paraId="7B82BF6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26" w:type="dxa"/>
                  <w:vAlign w:val="center"/>
                </w:tcPr>
                <w:p w14:paraId="61F4EB7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26" w:type="dxa"/>
                  <w:vAlign w:val="center"/>
                </w:tcPr>
                <w:p w14:paraId="0BFA1E8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.7</w:t>
                  </w:r>
                </w:p>
              </w:tc>
            </w:tr>
          </w:tbl>
          <w:p w14:paraId="064A4BA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本项目运行期锅炉烟气</w:t>
            </w:r>
            <w:r>
              <w:rPr>
                <w:color w:val="000000" w:themeColor="text1"/>
                <w14:textFill>
                  <w14:solidFill>
                    <w14:schemeClr w14:val="tx1"/>
                  </w14:solidFill>
                </w14:textFill>
              </w:rPr>
              <w:t>执行《锅炉大气污染物排放标准》（GB13271-2014）表2</w:t>
            </w:r>
            <w:r>
              <w:rPr>
                <w:rFonts w:hint="eastAsia"/>
                <w:color w:val="000000" w:themeColor="text1"/>
                <w14:textFill>
                  <w14:solidFill>
                    <w14:schemeClr w14:val="tx1"/>
                  </w14:solidFill>
                </w14:textFill>
              </w:rPr>
              <w:t>新建燃煤锅炉</w:t>
            </w:r>
            <w:r>
              <w:rPr>
                <w:color w:val="000000" w:themeColor="text1"/>
                <w14:textFill>
                  <w14:solidFill>
                    <w14:schemeClr w14:val="tx1"/>
                  </w14:solidFill>
                </w14:textFill>
              </w:rPr>
              <w:t>大气污染物排放限值要求</w:t>
            </w:r>
            <w:r>
              <w:rPr>
                <w:rFonts w:hint="eastAsia"/>
                <w:color w:val="000000" w:themeColor="text1"/>
                <w14:textFill>
                  <w14:solidFill>
                    <w14:schemeClr w14:val="tx1"/>
                  </w14:solidFill>
                </w14:textFill>
              </w:rPr>
              <w:t>。</w:t>
            </w:r>
          </w:p>
          <w:p w14:paraId="6B454D10">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表</w:t>
            </w:r>
            <w:r>
              <w:rPr>
                <w:rFonts w:hint="eastAsia"/>
                <w:color w:val="000000" w:themeColor="text1"/>
                <w14:textFill>
                  <w14:solidFill>
                    <w14:schemeClr w14:val="tx1"/>
                  </w14:solidFill>
                </w14:textFill>
              </w:rPr>
              <w:t>3-11</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锅炉大气污染物排放标准</w:t>
            </w:r>
            <w:r>
              <w:rPr>
                <w:rFonts w:hint="eastAsia"/>
                <w:color w:val="000000" w:themeColor="text1"/>
                <w14:textFill>
                  <w14:solidFill>
                    <w14:schemeClr w14:val="tx1"/>
                  </w14:solidFill>
                </w14:textFill>
              </w:rPr>
              <w:t xml:space="preserve">   单位：mg/m</w:t>
            </w:r>
            <w:r>
              <w:rPr>
                <w:rFonts w:hint="eastAsia"/>
                <w:color w:val="000000" w:themeColor="text1"/>
                <w:vertAlign w:val="superscript"/>
                <w14:textFill>
                  <w14:solidFill>
                    <w14:schemeClr w14:val="tx1"/>
                  </w14:solidFill>
                </w14:textFill>
              </w:rPr>
              <w:t>3</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67"/>
              <w:gridCol w:w="3734"/>
            </w:tblGrid>
            <w:tr w14:paraId="548EA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2544" w:type="pct"/>
                  <w:vMerge w:val="restart"/>
                  <w:vAlign w:val="center"/>
                </w:tcPr>
                <w:p w14:paraId="5CAA4144">
                  <w:pPr>
                    <w:pStyle w:val="43"/>
                    <w:rPr>
                      <w:color w:val="000000" w:themeColor="text1"/>
                      <w14:textFill>
                        <w14:solidFill>
                          <w14:schemeClr w14:val="tx1"/>
                        </w14:solidFill>
                      </w14:textFill>
                    </w:rPr>
                  </w:pPr>
                  <w:r>
                    <w:rPr>
                      <w:color w:val="000000" w:themeColor="text1"/>
                      <w14:textFill>
                        <w14:solidFill>
                          <w14:schemeClr w14:val="tx1"/>
                        </w14:solidFill>
                      </w14:textFill>
                    </w:rPr>
                    <w:t>污染物项目</w:t>
                  </w:r>
                </w:p>
              </w:tc>
              <w:tc>
                <w:tcPr>
                  <w:tcW w:w="2456" w:type="pct"/>
                  <w:vAlign w:val="center"/>
                </w:tcPr>
                <w:p w14:paraId="0A96C19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排放</w:t>
                  </w:r>
                  <w:r>
                    <w:rPr>
                      <w:color w:val="000000" w:themeColor="text1"/>
                      <w14:textFill>
                        <w14:solidFill>
                          <w14:schemeClr w14:val="tx1"/>
                        </w14:solidFill>
                      </w14:textFill>
                    </w:rPr>
                    <w:t>限值</w:t>
                  </w:r>
                </w:p>
              </w:tc>
            </w:tr>
            <w:tr w14:paraId="2440C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1" w:hRule="atLeast"/>
                <w:jc w:val="center"/>
              </w:trPr>
              <w:tc>
                <w:tcPr>
                  <w:tcW w:w="2544" w:type="pct"/>
                  <w:vMerge w:val="continue"/>
                  <w:vAlign w:val="center"/>
                </w:tcPr>
                <w:p w14:paraId="7F3CA9F5">
                  <w:pPr>
                    <w:pStyle w:val="43"/>
                    <w:rPr>
                      <w:color w:val="000000" w:themeColor="text1"/>
                      <w14:textFill>
                        <w14:solidFill>
                          <w14:schemeClr w14:val="tx1"/>
                        </w14:solidFill>
                      </w14:textFill>
                    </w:rPr>
                  </w:pPr>
                </w:p>
              </w:tc>
              <w:tc>
                <w:tcPr>
                  <w:tcW w:w="2456" w:type="pct"/>
                  <w:vAlign w:val="center"/>
                </w:tcPr>
                <w:p w14:paraId="55511FE0">
                  <w:pPr>
                    <w:pStyle w:val="43"/>
                    <w:rPr>
                      <w:color w:val="000000" w:themeColor="text1"/>
                      <w14:textFill>
                        <w14:solidFill>
                          <w14:schemeClr w14:val="tx1"/>
                        </w14:solidFill>
                      </w14:textFill>
                    </w:rPr>
                  </w:pPr>
                  <w:r>
                    <w:rPr>
                      <w:color w:val="000000" w:themeColor="text1"/>
                      <w14:textFill>
                        <w14:solidFill>
                          <w14:schemeClr w14:val="tx1"/>
                        </w14:solidFill>
                      </w14:textFill>
                    </w:rPr>
                    <w:t>燃煤锅炉</w:t>
                  </w:r>
                </w:p>
              </w:tc>
            </w:tr>
            <w:tr w14:paraId="47CEE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544" w:type="pct"/>
                  <w:vAlign w:val="center"/>
                </w:tcPr>
                <w:p w14:paraId="645C1821">
                  <w:pPr>
                    <w:pStyle w:val="43"/>
                    <w:rPr>
                      <w:color w:val="000000" w:themeColor="text1"/>
                      <w14:textFill>
                        <w14:solidFill>
                          <w14:schemeClr w14:val="tx1"/>
                        </w14:solidFill>
                      </w14:textFill>
                    </w:rPr>
                  </w:pPr>
                  <w:r>
                    <w:rPr>
                      <w:color w:val="000000" w:themeColor="text1"/>
                      <w14:textFill>
                        <w14:solidFill>
                          <w14:schemeClr w14:val="tx1"/>
                        </w14:solidFill>
                      </w14:textFill>
                    </w:rPr>
                    <w:t>颗粒物</w:t>
                  </w:r>
                </w:p>
              </w:tc>
              <w:tc>
                <w:tcPr>
                  <w:tcW w:w="2456" w:type="pct"/>
                  <w:vAlign w:val="center"/>
                </w:tcPr>
                <w:p w14:paraId="3C168A92">
                  <w:pPr>
                    <w:pStyle w:val="43"/>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0</w:t>
                  </w:r>
                </w:p>
              </w:tc>
            </w:tr>
            <w:tr w14:paraId="56CBF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2544" w:type="pct"/>
                  <w:vAlign w:val="center"/>
                </w:tcPr>
                <w:p w14:paraId="66C2CC7C">
                  <w:pPr>
                    <w:pStyle w:val="43"/>
                    <w:rPr>
                      <w:color w:val="000000" w:themeColor="text1"/>
                      <w14:textFill>
                        <w14:solidFill>
                          <w14:schemeClr w14:val="tx1"/>
                        </w14:solidFill>
                      </w14:textFill>
                    </w:rPr>
                  </w:pPr>
                  <w:r>
                    <w:rPr>
                      <w:color w:val="000000" w:themeColor="text1"/>
                      <w14:textFill>
                        <w14:solidFill>
                          <w14:schemeClr w14:val="tx1"/>
                        </w14:solidFill>
                      </w14:textFill>
                    </w:rPr>
                    <w:t>二氧化硫</w:t>
                  </w:r>
                </w:p>
              </w:tc>
              <w:tc>
                <w:tcPr>
                  <w:tcW w:w="2456" w:type="pct"/>
                  <w:vAlign w:val="center"/>
                </w:tcPr>
                <w:p w14:paraId="5A2BA0FD">
                  <w:pPr>
                    <w:pStyle w:val="43"/>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00</w:t>
                  </w:r>
                </w:p>
              </w:tc>
            </w:tr>
            <w:tr w14:paraId="7BFA34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2544" w:type="pct"/>
                  <w:vAlign w:val="center"/>
                </w:tcPr>
                <w:p w14:paraId="690F35D9">
                  <w:pPr>
                    <w:pStyle w:val="43"/>
                    <w:rPr>
                      <w:color w:val="000000" w:themeColor="text1"/>
                      <w14:textFill>
                        <w14:solidFill>
                          <w14:schemeClr w14:val="tx1"/>
                        </w14:solidFill>
                      </w14:textFill>
                    </w:rPr>
                  </w:pPr>
                  <w:r>
                    <w:rPr>
                      <w:color w:val="000000" w:themeColor="text1"/>
                      <w14:textFill>
                        <w14:solidFill>
                          <w14:schemeClr w14:val="tx1"/>
                        </w14:solidFill>
                      </w14:textFill>
                    </w:rPr>
                    <w:t>氮氧化物</w:t>
                  </w:r>
                </w:p>
              </w:tc>
              <w:tc>
                <w:tcPr>
                  <w:tcW w:w="2456" w:type="pct"/>
                  <w:vAlign w:val="center"/>
                </w:tcPr>
                <w:p w14:paraId="0791B5DB">
                  <w:pPr>
                    <w:pStyle w:val="43"/>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00</w:t>
                  </w:r>
                </w:p>
              </w:tc>
            </w:tr>
            <w:tr w14:paraId="1BEC0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2544" w:type="pct"/>
                  <w:vAlign w:val="center"/>
                </w:tcPr>
                <w:p w14:paraId="27DADD70">
                  <w:pPr>
                    <w:pStyle w:val="43"/>
                    <w:rPr>
                      <w:color w:val="000000" w:themeColor="text1"/>
                      <w14:textFill>
                        <w14:solidFill>
                          <w14:schemeClr w14:val="tx1"/>
                        </w14:solidFill>
                      </w14:textFill>
                    </w:rPr>
                  </w:pPr>
                  <w:r>
                    <w:rPr>
                      <w:color w:val="000000" w:themeColor="text1"/>
                      <w14:textFill>
                        <w14:solidFill>
                          <w14:schemeClr w14:val="tx1"/>
                        </w14:solidFill>
                      </w14:textFill>
                    </w:rPr>
                    <w:t>林格曼黑度</w:t>
                  </w:r>
                  <w:r>
                    <w:rPr>
                      <w:rFonts w:hint="eastAsia"/>
                      <w:color w:val="000000" w:themeColor="text1"/>
                      <w14:textFill>
                        <w14:solidFill>
                          <w14:schemeClr w14:val="tx1"/>
                        </w14:solidFill>
                      </w14:textFill>
                    </w:rPr>
                    <w:t>（级）</w:t>
                  </w:r>
                </w:p>
              </w:tc>
              <w:tc>
                <w:tcPr>
                  <w:tcW w:w="2456" w:type="pct"/>
                  <w:vAlign w:val="center"/>
                </w:tcPr>
                <w:p w14:paraId="126DDE0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786C3A4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餐厅油烟参照执行《饮食业油烟排放标准》（GB18483-2001）中</w:t>
            </w:r>
            <w:r>
              <w:rPr>
                <w:rFonts w:hint="eastAsia"/>
                <w:color w:val="000000" w:themeColor="text1"/>
                <w14:textFill>
                  <w14:solidFill>
                    <w14:schemeClr w14:val="tx1"/>
                  </w14:solidFill>
                </w14:textFill>
              </w:rPr>
              <w:t>大</w:t>
            </w:r>
            <w:r>
              <w:rPr>
                <w:color w:val="000000" w:themeColor="text1"/>
                <w14:textFill>
                  <w14:solidFill>
                    <w14:schemeClr w14:val="tx1"/>
                  </w14:solidFill>
                </w14:textFill>
              </w:rPr>
              <w:t>型标准。</w:t>
            </w:r>
          </w:p>
          <w:p w14:paraId="6B04EA71">
            <w:pPr>
              <w:pStyle w:val="46"/>
              <w:rPr>
                <w:color w:val="000000" w:themeColor="text1"/>
                <w14:textFill>
                  <w14:solidFill>
                    <w14:schemeClr w14:val="tx1"/>
                  </w14:solidFill>
                </w14:textFill>
              </w:rPr>
            </w:pPr>
            <w:r>
              <w:rPr>
                <w:color w:val="000000" w:themeColor="text1"/>
                <w14:textFill>
                  <w14:solidFill>
                    <w14:schemeClr w14:val="tx1"/>
                  </w14:solidFill>
                </w14:textFill>
              </w:rPr>
              <w:t>表3-</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 xml:space="preserve"> 饮食业油烟排放标准</w:t>
            </w:r>
          </w:p>
          <w:tbl>
            <w:tblPr>
              <w:tblStyle w:val="19"/>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638"/>
              <w:gridCol w:w="1514"/>
              <w:gridCol w:w="1386"/>
              <w:gridCol w:w="125"/>
              <w:gridCol w:w="935"/>
            </w:tblGrid>
            <w:tr w14:paraId="5A3DD0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90" w:hRule="atLeast"/>
              </w:trPr>
              <w:tc>
                <w:tcPr>
                  <w:tcW w:w="2394" w:type="pct"/>
                </w:tcPr>
                <w:p w14:paraId="36A2EEDB">
                  <w:pPr>
                    <w:jc w:val="center"/>
                    <w:rPr>
                      <w:sz w:val="18"/>
                      <w:szCs w:val="18"/>
                    </w:rPr>
                  </w:pPr>
                  <w:r>
                    <w:rPr>
                      <w:sz w:val="18"/>
                      <w:szCs w:val="18"/>
                    </w:rPr>
                    <w:t>规模</w:t>
                  </w:r>
                </w:p>
              </w:tc>
              <w:tc>
                <w:tcPr>
                  <w:tcW w:w="996" w:type="pct"/>
                </w:tcPr>
                <w:p w14:paraId="23B22080">
                  <w:pPr>
                    <w:jc w:val="center"/>
                    <w:rPr>
                      <w:sz w:val="18"/>
                      <w:szCs w:val="18"/>
                    </w:rPr>
                  </w:pPr>
                  <w:r>
                    <w:rPr>
                      <w:sz w:val="18"/>
                      <w:szCs w:val="18"/>
                    </w:rPr>
                    <w:t>小型</w:t>
                  </w:r>
                </w:p>
              </w:tc>
              <w:tc>
                <w:tcPr>
                  <w:tcW w:w="912" w:type="pct"/>
                </w:tcPr>
                <w:p w14:paraId="03959948">
                  <w:pPr>
                    <w:jc w:val="center"/>
                    <w:rPr>
                      <w:sz w:val="18"/>
                      <w:szCs w:val="18"/>
                    </w:rPr>
                  </w:pPr>
                  <w:r>
                    <w:rPr>
                      <w:sz w:val="18"/>
                      <w:szCs w:val="18"/>
                    </w:rPr>
                    <w:t>中型</w:t>
                  </w:r>
                </w:p>
              </w:tc>
              <w:tc>
                <w:tcPr>
                  <w:tcW w:w="696" w:type="pct"/>
                  <w:gridSpan w:val="2"/>
                </w:tcPr>
                <w:p w14:paraId="1D261D46">
                  <w:pPr>
                    <w:jc w:val="center"/>
                    <w:rPr>
                      <w:sz w:val="18"/>
                      <w:szCs w:val="18"/>
                    </w:rPr>
                  </w:pPr>
                  <w:r>
                    <w:rPr>
                      <w:sz w:val="18"/>
                      <w:szCs w:val="18"/>
                    </w:rPr>
                    <w:t>大型</w:t>
                  </w:r>
                </w:p>
              </w:tc>
            </w:tr>
            <w:tr w14:paraId="7F5DEF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394" w:type="pct"/>
                </w:tcPr>
                <w:p w14:paraId="1067848C">
                  <w:pPr>
                    <w:jc w:val="center"/>
                    <w:rPr>
                      <w:sz w:val="18"/>
                      <w:szCs w:val="18"/>
                    </w:rPr>
                  </w:pPr>
                  <w:r>
                    <w:rPr>
                      <w:sz w:val="18"/>
                      <w:szCs w:val="18"/>
                    </w:rPr>
                    <w:t>基准灶头数</w:t>
                  </w:r>
                </w:p>
              </w:tc>
              <w:tc>
                <w:tcPr>
                  <w:tcW w:w="996" w:type="pct"/>
                </w:tcPr>
                <w:p w14:paraId="6E54A58E">
                  <w:pPr>
                    <w:jc w:val="center"/>
                    <w:rPr>
                      <w:sz w:val="18"/>
                      <w:szCs w:val="18"/>
                    </w:rPr>
                  </w:pPr>
                  <w:r>
                    <w:rPr>
                      <w:sz w:val="18"/>
                      <w:szCs w:val="18"/>
                    </w:rPr>
                    <w:t>≥1，&lt;3</w:t>
                  </w:r>
                </w:p>
              </w:tc>
              <w:tc>
                <w:tcPr>
                  <w:tcW w:w="912" w:type="pct"/>
                </w:tcPr>
                <w:p w14:paraId="4060295A">
                  <w:pPr>
                    <w:jc w:val="center"/>
                    <w:rPr>
                      <w:sz w:val="18"/>
                      <w:szCs w:val="18"/>
                    </w:rPr>
                  </w:pPr>
                  <w:r>
                    <w:rPr>
                      <w:sz w:val="18"/>
                      <w:szCs w:val="18"/>
                    </w:rPr>
                    <w:t>≥3，&lt;6</w:t>
                  </w:r>
                </w:p>
              </w:tc>
              <w:tc>
                <w:tcPr>
                  <w:tcW w:w="696" w:type="pct"/>
                  <w:gridSpan w:val="2"/>
                </w:tcPr>
                <w:p w14:paraId="441F49C5">
                  <w:pPr>
                    <w:jc w:val="center"/>
                    <w:rPr>
                      <w:sz w:val="18"/>
                      <w:szCs w:val="18"/>
                    </w:rPr>
                  </w:pPr>
                  <w:r>
                    <w:rPr>
                      <w:sz w:val="18"/>
                      <w:szCs w:val="18"/>
                    </w:rPr>
                    <w:t>≥6</w:t>
                  </w:r>
                </w:p>
              </w:tc>
            </w:tr>
            <w:tr w14:paraId="47CAC0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394" w:type="pct"/>
                </w:tcPr>
                <w:p w14:paraId="51C807AA">
                  <w:pPr>
                    <w:jc w:val="center"/>
                    <w:rPr>
                      <w:sz w:val="18"/>
                      <w:szCs w:val="18"/>
                    </w:rPr>
                  </w:pPr>
                  <w:r>
                    <w:rPr>
                      <w:sz w:val="18"/>
                      <w:szCs w:val="18"/>
                    </w:rPr>
                    <w:t>油烟最高允许排放浓度(mg/m³)</w:t>
                  </w:r>
                </w:p>
              </w:tc>
              <w:tc>
                <w:tcPr>
                  <w:tcW w:w="2605" w:type="pct"/>
                  <w:gridSpan w:val="4"/>
                </w:tcPr>
                <w:p w14:paraId="01DAF3E1">
                  <w:pPr>
                    <w:jc w:val="center"/>
                    <w:rPr>
                      <w:sz w:val="18"/>
                      <w:szCs w:val="18"/>
                    </w:rPr>
                  </w:pPr>
                  <w:r>
                    <w:rPr>
                      <w:sz w:val="18"/>
                      <w:szCs w:val="18"/>
                    </w:rPr>
                    <w:t>2.0</w:t>
                  </w:r>
                </w:p>
              </w:tc>
            </w:tr>
            <w:tr w14:paraId="40156F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394" w:type="pct"/>
                </w:tcPr>
                <w:p w14:paraId="4848C0F4">
                  <w:pPr>
                    <w:jc w:val="center"/>
                    <w:rPr>
                      <w:sz w:val="18"/>
                      <w:szCs w:val="18"/>
                    </w:rPr>
                  </w:pPr>
                  <w:r>
                    <w:rPr>
                      <w:sz w:val="18"/>
                      <w:szCs w:val="18"/>
                    </w:rPr>
                    <w:t>净化设施最低去除效率(%)</w:t>
                  </w:r>
                </w:p>
              </w:tc>
              <w:tc>
                <w:tcPr>
                  <w:tcW w:w="996" w:type="pct"/>
                </w:tcPr>
                <w:p w14:paraId="2A1F2D2E">
                  <w:pPr>
                    <w:jc w:val="center"/>
                    <w:rPr>
                      <w:sz w:val="18"/>
                      <w:szCs w:val="18"/>
                    </w:rPr>
                  </w:pPr>
                  <w:r>
                    <w:rPr>
                      <w:sz w:val="18"/>
                      <w:szCs w:val="18"/>
                    </w:rPr>
                    <w:t>60</w:t>
                  </w:r>
                </w:p>
              </w:tc>
              <w:tc>
                <w:tcPr>
                  <w:tcW w:w="994" w:type="pct"/>
                  <w:gridSpan w:val="2"/>
                </w:tcPr>
                <w:p w14:paraId="0914FDB4">
                  <w:pPr>
                    <w:jc w:val="center"/>
                    <w:rPr>
                      <w:sz w:val="18"/>
                      <w:szCs w:val="18"/>
                    </w:rPr>
                  </w:pPr>
                  <w:r>
                    <w:rPr>
                      <w:sz w:val="18"/>
                      <w:szCs w:val="18"/>
                    </w:rPr>
                    <w:t>75</w:t>
                  </w:r>
                </w:p>
              </w:tc>
              <w:tc>
                <w:tcPr>
                  <w:tcW w:w="613" w:type="pct"/>
                </w:tcPr>
                <w:p w14:paraId="05559A84">
                  <w:pPr>
                    <w:jc w:val="center"/>
                    <w:rPr>
                      <w:sz w:val="18"/>
                      <w:szCs w:val="18"/>
                    </w:rPr>
                  </w:pPr>
                  <w:r>
                    <w:rPr>
                      <w:sz w:val="18"/>
                      <w:szCs w:val="18"/>
                    </w:rPr>
                    <w:t>85</w:t>
                  </w:r>
                </w:p>
              </w:tc>
            </w:tr>
          </w:tbl>
          <w:p w14:paraId="6FDDDD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2、废水</w:t>
            </w:r>
          </w:p>
          <w:p w14:paraId="2D78AF2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本项目施工期生活污水、施工废水均不外排，不涉及废水排放标准。</w:t>
            </w:r>
          </w:p>
          <w:p w14:paraId="71FBA05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运行期</w:t>
            </w:r>
            <w:r>
              <w:rPr>
                <w:color w:val="000000" w:themeColor="text1"/>
                <w14:textFill>
                  <w14:solidFill>
                    <w14:schemeClr w14:val="tx1"/>
                  </w14:solidFill>
                </w14:textFill>
              </w:rPr>
              <w:t>废水排放执行《污水综合排放标准》（GB8978-1996）表4中三级标准。</w:t>
            </w:r>
          </w:p>
          <w:p w14:paraId="5D4311D4">
            <w:pPr>
              <w:pStyle w:val="46"/>
              <w:rPr>
                <w:bCs/>
                <w:color w:val="000000" w:themeColor="text1"/>
                <w:szCs w:val="24"/>
                <w14:textFill>
                  <w14:solidFill>
                    <w14:schemeClr w14:val="tx1"/>
                  </w14:solidFill>
                </w14:textFill>
              </w:rPr>
            </w:pPr>
            <w:r>
              <w:rPr>
                <w:bCs/>
                <w:color w:val="000000" w:themeColor="text1"/>
                <w:szCs w:val="24"/>
                <w14:textFill>
                  <w14:solidFill>
                    <w14:schemeClr w14:val="tx1"/>
                  </w14:solidFill>
                </w14:textFill>
              </w:rPr>
              <w:t>表3-</w:t>
            </w:r>
            <w:r>
              <w:rPr>
                <w:rFonts w:hint="eastAsia"/>
                <w:bCs/>
                <w:color w:val="000000" w:themeColor="text1"/>
                <w:szCs w:val="24"/>
                <w14:textFill>
                  <w14:solidFill>
                    <w14:schemeClr w14:val="tx1"/>
                  </w14:solidFill>
                </w14:textFill>
              </w:rPr>
              <w:t>13</w:t>
            </w:r>
            <w:r>
              <w:rPr>
                <w:bCs/>
                <w:color w:val="000000" w:themeColor="text1"/>
                <w:szCs w:val="24"/>
                <w14:textFill>
                  <w14:solidFill>
                    <w14:schemeClr w14:val="tx1"/>
                  </w14:solidFill>
                </w14:textFill>
              </w:rPr>
              <w:t xml:space="preserve"> 污水综合排放标准  （单位：除pH外，其余项为mg/L）</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1264"/>
              <w:gridCol w:w="1273"/>
              <w:gridCol w:w="1282"/>
              <w:gridCol w:w="1263"/>
              <w:gridCol w:w="1266"/>
            </w:tblGrid>
            <w:tr w14:paraId="7D97C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6" w:hRule="atLeast"/>
                <w:jc w:val="center"/>
              </w:trPr>
              <w:tc>
                <w:tcPr>
                  <w:tcW w:w="1343" w:type="dxa"/>
                  <w:vAlign w:val="center"/>
                </w:tcPr>
                <w:p w14:paraId="710FE554">
                  <w:pPr>
                    <w:pStyle w:val="43"/>
                    <w:rPr>
                      <w:color w:val="000000" w:themeColor="text1"/>
                      <w14:textFill>
                        <w14:solidFill>
                          <w14:schemeClr w14:val="tx1"/>
                        </w14:solidFill>
                      </w14:textFill>
                    </w:rPr>
                  </w:pPr>
                  <w:bookmarkStart w:id="30" w:name="OLE_LINK51"/>
                  <w:r>
                    <w:rPr>
                      <w:color w:val="000000" w:themeColor="text1"/>
                      <w14:textFill>
                        <w14:solidFill>
                          <w14:schemeClr w14:val="tx1"/>
                        </w14:solidFill>
                      </w14:textFill>
                    </w:rPr>
                    <w:t>排放标准</w:t>
                  </w:r>
                </w:p>
              </w:tc>
              <w:tc>
                <w:tcPr>
                  <w:tcW w:w="1343" w:type="dxa"/>
                  <w:vAlign w:val="center"/>
                </w:tcPr>
                <w:p w14:paraId="09DDB643">
                  <w:pPr>
                    <w:pStyle w:val="43"/>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343" w:type="dxa"/>
                  <w:vAlign w:val="center"/>
                </w:tcPr>
                <w:p w14:paraId="19A5EDCD">
                  <w:pPr>
                    <w:pStyle w:val="43"/>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343" w:type="dxa"/>
                  <w:vAlign w:val="center"/>
                </w:tcPr>
                <w:p w14:paraId="0DA09390">
                  <w:pPr>
                    <w:pStyle w:val="43"/>
                    <w:rPr>
                      <w:color w:val="000000" w:themeColor="text1"/>
                      <w14:textFill>
                        <w14:solidFill>
                          <w14:schemeClr w14:val="tx1"/>
                        </w14:solidFill>
                      </w14:textFill>
                    </w:rPr>
                  </w:pPr>
                  <w:r>
                    <w:rPr>
                      <w:color w:val="000000" w:themeColor="text1"/>
                      <w14:textFill>
                        <w14:solidFill>
                          <w14:schemeClr w14:val="tx1"/>
                        </w14:solidFill>
                      </w14:textFill>
                    </w:rPr>
                    <w:t>BOD5</w:t>
                  </w:r>
                </w:p>
              </w:tc>
              <w:tc>
                <w:tcPr>
                  <w:tcW w:w="1343" w:type="dxa"/>
                  <w:vAlign w:val="center"/>
                </w:tcPr>
                <w:p w14:paraId="6449B6BB">
                  <w:pPr>
                    <w:pStyle w:val="43"/>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346" w:type="dxa"/>
                  <w:vAlign w:val="center"/>
                </w:tcPr>
                <w:p w14:paraId="7AF3FF58">
                  <w:pPr>
                    <w:pStyle w:val="43"/>
                    <w:rPr>
                      <w:color w:val="000000" w:themeColor="text1"/>
                      <w14:textFill>
                        <w14:solidFill>
                          <w14:schemeClr w14:val="tx1"/>
                        </w14:solidFill>
                      </w14:textFill>
                    </w:rPr>
                  </w:pPr>
                  <w:r>
                    <w:rPr>
                      <w:color w:val="000000" w:themeColor="text1"/>
                      <w14:textFill>
                        <w14:solidFill>
                          <w14:schemeClr w14:val="tx1"/>
                        </w14:solidFill>
                      </w14:textFill>
                    </w:rPr>
                    <w:t>动植物油</w:t>
                  </w:r>
                </w:p>
              </w:tc>
            </w:tr>
            <w:tr w14:paraId="168C4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3" w:type="dxa"/>
                  <w:vAlign w:val="center"/>
                </w:tcPr>
                <w:p w14:paraId="4242AB1D">
                  <w:pPr>
                    <w:pStyle w:val="43"/>
                    <w:rPr>
                      <w:color w:val="000000" w:themeColor="text1"/>
                      <w14:textFill>
                        <w14:solidFill>
                          <w14:schemeClr w14:val="tx1"/>
                        </w14:solidFill>
                      </w14:textFill>
                    </w:rPr>
                  </w:pPr>
                  <w:r>
                    <w:rPr>
                      <w:color w:val="000000" w:themeColor="text1"/>
                      <w14:textFill>
                        <w14:solidFill>
                          <w14:schemeClr w14:val="tx1"/>
                        </w14:solidFill>
                      </w14:textFill>
                    </w:rPr>
                    <w:t>三级</w:t>
                  </w:r>
                </w:p>
              </w:tc>
              <w:tc>
                <w:tcPr>
                  <w:tcW w:w="1343" w:type="dxa"/>
                  <w:vAlign w:val="center"/>
                </w:tcPr>
                <w:p w14:paraId="12AB54AD">
                  <w:pPr>
                    <w:pStyle w:val="43"/>
                    <w:rPr>
                      <w:color w:val="000000" w:themeColor="text1"/>
                      <w14:textFill>
                        <w14:solidFill>
                          <w14:schemeClr w14:val="tx1"/>
                        </w14:solidFill>
                      </w14:textFill>
                    </w:rPr>
                  </w:pPr>
                  <w:r>
                    <w:rPr>
                      <w:color w:val="000000" w:themeColor="text1"/>
                      <w14:textFill>
                        <w14:solidFill>
                          <w14:schemeClr w14:val="tx1"/>
                        </w14:solidFill>
                      </w14:textFill>
                    </w:rPr>
                    <w:t>6~9</w:t>
                  </w:r>
                </w:p>
              </w:tc>
              <w:tc>
                <w:tcPr>
                  <w:tcW w:w="1343" w:type="dxa"/>
                  <w:vAlign w:val="center"/>
                </w:tcPr>
                <w:p w14:paraId="51DC1BDB">
                  <w:pPr>
                    <w:pStyle w:val="43"/>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343" w:type="dxa"/>
                  <w:vAlign w:val="center"/>
                </w:tcPr>
                <w:p w14:paraId="04258471">
                  <w:pPr>
                    <w:pStyle w:val="43"/>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343" w:type="dxa"/>
                  <w:vAlign w:val="center"/>
                </w:tcPr>
                <w:p w14:paraId="2E569B66">
                  <w:pPr>
                    <w:pStyle w:val="43"/>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1346" w:type="dxa"/>
                  <w:vAlign w:val="center"/>
                </w:tcPr>
                <w:p w14:paraId="4B94624F">
                  <w:pPr>
                    <w:pStyle w:val="43"/>
                    <w:rPr>
                      <w:color w:val="000000" w:themeColor="text1"/>
                      <w14:textFill>
                        <w14:solidFill>
                          <w14:schemeClr w14:val="tx1"/>
                        </w14:solidFill>
                      </w14:textFill>
                    </w:rPr>
                  </w:pPr>
                  <w:r>
                    <w:rPr>
                      <w:color w:val="000000" w:themeColor="text1"/>
                      <w14:textFill>
                        <w14:solidFill>
                          <w14:schemeClr w14:val="tx1"/>
                        </w14:solidFill>
                      </w14:textFill>
                    </w:rPr>
                    <w:t>100</w:t>
                  </w:r>
                </w:p>
              </w:tc>
            </w:tr>
            <w:bookmarkEnd w:id="30"/>
          </w:tbl>
          <w:p w14:paraId="09E42A5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3、噪声</w:t>
            </w:r>
          </w:p>
          <w:p w14:paraId="1138DD7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施工期场界噪声执行《建筑施工噪声排放标准》（GB 12523-2025）。</w:t>
            </w:r>
          </w:p>
          <w:p w14:paraId="4D93F45E">
            <w:pPr>
              <w:pStyle w:val="46"/>
              <w:rPr>
                <w:color w:val="000000" w:themeColor="text1"/>
                <w14:textFill>
                  <w14:solidFill>
                    <w14:schemeClr w14:val="tx1"/>
                  </w14:solidFill>
                </w14:textFill>
              </w:rPr>
            </w:pPr>
            <w:r>
              <w:rPr>
                <w:color w:val="000000" w:themeColor="text1"/>
                <w14:textFill>
                  <w14:solidFill>
                    <w14:schemeClr w14:val="tx1"/>
                  </w14:solidFill>
                </w14:textFill>
              </w:rPr>
              <w:t>表3-1</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《建筑施工噪声排放标准》（GB 12523-2025）</w:t>
            </w:r>
          </w:p>
          <w:tbl>
            <w:tblPr>
              <w:tblStyle w:val="19"/>
              <w:tblW w:w="5000"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256"/>
              <w:gridCol w:w="2045"/>
              <w:gridCol w:w="2300"/>
            </w:tblGrid>
            <w:tr w14:paraId="645E2E74">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142" w:type="pct"/>
                  <w:tcBorders>
                    <w:top w:val="single" w:color="auto" w:sz="12" w:space="0"/>
                  </w:tcBorders>
                  <w:vAlign w:val="center"/>
                </w:tcPr>
                <w:p w14:paraId="40129C74">
                  <w:pPr>
                    <w:pStyle w:val="43"/>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1345" w:type="pct"/>
                  <w:tcBorders>
                    <w:top w:val="single" w:color="auto" w:sz="12" w:space="0"/>
                  </w:tcBorders>
                  <w:vAlign w:val="center"/>
                </w:tcPr>
                <w:p w14:paraId="2508F3F8">
                  <w:pPr>
                    <w:pStyle w:val="43"/>
                    <w:rPr>
                      <w:color w:val="000000" w:themeColor="text1"/>
                      <w14:textFill>
                        <w14:solidFill>
                          <w14:schemeClr w14:val="tx1"/>
                        </w14:solidFill>
                      </w14:textFill>
                    </w:rPr>
                  </w:pPr>
                  <w:r>
                    <w:rPr>
                      <w:color w:val="000000" w:themeColor="text1"/>
                      <w14:textFill>
                        <w14:solidFill>
                          <w14:schemeClr w14:val="tx1"/>
                        </w14:solidFill>
                      </w14:textFill>
                    </w:rPr>
                    <w:t>昼间</w:t>
                  </w:r>
                  <w:r>
                    <w:rPr>
                      <w:rFonts w:hint="eastAsia"/>
                      <w:color w:val="000000" w:themeColor="text1"/>
                      <w14:textFill>
                        <w14:solidFill>
                          <w14:schemeClr w14:val="tx1"/>
                        </w14:solidFill>
                      </w14:textFill>
                    </w:rPr>
                    <w:t>/dB（A）</w:t>
                  </w:r>
                </w:p>
              </w:tc>
              <w:tc>
                <w:tcPr>
                  <w:tcW w:w="1513" w:type="pct"/>
                  <w:tcBorders>
                    <w:top w:val="single" w:color="auto" w:sz="12" w:space="0"/>
                  </w:tcBorders>
                  <w:vAlign w:val="center"/>
                </w:tcPr>
                <w:p w14:paraId="63844529">
                  <w:pPr>
                    <w:pStyle w:val="43"/>
                    <w:rPr>
                      <w:color w:val="000000" w:themeColor="text1"/>
                      <w14:textFill>
                        <w14:solidFill>
                          <w14:schemeClr w14:val="tx1"/>
                        </w14:solidFill>
                      </w14:textFill>
                    </w:rPr>
                  </w:pPr>
                  <w:r>
                    <w:rPr>
                      <w:color w:val="000000" w:themeColor="text1"/>
                      <w14:textFill>
                        <w14:solidFill>
                          <w14:schemeClr w14:val="tx1"/>
                        </w14:solidFill>
                      </w14:textFill>
                    </w:rPr>
                    <w:t>夜间</w:t>
                  </w:r>
                  <w:r>
                    <w:rPr>
                      <w:rFonts w:hint="eastAsia"/>
                      <w:color w:val="000000" w:themeColor="text1"/>
                      <w14:textFill>
                        <w14:solidFill>
                          <w14:schemeClr w14:val="tx1"/>
                        </w14:solidFill>
                      </w14:textFill>
                    </w:rPr>
                    <w:t>/dB（A）</w:t>
                  </w:r>
                </w:p>
              </w:tc>
            </w:tr>
            <w:tr w14:paraId="7C8CB878">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142" w:type="pct"/>
                  <w:tcBorders>
                    <w:bottom w:val="single" w:color="auto" w:sz="12" w:space="0"/>
                  </w:tcBorders>
                  <w:vAlign w:val="center"/>
                </w:tcPr>
                <w:p w14:paraId="0C28FBF3">
                  <w:pPr>
                    <w:pStyle w:val="43"/>
                    <w:rPr>
                      <w:color w:val="000000" w:themeColor="text1"/>
                      <w14:textFill>
                        <w14:solidFill>
                          <w14:schemeClr w14:val="tx1"/>
                        </w14:solidFill>
                      </w14:textFill>
                    </w:rPr>
                  </w:pPr>
                  <w:r>
                    <w:rPr>
                      <w:color w:val="000000" w:themeColor="text1"/>
                      <w14:textFill>
                        <w14:solidFill>
                          <w14:schemeClr w14:val="tx1"/>
                        </w14:solidFill>
                      </w14:textFill>
                    </w:rPr>
                    <w:t>标准值</w:t>
                  </w:r>
                </w:p>
              </w:tc>
              <w:tc>
                <w:tcPr>
                  <w:tcW w:w="1345" w:type="pct"/>
                  <w:tcBorders>
                    <w:bottom w:val="single" w:color="auto" w:sz="12" w:space="0"/>
                  </w:tcBorders>
                  <w:vAlign w:val="center"/>
                </w:tcPr>
                <w:p w14:paraId="1B564AA8">
                  <w:pPr>
                    <w:pStyle w:val="43"/>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513" w:type="pct"/>
                  <w:tcBorders>
                    <w:bottom w:val="single" w:color="auto" w:sz="12" w:space="0"/>
                  </w:tcBorders>
                  <w:vAlign w:val="center"/>
                </w:tcPr>
                <w:p w14:paraId="587ADD68">
                  <w:pPr>
                    <w:pStyle w:val="43"/>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2130486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营运期厂界噪声执行《工业企业厂界环境噪声排放标准》（GB12348-2008）表1中2类标准。</w:t>
            </w:r>
          </w:p>
          <w:p w14:paraId="5456A183">
            <w:pPr>
              <w:jc w:val="center"/>
              <w:rPr>
                <w:rFonts w:eastAsia="黑体"/>
                <w:color w:val="000000" w:themeColor="text1"/>
                <w:kern w:val="0"/>
                <w:szCs w:val="20"/>
                <w14:textFill>
                  <w14:solidFill>
                    <w14:schemeClr w14:val="tx1"/>
                  </w14:solidFill>
                </w14:textFill>
              </w:rPr>
            </w:pPr>
            <w:r>
              <w:rPr>
                <w:rFonts w:eastAsia="黑体"/>
                <w:color w:val="000000" w:themeColor="text1"/>
                <w:kern w:val="0"/>
                <w:szCs w:val="20"/>
                <w14:textFill>
                  <w14:solidFill>
                    <w14:schemeClr w14:val="tx1"/>
                  </w14:solidFill>
                </w14:textFill>
              </w:rPr>
              <w:t>表3-</w:t>
            </w:r>
            <w:r>
              <w:rPr>
                <w:rFonts w:hint="eastAsia" w:eastAsia="黑体"/>
                <w:color w:val="000000" w:themeColor="text1"/>
                <w:kern w:val="0"/>
                <w:szCs w:val="20"/>
                <w14:textFill>
                  <w14:solidFill>
                    <w14:schemeClr w14:val="tx1"/>
                  </w14:solidFill>
                </w14:textFill>
              </w:rPr>
              <w:t xml:space="preserve">15 </w:t>
            </w:r>
            <w:r>
              <w:rPr>
                <w:rFonts w:eastAsia="黑体"/>
                <w:color w:val="000000" w:themeColor="text1"/>
                <w:kern w:val="0"/>
                <w:szCs w:val="20"/>
                <w14:textFill>
                  <w14:solidFill>
                    <w14:schemeClr w14:val="tx1"/>
                  </w14:solidFill>
                </w14:textFill>
              </w:rPr>
              <w:t>噪声排放标准</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6" w:type="dxa"/>
                <w:bottom w:w="0" w:type="dxa"/>
                <w:right w:w="56" w:type="dxa"/>
              </w:tblCellMar>
            </w:tblPr>
            <w:tblGrid>
              <w:gridCol w:w="3745"/>
              <w:gridCol w:w="1906"/>
              <w:gridCol w:w="1947"/>
            </w:tblGrid>
            <w:tr w14:paraId="68561D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6" w:type="dxa"/>
                  <w:bottom w:w="0" w:type="dxa"/>
                  <w:right w:w="56" w:type="dxa"/>
                </w:tblCellMar>
              </w:tblPrEx>
              <w:trPr>
                <w:cantSplit/>
                <w:trHeight w:val="284" w:hRule="atLeast"/>
                <w:jc w:val="center"/>
              </w:trPr>
              <w:tc>
                <w:tcPr>
                  <w:tcW w:w="2465" w:type="pct"/>
                  <w:vAlign w:val="center"/>
                </w:tcPr>
                <w:p w14:paraId="1A7EEF5D">
                  <w:pPr>
                    <w:adjustRightInd w:val="0"/>
                    <w:snapToGrid w:val="0"/>
                    <w:jc w:val="center"/>
                    <w:rPr>
                      <w:bCs/>
                      <w:szCs w:val="21"/>
                    </w:rPr>
                  </w:pPr>
                  <w:r>
                    <w:rPr>
                      <w:bCs/>
                      <w:szCs w:val="21"/>
                    </w:rPr>
                    <w:t>标准名称</w:t>
                  </w:r>
                </w:p>
              </w:tc>
              <w:tc>
                <w:tcPr>
                  <w:tcW w:w="1254" w:type="pct"/>
                  <w:vAlign w:val="center"/>
                </w:tcPr>
                <w:p w14:paraId="12B19549">
                  <w:pPr>
                    <w:adjustRightInd w:val="0"/>
                    <w:snapToGrid w:val="0"/>
                    <w:jc w:val="center"/>
                    <w:rPr>
                      <w:bCs/>
                      <w:szCs w:val="21"/>
                    </w:rPr>
                  </w:pPr>
                  <w:r>
                    <w:rPr>
                      <w:bCs/>
                      <w:szCs w:val="21"/>
                    </w:rPr>
                    <w:t>昼间</w:t>
                  </w:r>
                </w:p>
              </w:tc>
              <w:tc>
                <w:tcPr>
                  <w:tcW w:w="1282" w:type="pct"/>
                  <w:vAlign w:val="center"/>
                </w:tcPr>
                <w:p w14:paraId="41B8C479">
                  <w:pPr>
                    <w:adjustRightInd w:val="0"/>
                    <w:snapToGrid w:val="0"/>
                    <w:jc w:val="center"/>
                    <w:rPr>
                      <w:bCs/>
                      <w:szCs w:val="21"/>
                    </w:rPr>
                  </w:pPr>
                  <w:r>
                    <w:rPr>
                      <w:bCs/>
                      <w:szCs w:val="21"/>
                    </w:rPr>
                    <w:t>夜间</w:t>
                  </w:r>
                </w:p>
              </w:tc>
            </w:tr>
            <w:tr w14:paraId="0F9BC4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6" w:type="dxa"/>
                  <w:bottom w:w="0" w:type="dxa"/>
                  <w:right w:w="56" w:type="dxa"/>
                </w:tblCellMar>
              </w:tblPrEx>
              <w:trPr>
                <w:cantSplit/>
                <w:trHeight w:val="284" w:hRule="atLeast"/>
                <w:jc w:val="center"/>
              </w:trPr>
              <w:tc>
                <w:tcPr>
                  <w:tcW w:w="2465" w:type="pct"/>
                  <w:vAlign w:val="center"/>
                </w:tcPr>
                <w:p w14:paraId="4AAB96DB">
                  <w:pPr>
                    <w:adjustRightInd w:val="0"/>
                    <w:snapToGrid w:val="0"/>
                    <w:jc w:val="center"/>
                    <w:rPr>
                      <w:bCs/>
                      <w:szCs w:val="21"/>
                    </w:rPr>
                  </w:pPr>
                  <w:r>
                    <w:rPr>
                      <w:bCs/>
                      <w:szCs w:val="21"/>
                    </w:rPr>
                    <w:t>2类</w:t>
                  </w:r>
                </w:p>
              </w:tc>
              <w:tc>
                <w:tcPr>
                  <w:tcW w:w="1254" w:type="pct"/>
                  <w:vAlign w:val="center"/>
                </w:tcPr>
                <w:p w14:paraId="33C71B2A">
                  <w:pPr>
                    <w:adjustRightInd w:val="0"/>
                    <w:snapToGrid w:val="0"/>
                    <w:jc w:val="center"/>
                    <w:rPr>
                      <w:bCs/>
                      <w:szCs w:val="21"/>
                    </w:rPr>
                  </w:pPr>
                  <w:r>
                    <w:rPr>
                      <w:bCs/>
                      <w:szCs w:val="21"/>
                    </w:rPr>
                    <w:t>60dB（A）</w:t>
                  </w:r>
                </w:p>
              </w:tc>
              <w:tc>
                <w:tcPr>
                  <w:tcW w:w="1282" w:type="pct"/>
                  <w:vAlign w:val="center"/>
                </w:tcPr>
                <w:p w14:paraId="7869D84C">
                  <w:pPr>
                    <w:adjustRightInd w:val="0"/>
                    <w:snapToGrid w:val="0"/>
                    <w:jc w:val="center"/>
                    <w:rPr>
                      <w:bCs/>
                      <w:szCs w:val="21"/>
                    </w:rPr>
                  </w:pPr>
                  <w:r>
                    <w:rPr>
                      <w:bCs/>
                      <w:szCs w:val="21"/>
                    </w:rPr>
                    <w:t>50dB（A）</w:t>
                  </w:r>
                </w:p>
              </w:tc>
            </w:tr>
          </w:tbl>
          <w:p w14:paraId="3D8DBDB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4、固体废物</w:t>
            </w:r>
          </w:p>
          <w:p w14:paraId="01B310F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（1）一般固体废物执行《一般工业固体废物贮存和填埋污染控制标准》（GB18599-2020）</w:t>
            </w:r>
            <w:r>
              <w:rPr>
                <w:color w:val="000000" w:themeColor="text1"/>
                <w14:textFill>
                  <w14:solidFill>
                    <w14:schemeClr w14:val="tx1"/>
                  </w14:solidFill>
                </w14:textFill>
              </w:rPr>
              <w:t>。</w:t>
            </w:r>
          </w:p>
          <w:p w14:paraId="2B9D52C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（2）《一般固体废物分类与代码》（GB/T39198-2020）、关于发布《固体废物分类与代码目录》的公告（生态环境部公告2024年第4号）。</w:t>
            </w:r>
          </w:p>
        </w:tc>
      </w:tr>
      <w:tr w14:paraId="32626B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593" w:type="pct"/>
            <w:vAlign w:val="center"/>
          </w:tcPr>
          <w:p w14:paraId="577637C3">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其他</w:t>
            </w:r>
          </w:p>
        </w:tc>
        <w:tc>
          <w:tcPr>
            <w:tcW w:w="4407" w:type="pct"/>
            <w:vAlign w:val="center"/>
          </w:tcPr>
          <w:p w14:paraId="7990ED78">
            <w:pPr>
              <w:jc w:val="center"/>
              <w:rPr>
                <w:rFonts w:eastAsia="黑体"/>
                <w:color w:val="000000" w:themeColor="text1"/>
                <w:kern w:val="0"/>
                <w:szCs w:val="20"/>
                <w14:textFill>
                  <w14:solidFill>
                    <w14:schemeClr w14:val="tx1"/>
                  </w14:solidFill>
                </w14:textFill>
              </w:rPr>
            </w:pPr>
            <w:r>
              <w:rPr>
                <w:rFonts w:eastAsia="黑体"/>
                <w:color w:val="000000" w:themeColor="text1"/>
                <w:kern w:val="0"/>
                <w:szCs w:val="20"/>
                <w14:textFill>
                  <w14:solidFill>
                    <w14:schemeClr w14:val="tx1"/>
                  </w14:solidFill>
                </w14:textFill>
              </w:rPr>
              <w:t>表3-1</w:t>
            </w:r>
            <w:r>
              <w:rPr>
                <w:rFonts w:hint="eastAsia" w:eastAsia="黑体"/>
                <w:color w:val="000000" w:themeColor="text1"/>
                <w:kern w:val="0"/>
                <w:szCs w:val="20"/>
                <w14:textFill>
                  <w14:solidFill>
                    <w14:schemeClr w14:val="tx1"/>
                  </w14:solidFill>
                </w14:textFill>
              </w:rPr>
              <w:t>6</w:t>
            </w:r>
            <w:r>
              <w:rPr>
                <w:rFonts w:eastAsia="黑体"/>
                <w:color w:val="000000" w:themeColor="text1"/>
                <w:kern w:val="0"/>
                <w:szCs w:val="20"/>
                <w14:textFill>
                  <w14:solidFill>
                    <w14:schemeClr w14:val="tx1"/>
                  </w14:solidFill>
                </w14:textFill>
              </w:rPr>
              <w:t xml:space="preserve"> 污染物排放量</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7"/>
              <w:gridCol w:w="2879"/>
            </w:tblGrid>
            <w:tr w14:paraId="3E3C7D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7" w:type="dxa"/>
                  <w:vAlign w:val="center"/>
                </w:tcPr>
                <w:p w14:paraId="47F3031D">
                  <w:pPr>
                    <w:adjustRightInd w:val="0"/>
                    <w:snapToGrid w:val="0"/>
                    <w:jc w:val="center"/>
                    <w:rPr>
                      <w:bCs/>
                      <w:sz w:val="18"/>
                      <w:szCs w:val="18"/>
                    </w:rPr>
                  </w:pPr>
                  <w:r>
                    <w:rPr>
                      <w:bCs/>
                      <w:sz w:val="18"/>
                      <w:szCs w:val="18"/>
                    </w:rPr>
                    <w:t>污染物</w:t>
                  </w:r>
                </w:p>
              </w:tc>
              <w:tc>
                <w:tcPr>
                  <w:tcW w:w="2879" w:type="dxa"/>
                  <w:vAlign w:val="center"/>
                </w:tcPr>
                <w:p w14:paraId="50CB4660">
                  <w:pPr>
                    <w:adjustRightInd w:val="0"/>
                    <w:snapToGrid w:val="0"/>
                    <w:jc w:val="center"/>
                    <w:rPr>
                      <w:bCs/>
                      <w:sz w:val="18"/>
                      <w:szCs w:val="18"/>
                    </w:rPr>
                  </w:pPr>
                  <w:r>
                    <w:rPr>
                      <w:bCs/>
                      <w:sz w:val="18"/>
                      <w:szCs w:val="18"/>
                    </w:rPr>
                    <w:t>本项目预测排放量</w:t>
                  </w:r>
                </w:p>
              </w:tc>
            </w:tr>
            <w:tr w14:paraId="1EED2C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7" w:type="dxa"/>
                  <w:vAlign w:val="center"/>
                </w:tcPr>
                <w:p w14:paraId="31AC225E">
                  <w:pPr>
                    <w:adjustRightInd w:val="0"/>
                    <w:snapToGrid w:val="0"/>
                    <w:jc w:val="center"/>
                    <w:rPr>
                      <w:bCs/>
                      <w:sz w:val="18"/>
                      <w:szCs w:val="18"/>
                    </w:rPr>
                  </w:pPr>
                  <w:r>
                    <w:rPr>
                      <w:bCs/>
                      <w:sz w:val="18"/>
                      <w:szCs w:val="18"/>
                    </w:rPr>
                    <w:t>二氧化硫</w:t>
                  </w:r>
                </w:p>
              </w:tc>
              <w:tc>
                <w:tcPr>
                  <w:tcW w:w="2879" w:type="dxa"/>
                  <w:vAlign w:val="center"/>
                </w:tcPr>
                <w:p w14:paraId="33AF2F50">
                  <w:pPr>
                    <w:adjustRightInd w:val="0"/>
                    <w:snapToGrid w:val="0"/>
                    <w:jc w:val="center"/>
                    <w:rPr>
                      <w:bCs/>
                      <w:sz w:val="18"/>
                      <w:szCs w:val="18"/>
                    </w:rPr>
                  </w:pPr>
                  <w:r>
                    <w:rPr>
                      <w:bCs/>
                      <w:sz w:val="18"/>
                      <w:szCs w:val="18"/>
                    </w:rPr>
                    <w:t>1.44t/a</w:t>
                  </w:r>
                </w:p>
              </w:tc>
            </w:tr>
            <w:tr w14:paraId="07A49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7" w:type="dxa"/>
                  <w:vAlign w:val="center"/>
                </w:tcPr>
                <w:p w14:paraId="0BCECD5C">
                  <w:pPr>
                    <w:adjustRightInd w:val="0"/>
                    <w:snapToGrid w:val="0"/>
                    <w:jc w:val="center"/>
                    <w:rPr>
                      <w:bCs/>
                      <w:sz w:val="18"/>
                      <w:szCs w:val="18"/>
                    </w:rPr>
                  </w:pPr>
                  <w:r>
                    <w:rPr>
                      <w:bCs/>
                      <w:sz w:val="18"/>
                      <w:szCs w:val="18"/>
                    </w:rPr>
                    <w:t>氮氧化物</w:t>
                  </w:r>
                </w:p>
              </w:tc>
              <w:tc>
                <w:tcPr>
                  <w:tcW w:w="2879" w:type="dxa"/>
                  <w:vAlign w:val="center"/>
                </w:tcPr>
                <w:p w14:paraId="17A901E4">
                  <w:pPr>
                    <w:adjustRightInd w:val="0"/>
                    <w:snapToGrid w:val="0"/>
                    <w:jc w:val="center"/>
                    <w:rPr>
                      <w:bCs/>
                      <w:sz w:val="18"/>
                      <w:szCs w:val="18"/>
                    </w:rPr>
                  </w:pPr>
                  <w:r>
                    <w:rPr>
                      <w:bCs/>
                      <w:sz w:val="18"/>
                      <w:szCs w:val="18"/>
                    </w:rPr>
                    <w:t>1.764t/a</w:t>
                  </w:r>
                </w:p>
              </w:tc>
            </w:tr>
            <w:tr w14:paraId="38940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7" w:type="dxa"/>
                  <w:vAlign w:val="center"/>
                </w:tcPr>
                <w:p w14:paraId="50D9D989">
                  <w:pPr>
                    <w:adjustRightInd w:val="0"/>
                    <w:snapToGrid w:val="0"/>
                    <w:jc w:val="center"/>
                    <w:rPr>
                      <w:bCs/>
                      <w:sz w:val="18"/>
                      <w:szCs w:val="18"/>
                    </w:rPr>
                  </w:pPr>
                  <w:r>
                    <w:rPr>
                      <w:bCs/>
                      <w:sz w:val="18"/>
                      <w:szCs w:val="18"/>
                    </w:rPr>
                    <w:t>颗粒物</w:t>
                  </w:r>
                </w:p>
              </w:tc>
              <w:tc>
                <w:tcPr>
                  <w:tcW w:w="2879" w:type="dxa"/>
                  <w:vAlign w:val="center"/>
                </w:tcPr>
                <w:p w14:paraId="507B3483">
                  <w:pPr>
                    <w:adjustRightInd w:val="0"/>
                    <w:snapToGrid w:val="0"/>
                    <w:jc w:val="center"/>
                    <w:rPr>
                      <w:bCs/>
                      <w:sz w:val="18"/>
                      <w:szCs w:val="18"/>
                    </w:rPr>
                  </w:pPr>
                  <w:r>
                    <w:rPr>
                      <w:bCs/>
                      <w:sz w:val="18"/>
                      <w:szCs w:val="18"/>
                    </w:rPr>
                    <w:t>0.24t/a</w:t>
                  </w:r>
                </w:p>
              </w:tc>
            </w:tr>
            <w:tr w14:paraId="5D011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7" w:type="dxa"/>
                  <w:vAlign w:val="center"/>
                </w:tcPr>
                <w:p w14:paraId="217A66F9">
                  <w:pPr>
                    <w:adjustRightInd w:val="0"/>
                    <w:snapToGrid w:val="0"/>
                    <w:jc w:val="center"/>
                    <w:rPr>
                      <w:bCs/>
                      <w:sz w:val="18"/>
                      <w:szCs w:val="18"/>
                    </w:rPr>
                  </w:pPr>
                  <w:r>
                    <w:rPr>
                      <w:bCs/>
                      <w:sz w:val="18"/>
                      <w:szCs w:val="18"/>
                    </w:rPr>
                    <w:t>COD</w:t>
                  </w:r>
                </w:p>
              </w:tc>
              <w:tc>
                <w:tcPr>
                  <w:tcW w:w="2879" w:type="dxa"/>
                  <w:vAlign w:val="center"/>
                </w:tcPr>
                <w:p w14:paraId="6FCD19B9">
                  <w:pPr>
                    <w:adjustRightInd w:val="0"/>
                    <w:snapToGrid w:val="0"/>
                    <w:jc w:val="center"/>
                    <w:rPr>
                      <w:bCs/>
                      <w:sz w:val="18"/>
                      <w:szCs w:val="18"/>
                    </w:rPr>
                  </w:pPr>
                  <w:r>
                    <w:rPr>
                      <w:rFonts w:hint="eastAsia"/>
                      <w:sz w:val="18"/>
                      <w:szCs w:val="18"/>
                    </w:rPr>
                    <w:t>12.35</w:t>
                  </w:r>
                  <w:r>
                    <w:rPr>
                      <w:bCs/>
                      <w:sz w:val="18"/>
                      <w:szCs w:val="18"/>
                    </w:rPr>
                    <w:t xml:space="preserve"> t/a</w:t>
                  </w:r>
                </w:p>
              </w:tc>
            </w:tr>
            <w:tr w14:paraId="0846B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47" w:type="dxa"/>
                  <w:vAlign w:val="center"/>
                </w:tcPr>
                <w:p w14:paraId="0E34A21A">
                  <w:pPr>
                    <w:adjustRightInd w:val="0"/>
                    <w:snapToGrid w:val="0"/>
                    <w:jc w:val="center"/>
                    <w:rPr>
                      <w:bCs/>
                      <w:sz w:val="18"/>
                      <w:szCs w:val="18"/>
                    </w:rPr>
                  </w:pPr>
                  <w:r>
                    <w:rPr>
                      <w:bCs/>
                      <w:sz w:val="18"/>
                      <w:szCs w:val="18"/>
                    </w:rPr>
                    <w:t>氨氮</w:t>
                  </w:r>
                </w:p>
              </w:tc>
              <w:tc>
                <w:tcPr>
                  <w:tcW w:w="2879" w:type="dxa"/>
                  <w:vAlign w:val="center"/>
                </w:tcPr>
                <w:p w14:paraId="143B6DFB">
                  <w:pPr>
                    <w:adjustRightInd w:val="0"/>
                    <w:snapToGrid w:val="0"/>
                    <w:jc w:val="center"/>
                    <w:rPr>
                      <w:bCs/>
                      <w:sz w:val="18"/>
                      <w:szCs w:val="18"/>
                    </w:rPr>
                  </w:pPr>
                  <w:r>
                    <w:rPr>
                      <w:rFonts w:hint="eastAsia"/>
                      <w:sz w:val="18"/>
                      <w:szCs w:val="18"/>
                    </w:rPr>
                    <w:t>1.24</w:t>
                  </w:r>
                  <w:r>
                    <w:rPr>
                      <w:bCs/>
                      <w:sz w:val="18"/>
                      <w:szCs w:val="18"/>
                    </w:rPr>
                    <w:t xml:space="preserve"> t/a</w:t>
                  </w:r>
                </w:p>
              </w:tc>
            </w:tr>
          </w:tbl>
          <w:p w14:paraId="6D460609">
            <w:pPr>
              <w:adjustRightInd w:val="0"/>
              <w:snapToGrid w:val="0"/>
              <w:jc w:val="center"/>
              <w:rPr>
                <w:color w:val="000000" w:themeColor="text1"/>
                <w:kern w:val="0"/>
                <w:szCs w:val="21"/>
                <w14:textFill>
                  <w14:solidFill>
                    <w14:schemeClr w14:val="tx1"/>
                  </w14:solidFill>
                </w14:textFill>
              </w:rPr>
            </w:pPr>
          </w:p>
        </w:tc>
      </w:tr>
    </w:tbl>
    <w:p w14:paraId="04B28FA6">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kern w:val="2"/>
          <w:sz w:val="36"/>
          <w:szCs w:val="36"/>
          <w14:textFill>
            <w14:solidFill>
              <w14:schemeClr w14:val="tx1"/>
            </w14:solidFill>
          </w14:textFill>
        </w:rPr>
        <w:br w:type="page"/>
      </w:r>
      <w:bookmarkStart w:id="31" w:name="_Toc232073026"/>
      <w:r>
        <w:rPr>
          <w:rFonts w:ascii="Times New Roman" w:hAnsi="Times New Roman" w:eastAsia="黑体"/>
          <w:snapToGrid w:val="0"/>
          <w:color w:val="000000" w:themeColor="text1"/>
          <w:sz w:val="30"/>
          <w:szCs w:val="30"/>
          <w14:textFill>
            <w14:solidFill>
              <w14:schemeClr w14:val="tx1"/>
            </w14:solidFill>
          </w14:textFill>
        </w:rPr>
        <w:t>四、生态环境影响分析</w:t>
      </w:r>
      <w:bookmarkEnd w:id="31"/>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07"/>
        <w:gridCol w:w="7879"/>
      </w:tblGrid>
      <w:tr w14:paraId="11A60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98" w:hRule="atLeast"/>
          <w:jc w:val="center"/>
        </w:trPr>
        <w:tc>
          <w:tcPr>
            <w:tcW w:w="422" w:type="pct"/>
            <w:tcMar>
              <w:left w:w="28" w:type="dxa"/>
              <w:right w:w="28" w:type="dxa"/>
            </w:tcMar>
            <w:vAlign w:val="center"/>
          </w:tcPr>
          <w:p w14:paraId="513D7B51">
            <w:pPr>
              <w:pStyle w:val="15"/>
              <w:adjustRightInd w:val="0"/>
              <w:snapToGrid w:val="0"/>
              <w:spacing w:before="0" w:beforeAutospacing="0" w:after="0" w:afterAutospacing="0"/>
              <w:jc w:val="center"/>
              <w:rPr>
                <w:rFonts w:ascii="Times New Roman" w:hAnsi="Times New Roman"/>
                <w:bCs/>
                <w:color w:val="000000" w:themeColor="text1"/>
                <w:kern w:val="2"/>
                <w:sz w:val="21"/>
                <w:szCs w:val="21"/>
                <w14:textFill>
                  <w14:solidFill>
                    <w14:schemeClr w14:val="tx1"/>
                  </w14:solidFill>
                </w14:textFill>
              </w:rPr>
            </w:pPr>
            <w:r>
              <w:rPr>
                <w:rFonts w:hint="eastAsia" w:ascii="Times New Roman" w:hAnsi="Times New Roman"/>
                <w:bCs/>
                <w:color w:val="000000" w:themeColor="text1"/>
                <w:spacing w:val="10"/>
                <w:kern w:val="2"/>
                <w:sz w:val="21"/>
                <w:szCs w:val="21"/>
                <w14:textFill>
                  <w14:solidFill>
                    <w14:schemeClr w14:val="tx1"/>
                  </w14:solidFill>
                </w14:textFill>
              </w:rPr>
              <w:t>施工</w:t>
            </w:r>
            <w:r>
              <w:rPr>
                <w:rFonts w:ascii="Times New Roman" w:hAnsi="Times New Roman"/>
                <w:bCs/>
                <w:color w:val="000000" w:themeColor="text1"/>
                <w:spacing w:val="10"/>
                <w:kern w:val="2"/>
                <w:sz w:val="21"/>
                <w:szCs w:val="21"/>
                <w14:textFill>
                  <w14:solidFill>
                    <w14:schemeClr w14:val="tx1"/>
                  </w14:solidFill>
                </w14:textFill>
              </w:rPr>
              <w:t>期生态环境影响分析</w:t>
            </w:r>
          </w:p>
        </w:tc>
        <w:tc>
          <w:tcPr>
            <w:tcW w:w="4578" w:type="pct"/>
          </w:tcPr>
          <w:p w14:paraId="1AC7BEA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本项目建设施工阶段工程，产生的污染物主要为施工扬尘、淤泥恶臭、施工机械噪声、施工人员产生的生活污水、施工废水、淤泥沥水产生的余水、生活垃圾、建筑垃圾、含油废水处置的废油等。</w:t>
            </w:r>
          </w:p>
          <w:p w14:paraId="7BE92E7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1、施工期废水</w:t>
            </w:r>
            <w:r>
              <w:rPr>
                <w:rFonts w:hint="eastAsia"/>
                <w:color w:val="000000" w:themeColor="text1"/>
                <w14:textFill>
                  <w14:solidFill>
                    <w14:schemeClr w14:val="tx1"/>
                  </w14:solidFill>
                </w14:textFill>
              </w:rPr>
              <w:t>影响分析</w:t>
            </w:r>
          </w:p>
          <w:p w14:paraId="3BA9188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施工期废水主要</w:t>
            </w:r>
            <w:r>
              <w:rPr>
                <w:rFonts w:hint="eastAsia"/>
                <w:color w:val="000000" w:themeColor="text1"/>
                <w14:textFill>
                  <w14:solidFill>
                    <w14:schemeClr w14:val="tx1"/>
                  </w14:solidFill>
                </w14:textFill>
              </w:rPr>
              <w:t>为施工人员生活污水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施工废水等。</w:t>
            </w:r>
          </w:p>
          <w:p w14:paraId="611E9FA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（1）生活污水</w:t>
            </w:r>
          </w:p>
          <w:p w14:paraId="1EB972B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本项目施工人员主要为项目所在地居住人员，饮食全部外购，不设食堂，无食堂废水产生。施工期高峰期人数为</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人，施工人员用水</w:t>
            </w:r>
            <w:r>
              <w:rPr>
                <w:color w:val="000000" w:themeColor="text1"/>
                <w14:textFill>
                  <w14:solidFill>
                    <w14:schemeClr w14:val="tx1"/>
                  </w14:solidFill>
                </w14:textFill>
              </w:rPr>
              <w:t>按60L/人•d计，</w:t>
            </w:r>
            <w:r>
              <w:rPr>
                <w:rFonts w:hint="eastAsia"/>
                <w:color w:val="000000" w:themeColor="text1"/>
                <w14:textFill>
                  <w14:solidFill>
                    <w14:schemeClr w14:val="tx1"/>
                  </w14:solidFill>
                </w14:textFill>
              </w:rPr>
              <w:t>则生活用水量为</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m³/d，项目施工期生活污水按用水量的8</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计算，则产生生活污水量为</w:t>
            </w:r>
            <w:r>
              <w:rPr>
                <w:color w:val="000000" w:themeColor="text1"/>
                <w14:textFill>
                  <w14:solidFill>
                    <w14:schemeClr w14:val="tx1"/>
                  </w14:solidFill>
                </w14:textFill>
              </w:rPr>
              <w:t>0.96</w:t>
            </w:r>
            <w:r>
              <w:rPr>
                <w:rFonts w:hint="eastAsia"/>
                <w:color w:val="000000" w:themeColor="text1"/>
                <w14:textFill>
                  <w14:solidFill>
                    <w14:schemeClr w14:val="tx1"/>
                  </w14:solidFill>
                </w14:textFill>
              </w:rPr>
              <w:t>m³/d，主要污染物为C</w:t>
            </w:r>
            <w:r>
              <w:rPr>
                <w:color w:val="000000" w:themeColor="text1"/>
                <w14:textFill>
                  <w14:solidFill>
                    <w14:schemeClr w14:val="tx1"/>
                  </w14:solidFill>
                </w14:textFill>
              </w:rPr>
              <w:t>OD</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S</w:t>
            </w:r>
            <w:r>
              <w:rPr>
                <w:rFonts w:hint="eastAsia"/>
                <w:color w:val="000000" w:themeColor="text1"/>
                <w14:textFill>
                  <w14:solidFill>
                    <w14:schemeClr w14:val="tx1"/>
                  </w14:solidFill>
                </w14:textFill>
              </w:rPr>
              <w:t>、氨氮等，生活污水直接排放将对河流水质产生影响。</w:t>
            </w:r>
          </w:p>
          <w:p w14:paraId="220732F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项目产生的生活污水集中排入施工作业区自建临时防渗旱厕，定期清掏，外运堆肥。</w:t>
            </w:r>
          </w:p>
          <w:p w14:paraId="6CC26E5B">
            <w:pPr>
              <w:pStyle w:val="54"/>
              <w:ind w:firstLine="420"/>
              <w:rPr>
                <w:color w:val="000000" w:themeColor="text1"/>
                <w14:textFill>
                  <w14:solidFill>
                    <w14:schemeClr w14:val="tx1"/>
                  </w14:solidFill>
                </w14:textFill>
              </w:rPr>
            </w:pPr>
            <w:r>
              <w:rPr>
                <w:color w:val="000000" w:themeColor="text1"/>
                <w14:textFill>
                  <w14:solidFill>
                    <w14:schemeClr w14:val="tx1"/>
                  </w14:solidFill>
                </w14:textFill>
              </w:rPr>
              <w:t>表4-1 生活污水产生情况</w:t>
            </w:r>
          </w:p>
          <w:tbl>
            <w:tblPr>
              <w:tblStyle w:val="1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70"/>
              <w:gridCol w:w="1871"/>
              <w:gridCol w:w="2162"/>
              <w:gridCol w:w="1760"/>
            </w:tblGrid>
            <w:tr w14:paraId="54E84D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96" w:hRule="atLeast"/>
                <w:jc w:val="center"/>
              </w:trPr>
              <w:tc>
                <w:tcPr>
                  <w:tcW w:w="1220" w:type="pct"/>
                  <w:tcBorders>
                    <w:top w:val="single" w:color="000000" w:sz="12" w:space="0"/>
                    <w:bottom w:val="single" w:color="000000" w:sz="4" w:space="0"/>
                    <w:tl2br w:val="nil"/>
                  </w:tcBorders>
                  <w:tcMar>
                    <w:top w:w="15" w:type="dxa"/>
                    <w:left w:w="15" w:type="dxa"/>
                    <w:right w:w="15" w:type="dxa"/>
                  </w:tcMar>
                  <w:vAlign w:val="center"/>
                </w:tcPr>
                <w:p w14:paraId="7A10919D">
                  <w:pPr>
                    <w:pStyle w:val="43"/>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污水量</w:t>
                  </w:r>
                </w:p>
              </w:tc>
              <w:tc>
                <w:tcPr>
                  <w:tcW w:w="1221" w:type="pct"/>
                  <w:tcMar>
                    <w:top w:w="15" w:type="dxa"/>
                    <w:left w:w="15" w:type="dxa"/>
                    <w:right w:w="15" w:type="dxa"/>
                  </w:tcMar>
                  <w:vAlign w:val="center"/>
                </w:tcPr>
                <w:p w14:paraId="68AF3E47">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1411" w:type="pct"/>
                  <w:tcMar>
                    <w:top w:w="15" w:type="dxa"/>
                    <w:left w:w="15" w:type="dxa"/>
                    <w:right w:w="15" w:type="dxa"/>
                  </w:tcMar>
                  <w:vAlign w:val="center"/>
                </w:tcPr>
                <w:p w14:paraId="25F50894">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产生浓度mg/L</w:t>
                  </w:r>
                </w:p>
              </w:tc>
              <w:tc>
                <w:tcPr>
                  <w:tcW w:w="1148" w:type="pct"/>
                  <w:tcMar>
                    <w:top w:w="15" w:type="dxa"/>
                    <w:left w:w="15" w:type="dxa"/>
                    <w:right w:w="15" w:type="dxa"/>
                  </w:tcMar>
                  <w:vAlign w:val="center"/>
                </w:tcPr>
                <w:p w14:paraId="4456E6FD">
                  <w:pPr>
                    <w:pStyle w:val="43"/>
                    <w:rPr>
                      <w:color w:val="000000" w:themeColor="text1"/>
                      <w14:textFill>
                        <w14:solidFill>
                          <w14:schemeClr w14:val="tx1"/>
                        </w14:solidFill>
                      </w14:textFill>
                    </w:rPr>
                  </w:pPr>
                  <w:r>
                    <w:rPr>
                      <w:color w:val="000000" w:themeColor="text1"/>
                      <w:szCs w:val="21"/>
                      <w14:textFill>
                        <w14:solidFill>
                          <w14:schemeClr w14:val="tx1"/>
                        </w14:solidFill>
                      </w14:textFill>
                    </w:rPr>
                    <w:t>产生量t/d</w:t>
                  </w:r>
                </w:p>
              </w:tc>
            </w:tr>
            <w:tr w14:paraId="1E7976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20" w:type="pct"/>
                  <w:vMerge w:val="restart"/>
                  <w:tcBorders>
                    <w:top w:val="single" w:color="000000" w:sz="4" w:space="0"/>
                  </w:tcBorders>
                  <w:tcMar>
                    <w:top w:w="15" w:type="dxa"/>
                    <w:left w:w="15" w:type="dxa"/>
                    <w:right w:w="15" w:type="dxa"/>
                  </w:tcMar>
                  <w:vAlign w:val="center"/>
                </w:tcPr>
                <w:p w14:paraId="6EFF8B25">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生活污水0.96m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1221" w:type="pct"/>
                  <w:tcMar>
                    <w:top w:w="15" w:type="dxa"/>
                    <w:left w:w="15" w:type="dxa"/>
                    <w:right w:w="15" w:type="dxa"/>
                  </w:tcMar>
                  <w:vAlign w:val="center"/>
                </w:tcPr>
                <w:p w14:paraId="5C89FA4F">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1411" w:type="pct"/>
                  <w:tcMar>
                    <w:top w:w="15" w:type="dxa"/>
                    <w:left w:w="15" w:type="dxa"/>
                    <w:right w:w="15" w:type="dxa"/>
                  </w:tcMar>
                  <w:vAlign w:val="center"/>
                </w:tcPr>
                <w:p w14:paraId="345489E2">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350</w:t>
                  </w:r>
                </w:p>
              </w:tc>
              <w:tc>
                <w:tcPr>
                  <w:tcW w:w="1148" w:type="pct"/>
                  <w:tcMar>
                    <w:top w:w="15" w:type="dxa"/>
                    <w:left w:w="15" w:type="dxa"/>
                    <w:right w:w="15" w:type="dxa"/>
                  </w:tcMar>
                  <w:vAlign w:val="center"/>
                </w:tcPr>
                <w:p w14:paraId="2A3A6D2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0.000336</w:t>
                  </w:r>
                </w:p>
              </w:tc>
            </w:tr>
            <w:tr w14:paraId="5427AB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20" w:type="pct"/>
                  <w:vMerge w:val="continue"/>
                  <w:tcMar>
                    <w:top w:w="15" w:type="dxa"/>
                    <w:left w:w="15" w:type="dxa"/>
                    <w:right w:w="15" w:type="dxa"/>
                  </w:tcMar>
                  <w:vAlign w:val="center"/>
                </w:tcPr>
                <w:p w14:paraId="34C44C2B">
                  <w:pPr>
                    <w:pStyle w:val="43"/>
                    <w:rPr>
                      <w:color w:val="000000" w:themeColor="text1"/>
                      <w:szCs w:val="21"/>
                      <w14:textFill>
                        <w14:solidFill>
                          <w14:schemeClr w14:val="tx1"/>
                        </w14:solidFill>
                      </w14:textFill>
                    </w:rPr>
                  </w:pPr>
                </w:p>
              </w:tc>
              <w:tc>
                <w:tcPr>
                  <w:tcW w:w="1221" w:type="pct"/>
                  <w:tcMar>
                    <w:top w:w="15" w:type="dxa"/>
                    <w:left w:w="15" w:type="dxa"/>
                    <w:right w:w="15" w:type="dxa"/>
                  </w:tcMar>
                  <w:vAlign w:val="center"/>
                </w:tcPr>
                <w:p w14:paraId="69AAD985">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1411" w:type="pct"/>
                  <w:tcMar>
                    <w:top w:w="15" w:type="dxa"/>
                    <w:left w:w="15" w:type="dxa"/>
                    <w:right w:w="15" w:type="dxa"/>
                  </w:tcMar>
                  <w:vAlign w:val="center"/>
                </w:tcPr>
                <w:p w14:paraId="5A67C39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c>
                <w:tcPr>
                  <w:tcW w:w="1148" w:type="pct"/>
                  <w:tcMar>
                    <w:top w:w="15" w:type="dxa"/>
                    <w:left w:w="15" w:type="dxa"/>
                    <w:right w:w="15" w:type="dxa"/>
                  </w:tcMar>
                  <w:vAlign w:val="center"/>
                </w:tcPr>
                <w:p w14:paraId="59C776D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0.000192</w:t>
                  </w:r>
                </w:p>
              </w:tc>
            </w:tr>
            <w:tr w14:paraId="2458EF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20" w:type="pct"/>
                  <w:vMerge w:val="continue"/>
                  <w:tcMar>
                    <w:top w:w="15" w:type="dxa"/>
                    <w:left w:w="15" w:type="dxa"/>
                    <w:right w:w="15" w:type="dxa"/>
                  </w:tcMar>
                  <w:vAlign w:val="center"/>
                </w:tcPr>
                <w:p w14:paraId="10DF4567">
                  <w:pPr>
                    <w:pStyle w:val="43"/>
                    <w:rPr>
                      <w:color w:val="000000" w:themeColor="text1"/>
                      <w:szCs w:val="21"/>
                      <w14:textFill>
                        <w14:solidFill>
                          <w14:schemeClr w14:val="tx1"/>
                        </w14:solidFill>
                      </w14:textFill>
                    </w:rPr>
                  </w:pPr>
                </w:p>
              </w:tc>
              <w:tc>
                <w:tcPr>
                  <w:tcW w:w="1221" w:type="pct"/>
                  <w:tcMar>
                    <w:top w:w="15" w:type="dxa"/>
                    <w:left w:w="15" w:type="dxa"/>
                    <w:right w:w="15" w:type="dxa"/>
                  </w:tcMar>
                  <w:vAlign w:val="center"/>
                </w:tcPr>
                <w:p w14:paraId="607648A6">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氨氮</w:t>
                  </w:r>
                </w:p>
              </w:tc>
              <w:tc>
                <w:tcPr>
                  <w:tcW w:w="1411" w:type="pct"/>
                  <w:tcMar>
                    <w:top w:w="15" w:type="dxa"/>
                    <w:left w:w="15" w:type="dxa"/>
                    <w:right w:w="15" w:type="dxa"/>
                  </w:tcMar>
                  <w:vAlign w:val="center"/>
                </w:tcPr>
                <w:p w14:paraId="34CDE60A">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25</w:t>
                  </w:r>
                </w:p>
              </w:tc>
              <w:tc>
                <w:tcPr>
                  <w:tcW w:w="1148" w:type="pct"/>
                  <w:tcMar>
                    <w:top w:w="15" w:type="dxa"/>
                    <w:left w:w="15" w:type="dxa"/>
                    <w:right w:w="15" w:type="dxa"/>
                  </w:tcMar>
                  <w:vAlign w:val="center"/>
                </w:tcPr>
                <w:p w14:paraId="59FEF06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0.000024</w:t>
                  </w:r>
                </w:p>
              </w:tc>
            </w:tr>
            <w:tr w14:paraId="79BEB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20" w:type="pct"/>
                  <w:vMerge w:val="continue"/>
                  <w:tcMar>
                    <w:top w:w="15" w:type="dxa"/>
                    <w:left w:w="15" w:type="dxa"/>
                    <w:right w:w="15" w:type="dxa"/>
                  </w:tcMar>
                  <w:vAlign w:val="center"/>
                </w:tcPr>
                <w:p w14:paraId="02DED8DF">
                  <w:pPr>
                    <w:pStyle w:val="43"/>
                    <w:rPr>
                      <w:color w:val="000000" w:themeColor="text1"/>
                      <w:szCs w:val="21"/>
                      <w14:textFill>
                        <w14:solidFill>
                          <w14:schemeClr w14:val="tx1"/>
                        </w14:solidFill>
                      </w14:textFill>
                    </w:rPr>
                  </w:pPr>
                </w:p>
              </w:tc>
              <w:tc>
                <w:tcPr>
                  <w:tcW w:w="1221" w:type="pct"/>
                  <w:tcMar>
                    <w:top w:w="15" w:type="dxa"/>
                    <w:left w:w="15" w:type="dxa"/>
                    <w:right w:w="15" w:type="dxa"/>
                  </w:tcMar>
                  <w:vAlign w:val="center"/>
                </w:tcPr>
                <w:p w14:paraId="3A329118">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1411" w:type="pct"/>
                  <w:tcMar>
                    <w:top w:w="15" w:type="dxa"/>
                    <w:left w:w="15" w:type="dxa"/>
                    <w:right w:w="15" w:type="dxa"/>
                  </w:tcMar>
                  <w:vAlign w:val="center"/>
                </w:tcPr>
                <w:p w14:paraId="40F51465">
                  <w:pPr>
                    <w:pStyle w:val="43"/>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c>
                <w:tcPr>
                  <w:tcW w:w="1148" w:type="pct"/>
                  <w:tcMar>
                    <w:top w:w="15" w:type="dxa"/>
                    <w:left w:w="15" w:type="dxa"/>
                    <w:right w:w="15" w:type="dxa"/>
                  </w:tcMar>
                  <w:vAlign w:val="center"/>
                </w:tcPr>
                <w:p w14:paraId="151C4CE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0.000192</w:t>
                  </w:r>
                </w:p>
              </w:tc>
            </w:tr>
          </w:tbl>
          <w:p w14:paraId="2581DF9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）施工废水</w:t>
            </w:r>
          </w:p>
          <w:p w14:paraId="71A4666B">
            <w:pPr>
              <w:pStyle w:val="47"/>
              <w:ind w:firstLine="42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主要来自施工机械的漏油和机械故障造成的施工机械排污（油）废水、施工机械清洗废水等。根据《公路环境保护设计规范》（JTGB04-2010）和类比调查结果，施工场地车辆冲洗水平均约为0.08m</w:t>
            </w:r>
            <w:r>
              <w:rPr>
                <w:rFonts w:hint="eastAsia"/>
                <w:color w:val="000000" w:themeColor="text1"/>
                <w:vertAlign w:val="superscript"/>
                <w:lang w:val="zh-CN"/>
                <w14:textFill>
                  <w14:solidFill>
                    <w14:schemeClr w14:val="tx1"/>
                  </w14:solidFill>
                </w14:textFill>
              </w:rPr>
              <w:t>3</w:t>
            </w:r>
            <w:r>
              <w:rPr>
                <w:rFonts w:hint="eastAsia"/>
                <w:color w:val="000000" w:themeColor="text1"/>
                <w:lang w:val="zh-CN"/>
                <w14:textFill>
                  <w14:solidFill>
                    <w14:schemeClr w14:val="tx1"/>
                  </w14:solidFill>
                </w14:textFill>
              </w:rPr>
              <w:t>/辆·次。经初步估算工程施工车辆最多时按</w:t>
            </w:r>
            <w:r>
              <w:rPr>
                <w:color w:val="000000" w:themeColor="text1"/>
                <w:lang w:val="zh-CN"/>
                <w14:textFill>
                  <w14:solidFill>
                    <w14:schemeClr w14:val="tx1"/>
                  </w14:solidFill>
                </w14:textFill>
              </w:rPr>
              <w:t>10</w:t>
            </w:r>
            <w:r>
              <w:rPr>
                <w:rFonts w:hint="eastAsia"/>
                <w:color w:val="000000" w:themeColor="text1"/>
                <w:lang w:val="zh-CN"/>
                <w14:textFill>
                  <w14:solidFill>
                    <w14:schemeClr w14:val="tx1"/>
                  </w14:solidFill>
                </w14:textFill>
              </w:rPr>
              <w:t>台计，每台车每天冲洗</w:t>
            </w:r>
            <w:r>
              <w:rPr>
                <w:rFonts w:hint="eastAsia"/>
                <w:color w:val="000000" w:themeColor="text1"/>
                <w14:textFill>
                  <w14:solidFill>
                    <w14:schemeClr w14:val="tx1"/>
                  </w14:solidFill>
                </w14:textFill>
              </w:rPr>
              <w:t>1</w:t>
            </w:r>
            <w:r>
              <w:rPr>
                <w:rFonts w:hint="eastAsia"/>
                <w:color w:val="000000" w:themeColor="text1"/>
                <w:lang w:val="zh-CN"/>
                <w14:textFill>
                  <w14:solidFill>
                    <w14:schemeClr w14:val="tx1"/>
                  </w14:solidFill>
                </w14:textFill>
              </w:rPr>
              <w:t>次</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废水产生情况见下表4-2。</w:t>
            </w:r>
          </w:p>
          <w:p w14:paraId="4AFA0BE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施工废水</w:t>
            </w:r>
            <w:r>
              <w:rPr>
                <w:color w:val="000000" w:themeColor="text1"/>
                <w14:textFill>
                  <w14:solidFill>
                    <w14:schemeClr w14:val="tx1"/>
                  </w14:solidFill>
                </w14:textFill>
              </w:rPr>
              <w:t>主要污染物为石油类、SS，</w:t>
            </w:r>
            <w:r>
              <w:rPr>
                <w:rFonts w:hint="eastAsia"/>
                <w:color w:val="000000" w:themeColor="text1"/>
                <w14:textFill>
                  <w14:solidFill>
                    <w14:schemeClr w14:val="tx1"/>
                  </w14:solidFill>
                </w14:textFill>
              </w:rPr>
              <w:t>施工废水主要污染物为石油类、SS，直接排入河流将对河流水质产生影响。施工废水</w:t>
            </w:r>
            <w:r>
              <w:rPr>
                <w:color w:val="000000" w:themeColor="text1"/>
                <w14:textFill>
                  <w14:solidFill>
                    <w14:schemeClr w14:val="tx1"/>
                  </w14:solidFill>
                </w14:textFill>
              </w:rPr>
              <w:t>经隔油池处理后回用于临时道路、施工场地洒水降尘。在采取</w:t>
            </w:r>
            <w:r>
              <w:rPr>
                <w:rFonts w:hint="eastAsia"/>
                <w:color w:val="000000" w:themeColor="text1"/>
                <w14:textFill>
                  <w14:solidFill>
                    <w14:schemeClr w14:val="tx1"/>
                  </w14:solidFill>
                </w14:textFill>
              </w:rPr>
              <w:t>上述</w:t>
            </w:r>
            <w:r>
              <w:rPr>
                <w:color w:val="000000" w:themeColor="text1"/>
                <w14:textFill>
                  <w14:solidFill>
                    <w14:schemeClr w14:val="tx1"/>
                  </w14:solidFill>
                </w14:textFill>
              </w:rPr>
              <w:t>措施后</w:t>
            </w:r>
            <w:r>
              <w:rPr>
                <w:rFonts w:hint="eastAsia"/>
                <w:color w:val="000000" w:themeColor="text1"/>
                <w14:textFill>
                  <w14:solidFill>
                    <w14:schemeClr w14:val="tx1"/>
                  </w14:solidFill>
                </w14:textFill>
              </w:rPr>
              <w:t>，施工废水均不外排，</w:t>
            </w:r>
            <w:r>
              <w:rPr>
                <w:color w:val="000000" w:themeColor="text1"/>
                <w14:textFill>
                  <w14:solidFill>
                    <w14:schemeClr w14:val="tx1"/>
                  </w14:solidFill>
                </w14:textFill>
              </w:rPr>
              <w:t>对水环境影响</w:t>
            </w:r>
            <w:r>
              <w:rPr>
                <w:rFonts w:hint="eastAsia"/>
                <w:color w:val="000000" w:themeColor="text1"/>
                <w14:textFill>
                  <w14:solidFill>
                    <w14:schemeClr w14:val="tx1"/>
                  </w14:solidFill>
                </w14:textFill>
              </w:rPr>
              <w:t>较小</w:t>
            </w:r>
            <w:r>
              <w:rPr>
                <w:color w:val="000000" w:themeColor="text1"/>
                <w14:textFill>
                  <w14:solidFill>
                    <w14:schemeClr w14:val="tx1"/>
                  </w14:solidFill>
                </w14:textFill>
              </w:rPr>
              <w:t>。</w:t>
            </w:r>
          </w:p>
          <w:p w14:paraId="75A7B8FE">
            <w:pPr>
              <w:pStyle w:val="46"/>
              <w:rPr>
                <w:color w:val="000000" w:themeColor="text1"/>
                <w14:textFill>
                  <w14:solidFill>
                    <w14:schemeClr w14:val="tx1"/>
                  </w14:solidFill>
                </w14:textFill>
              </w:rPr>
            </w:pPr>
            <w:r>
              <w:rPr>
                <w:color w:val="000000" w:themeColor="text1"/>
                <w14:textFill>
                  <w14:solidFill>
                    <w14:schemeClr w14:val="tx1"/>
                  </w14:solidFill>
                </w14:textFill>
              </w:rPr>
              <w:t xml:space="preserve">表4-2 </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废水产生情况</w:t>
            </w:r>
          </w:p>
          <w:tbl>
            <w:tblPr>
              <w:tblStyle w:val="19"/>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68"/>
              <w:gridCol w:w="1868"/>
              <w:gridCol w:w="2159"/>
              <w:gridCol w:w="1768"/>
            </w:tblGrid>
            <w:tr w14:paraId="155E78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02" w:hRule="atLeast"/>
                <w:jc w:val="center"/>
              </w:trPr>
              <w:tc>
                <w:tcPr>
                  <w:tcW w:w="1219" w:type="pct"/>
                  <w:tcBorders>
                    <w:tl2br w:val="single" w:color="000000" w:sz="12" w:space="0"/>
                  </w:tcBorders>
                  <w:tcMar>
                    <w:top w:w="15" w:type="dxa"/>
                    <w:left w:w="15" w:type="dxa"/>
                    <w:right w:w="15" w:type="dxa"/>
                  </w:tcMar>
                  <w:vAlign w:val="center"/>
                </w:tcPr>
                <w:p w14:paraId="3E70CFD3">
                  <w:pPr>
                    <w:pStyle w:val="43"/>
                    <w:jc w:val="right"/>
                    <w:rPr>
                      <w:color w:val="000000" w:themeColor="text1"/>
                      <w14:textFill>
                        <w14:solidFill>
                          <w14:schemeClr w14:val="tx1"/>
                        </w14:solidFill>
                      </w14:textFill>
                    </w:rPr>
                  </w:pPr>
                  <w:r>
                    <w:rPr>
                      <w:rFonts w:hint="eastAsia"/>
                      <w:color w:val="000000" w:themeColor="text1"/>
                      <w14:textFill>
                        <w14:solidFill>
                          <w14:schemeClr w14:val="tx1"/>
                        </w14:solidFill>
                      </w14:textFill>
                    </w:rPr>
                    <w:t>产生情况</w:t>
                  </w:r>
                </w:p>
                <w:p w14:paraId="08E1ACB2">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污水量</w:t>
                  </w:r>
                </w:p>
              </w:tc>
              <w:tc>
                <w:tcPr>
                  <w:tcW w:w="1219" w:type="pct"/>
                  <w:tcMar>
                    <w:top w:w="15" w:type="dxa"/>
                    <w:left w:w="15" w:type="dxa"/>
                    <w:right w:w="15" w:type="dxa"/>
                  </w:tcMar>
                  <w:vAlign w:val="center"/>
                </w:tcPr>
                <w:p w14:paraId="54AAD060">
                  <w:pPr>
                    <w:pStyle w:val="43"/>
                    <w:rPr>
                      <w:color w:val="000000" w:themeColor="text1"/>
                      <w14:textFill>
                        <w14:solidFill>
                          <w14:schemeClr w14:val="tx1"/>
                        </w14:solidFill>
                      </w14:textFill>
                    </w:rPr>
                  </w:pPr>
                  <w:r>
                    <w:rPr>
                      <w:color w:val="000000" w:themeColor="text1"/>
                      <w14:textFill>
                        <w14:solidFill>
                          <w14:schemeClr w14:val="tx1"/>
                        </w14:solidFill>
                      </w14:textFill>
                    </w:rPr>
                    <w:t>污染物</w:t>
                  </w:r>
                </w:p>
              </w:tc>
              <w:tc>
                <w:tcPr>
                  <w:tcW w:w="1409" w:type="pct"/>
                  <w:tcMar>
                    <w:top w:w="15" w:type="dxa"/>
                    <w:left w:w="15" w:type="dxa"/>
                    <w:right w:w="15" w:type="dxa"/>
                  </w:tcMar>
                  <w:vAlign w:val="center"/>
                </w:tcPr>
                <w:p w14:paraId="3808D70E">
                  <w:pPr>
                    <w:pStyle w:val="43"/>
                    <w:rPr>
                      <w:color w:val="000000" w:themeColor="text1"/>
                      <w14:textFill>
                        <w14:solidFill>
                          <w14:schemeClr w14:val="tx1"/>
                        </w14:solidFill>
                      </w14:textFill>
                    </w:rPr>
                  </w:pPr>
                  <w:r>
                    <w:rPr>
                      <w:color w:val="000000" w:themeColor="text1"/>
                      <w14:textFill>
                        <w14:solidFill>
                          <w14:schemeClr w14:val="tx1"/>
                        </w14:solidFill>
                      </w14:textFill>
                    </w:rPr>
                    <w:t>产生浓度mg/L</w:t>
                  </w:r>
                </w:p>
              </w:tc>
              <w:tc>
                <w:tcPr>
                  <w:tcW w:w="1153" w:type="pct"/>
                  <w:tcMar>
                    <w:top w:w="15" w:type="dxa"/>
                    <w:left w:w="15" w:type="dxa"/>
                    <w:right w:w="15" w:type="dxa"/>
                  </w:tcMar>
                  <w:vAlign w:val="center"/>
                </w:tcPr>
                <w:p w14:paraId="462F084E">
                  <w:pPr>
                    <w:pStyle w:val="43"/>
                    <w:rPr>
                      <w:color w:val="000000" w:themeColor="text1"/>
                      <w14:textFill>
                        <w14:solidFill>
                          <w14:schemeClr w14:val="tx1"/>
                        </w14:solidFill>
                      </w14:textFill>
                    </w:rPr>
                  </w:pPr>
                  <w:r>
                    <w:rPr>
                      <w:color w:val="000000" w:themeColor="text1"/>
                      <w14:textFill>
                        <w14:solidFill>
                          <w14:schemeClr w14:val="tx1"/>
                        </w14:solidFill>
                      </w14:textFill>
                    </w:rPr>
                    <w:t>产生量t/d</w:t>
                  </w:r>
                </w:p>
              </w:tc>
            </w:tr>
            <w:tr w14:paraId="4AC8A8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19" w:type="pct"/>
                  <w:vMerge w:val="restart"/>
                  <w:tcMar>
                    <w:top w:w="15" w:type="dxa"/>
                    <w:left w:w="15" w:type="dxa"/>
                    <w:right w:w="15" w:type="dxa"/>
                  </w:tcMar>
                  <w:vAlign w:val="center"/>
                </w:tcPr>
                <w:p w14:paraId="64406F27">
                  <w:pPr>
                    <w:pStyle w:val="43"/>
                    <w:rPr>
                      <w:color w:val="000000" w:themeColor="text1"/>
                      <w14:textFill>
                        <w14:solidFill>
                          <w14:schemeClr w14:val="tx1"/>
                        </w14:solidFill>
                      </w14:textFill>
                    </w:rPr>
                  </w:pPr>
                  <w:r>
                    <w:rPr>
                      <w:color w:val="000000" w:themeColor="text1"/>
                      <w14:textFill>
                        <w14:solidFill>
                          <w14:schemeClr w14:val="tx1"/>
                        </w14:solidFill>
                      </w14:textFill>
                    </w:rPr>
                    <w:t>施工废水0.8m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p>
              </w:tc>
              <w:tc>
                <w:tcPr>
                  <w:tcW w:w="1219" w:type="pct"/>
                  <w:tcMar>
                    <w:top w:w="15" w:type="dxa"/>
                    <w:left w:w="15" w:type="dxa"/>
                    <w:right w:w="15" w:type="dxa"/>
                  </w:tcMar>
                  <w:vAlign w:val="center"/>
                </w:tcPr>
                <w:p w14:paraId="16F52A06">
                  <w:pPr>
                    <w:pStyle w:val="43"/>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409" w:type="pct"/>
                  <w:tcMar>
                    <w:top w:w="15" w:type="dxa"/>
                    <w:left w:w="15" w:type="dxa"/>
                    <w:right w:w="15" w:type="dxa"/>
                  </w:tcMar>
                  <w:vAlign w:val="center"/>
                </w:tcPr>
                <w:p w14:paraId="5659EF83">
                  <w:pPr>
                    <w:pStyle w:val="43"/>
                    <w:rPr>
                      <w:color w:val="000000" w:themeColor="text1"/>
                      <w14:textFill>
                        <w14:solidFill>
                          <w14:schemeClr w14:val="tx1"/>
                        </w14:solidFill>
                      </w14:textFill>
                    </w:rPr>
                  </w:pPr>
                  <w:r>
                    <w:rPr>
                      <w:color w:val="000000" w:themeColor="text1"/>
                      <w14:textFill>
                        <w14:solidFill>
                          <w14:schemeClr w14:val="tx1"/>
                        </w14:solidFill>
                      </w14:textFill>
                    </w:rPr>
                    <w:t>125</w:t>
                  </w:r>
                </w:p>
              </w:tc>
              <w:tc>
                <w:tcPr>
                  <w:tcW w:w="1153" w:type="pct"/>
                  <w:tcMar>
                    <w:top w:w="15" w:type="dxa"/>
                    <w:left w:w="15" w:type="dxa"/>
                    <w:right w:w="15" w:type="dxa"/>
                  </w:tcMar>
                  <w:vAlign w:val="center"/>
                </w:tcPr>
                <w:p w14:paraId="53464B6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0.00012</w:t>
                  </w:r>
                </w:p>
              </w:tc>
            </w:tr>
            <w:tr w14:paraId="19520A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19" w:type="pct"/>
                  <w:vMerge w:val="continue"/>
                  <w:tcMar>
                    <w:top w:w="15" w:type="dxa"/>
                    <w:left w:w="15" w:type="dxa"/>
                    <w:right w:w="15" w:type="dxa"/>
                  </w:tcMar>
                  <w:vAlign w:val="center"/>
                </w:tcPr>
                <w:p w14:paraId="0F00CB9E">
                  <w:pPr>
                    <w:pStyle w:val="43"/>
                    <w:rPr>
                      <w:color w:val="000000" w:themeColor="text1"/>
                      <w14:textFill>
                        <w14:solidFill>
                          <w14:schemeClr w14:val="tx1"/>
                        </w14:solidFill>
                      </w14:textFill>
                    </w:rPr>
                  </w:pPr>
                </w:p>
              </w:tc>
              <w:tc>
                <w:tcPr>
                  <w:tcW w:w="1219" w:type="pct"/>
                  <w:tcMar>
                    <w:top w:w="15" w:type="dxa"/>
                    <w:left w:w="15" w:type="dxa"/>
                    <w:right w:w="15" w:type="dxa"/>
                  </w:tcMar>
                  <w:vAlign w:val="center"/>
                </w:tcPr>
                <w:p w14:paraId="2C902BA4">
                  <w:pPr>
                    <w:pStyle w:val="43"/>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1409" w:type="pct"/>
                  <w:tcMar>
                    <w:top w:w="15" w:type="dxa"/>
                    <w:left w:w="15" w:type="dxa"/>
                    <w:right w:w="15" w:type="dxa"/>
                  </w:tcMar>
                  <w:vAlign w:val="center"/>
                </w:tcPr>
                <w:p w14:paraId="31E6F1BE">
                  <w:pPr>
                    <w:pStyle w:val="43"/>
                    <w:rPr>
                      <w:color w:val="000000" w:themeColor="text1"/>
                      <w14:textFill>
                        <w14:solidFill>
                          <w14:schemeClr w14:val="tx1"/>
                        </w14:solidFill>
                      </w14:textFill>
                    </w:rPr>
                  </w:pPr>
                  <w:r>
                    <w:rPr>
                      <w:color w:val="000000" w:themeColor="text1"/>
                      <w14:textFill>
                        <w14:solidFill>
                          <w14:schemeClr w14:val="tx1"/>
                        </w14:solidFill>
                      </w14:textFill>
                    </w:rPr>
                    <w:t>20</w:t>
                  </w:r>
                </w:p>
              </w:tc>
              <w:tc>
                <w:tcPr>
                  <w:tcW w:w="1153" w:type="pct"/>
                  <w:tcMar>
                    <w:top w:w="15" w:type="dxa"/>
                    <w:left w:w="15" w:type="dxa"/>
                    <w:right w:w="15" w:type="dxa"/>
                  </w:tcMar>
                  <w:vAlign w:val="center"/>
                </w:tcPr>
                <w:p w14:paraId="03D4E49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0.0000192</w:t>
                  </w:r>
                </w:p>
              </w:tc>
            </w:tr>
            <w:tr w14:paraId="23B328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 w:hRule="atLeast"/>
                <w:jc w:val="center"/>
              </w:trPr>
              <w:tc>
                <w:tcPr>
                  <w:tcW w:w="1219" w:type="pct"/>
                  <w:vMerge w:val="continue"/>
                  <w:tcMar>
                    <w:top w:w="15" w:type="dxa"/>
                    <w:left w:w="15" w:type="dxa"/>
                    <w:right w:w="15" w:type="dxa"/>
                  </w:tcMar>
                  <w:vAlign w:val="center"/>
                </w:tcPr>
                <w:p w14:paraId="7B758980">
                  <w:pPr>
                    <w:pStyle w:val="43"/>
                    <w:rPr>
                      <w:color w:val="000000" w:themeColor="text1"/>
                      <w14:textFill>
                        <w14:solidFill>
                          <w14:schemeClr w14:val="tx1"/>
                        </w14:solidFill>
                      </w14:textFill>
                    </w:rPr>
                  </w:pPr>
                </w:p>
              </w:tc>
              <w:tc>
                <w:tcPr>
                  <w:tcW w:w="1219" w:type="pct"/>
                  <w:tcMar>
                    <w:top w:w="15" w:type="dxa"/>
                    <w:left w:w="15" w:type="dxa"/>
                    <w:right w:w="15" w:type="dxa"/>
                  </w:tcMar>
                  <w:vAlign w:val="center"/>
                </w:tcPr>
                <w:p w14:paraId="6728FFB0">
                  <w:pPr>
                    <w:pStyle w:val="43"/>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409" w:type="pct"/>
                  <w:tcMar>
                    <w:top w:w="15" w:type="dxa"/>
                    <w:left w:w="15" w:type="dxa"/>
                    <w:right w:w="15" w:type="dxa"/>
                  </w:tcMar>
                  <w:vAlign w:val="center"/>
                </w:tcPr>
                <w:p w14:paraId="2AE5FD72">
                  <w:pPr>
                    <w:pStyle w:val="43"/>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1153" w:type="pct"/>
                  <w:tcMar>
                    <w:top w:w="15" w:type="dxa"/>
                    <w:left w:w="15" w:type="dxa"/>
                    <w:right w:w="15" w:type="dxa"/>
                  </w:tcMar>
                  <w:vAlign w:val="center"/>
                </w:tcPr>
                <w:p w14:paraId="5438D79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0.00048</w:t>
                  </w:r>
                </w:p>
              </w:tc>
            </w:tr>
          </w:tbl>
          <w:p w14:paraId="37F4D60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（3）河道清淤工程对水的环境影响</w:t>
            </w:r>
          </w:p>
          <w:p w14:paraId="211264D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河道清理疏挖工程产生水污染物途径主要有：河道清理疏挖工程过程扰乱河道淤泥、泥沙、乱石、树枝等杂物，清理疏挖导致大量细颗粒泥砂悬浮于水中；衬砌挖填土方作业时泥砂流失进入河道，细颗粒泥砂悬浮于水中，水质将受到影响。施工过程中搅动水体中氮、磷等污染物会对水质产生的影响很小，主要影响为河道内悬浮物含量升高，对水质影响较明显，但悬浮物质为颗粒态，它随着河水运动的同时在河水中沉降于河底，这一特性决定了它的影响范围和影响时间是有限的，清理疏挖引起的悬浮物扩散的影响将随施工结束而消失。</w:t>
            </w:r>
          </w:p>
          <w:p w14:paraId="476A2E5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河道疏浚工程悬浮物影响预测模型》（辛小康，叶闽，王凤，水利水电科技进展，第31卷第1期，2011年2月），文献指出，现行《地表水环境质量标准》（GB3838-2002）中没有将SS作为常规因子列出，因此提出采取基于泥沙运动方程的一维泥沙模型，文中采用对深圳河疏浚过程进行预测，为了减少施工活动对深圳河水质的影响，在抓斗施工时在下游100m处布设防泥幕帘（与本项目措施相同，参考该运动模型结果可行）；文中对深圳河疏浚过程的计算结果为：设置防泥幕帘后，水中的SS质量浓度急剧减少，然后迅速恢复至其背景浓度。由于防泥幕帘的拦截，幕帘下游部分SS质量浓度甚至小于其背景值，但由于床面泥沙冲刷补给，又恢复至其背景值，这种情况符合泥沙在水流中运动的真实情形，物理意义更加明确，采用该方法模拟SS质量浓度可以反映河流内泥沙运动状况。根据泥沙模型计算结果统计，增加防泥幕帘后旱季施工点下游1000m处的SS质量浓度不增加。</w:t>
            </w:r>
          </w:p>
          <w:p w14:paraId="1D4771C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总体来看，清理疏挖施工作业对水环境的影响是轻微的，河道施工扰动产生的悬浮物对上、下游区域的影响范围较小，河道疏浚过程中增加防泥幕帘后可以确保河道下游SS背景值浓度不增加。</w:t>
            </w:r>
          </w:p>
          <w:p w14:paraId="2C95BF7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（4）淤泥沥水产生的余水</w:t>
            </w:r>
          </w:p>
          <w:p w14:paraId="5DB0F18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淤泥输送至岸上后，体积一般将扩大若干倍，淤泥经堆存地沉淀后大量余水外排，本项目淤泥脱水采用自然脱水干化措施，清淤工程主要为清理疏挖河道泥沙、碎石、树枝等杂物，因此产生淤泥量较少，淤泥脱水量较少，根据《梅花河度假村水上乐园、冷水鱼养殖综合项目实施方案》及本工程水土保持方案等设计资料，淤泥量为</w:t>
            </w:r>
            <w:bookmarkStart w:id="32" w:name="OLE_LINK3"/>
            <w:r>
              <w:rPr>
                <w:rFonts w:hint="eastAsia"/>
                <w:color w:val="000000" w:themeColor="text1"/>
                <w14:textFill>
                  <w14:solidFill>
                    <w14:schemeClr w14:val="tx1"/>
                  </w14:solidFill>
                </w14:textFill>
              </w:rPr>
              <w:t>14.32万m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bookmarkEnd w:id="32"/>
            <w:r>
              <w:rPr>
                <w:rFonts w:hint="eastAsia"/>
                <w:color w:val="000000" w:themeColor="text1"/>
                <w14:textFill>
                  <w14:solidFill>
                    <w14:schemeClr w14:val="tx1"/>
                  </w14:solidFill>
                </w14:textFill>
              </w:rPr>
              <w:t>淤泥沥水中污染物主要来源于施工区水体中所含污染物和淤泥颗粒中所富集的N、P污染物，施工中只要控制住余水中悬浮物排放浓度，就能有效控制污染物排放浓度。</w:t>
            </w:r>
          </w:p>
          <w:p w14:paraId="1AF5AA0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淤泥沥水中污染物含量随泥浆沉降时间增加而降低，将淤泥临时堆场平整后铺设防渗土工膜，在堆场最低处设置防渗集水坑，通过小型潜水泵将集水坑内的沥水抽排引入沉淀池沉淀，经沉淀池澄清后上清液回用于周边场地洒水抑尘。利用洒水设备不定时地间断洒水，根据气候情况确定洒水次数。在晴天或有风天气每天洒水4次；晴天小风或无风天气洒水2次。</w:t>
            </w:r>
          </w:p>
          <w:p w14:paraId="5D88D0D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淤泥临时堆放场设置在清淤工程西侧，在自然降雨及地表冲刷情况下，污染物会随径流下渗或侧渗，对地表水、地下水环境可能造成二次污染。淤泥中影响水质的主要污染物质为有机物，根据底泥监测结果工程沿线河床未受到重金属污染。淤泥中污染物不仅自身好氧，而且通过向上覆水体的释放，增加水体的污染负荷，淤泥污染物的释放速率与河段水动力条件、所处地貌等有关，因此淤泥应避雨堆放，施工作业区的淤泥堆存场地应采取防渗措施，经上述措施处理后淤泥存放过程中不会对周围水环境造成影响。</w:t>
            </w:r>
          </w:p>
          <w:p w14:paraId="383F7B8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本项目产生的废水需采取措施对生活污水、施工废水、淤泥沥水产生的余水进行处理，减少对河流水质的影响。</w:t>
            </w:r>
          </w:p>
          <w:p w14:paraId="06618B0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2、施工期大气</w:t>
            </w:r>
            <w:r>
              <w:rPr>
                <w:rFonts w:hint="eastAsia"/>
                <w:color w:val="000000" w:themeColor="text1"/>
                <w14:textFill>
                  <w14:solidFill>
                    <w14:schemeClr w14:val="tx1"/>
                  </w14:solidFill>
                </w14:textFill>
              </w:rPr>
              <w:t>环境影响分析</w:t>
            </w:r>
          </w:p>
          <w:p w14:paraId="46EE901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（1）施工扬尘对环境的影响分析</w:t>
            </w:r>
          </w:p>
          <w:p w14:paraId="491B0C83">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本工程施工期施工扬尘主要来自挖掘机开挖、车辆装卸、土方运输等过程，尤其在天气干燥、风速较大情况下，扬尘污染更为严重。</w:t>
            </w:r>
          </w:p>
          <w:p w14:paraId="2DBBD9F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评价采用北京市环境保护科学研究院对建筑工程施工场地扬尘实测资料进行类比分析。1992年6月北京市环境保护科学研究院对四个市政工程（两个有围挡，两个无围挡，各设置一个上风向对照点）的扬尘情况进行了调查测定，测定时风速为2.4m/s，结果见下表。</w:t>
            </w:r>
          </w:p>
          <w:p w14:paraId="1AA6243D">
            <w:pPr>
              <w:pStyle w:val="46"/>
              <w:rPr>
                <w:color w:val="000000" w:themeColor="text1"/>
                <w14:textFill>
                  <w14:solidFill>
                    <w14:schemeClr w14:val="tx1"/>
                  </w14:solidFill>
                </w14:textFill>
              </w:rPr>
            </w:pPr>
            <w:r>
              <w:rPr>
                <w:color w:val="000000" w:themeColor="text1"/>
                <w14:textFill>
                  <w14:solidFill>
                    <w14:schemeClr w14:val="tx1"/>
                  </w14:solidFill>
                </w14:textFill>
              </w:rPr>
              <w:t>表4-3 市政工程施工扬尘对环境的影响</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907"/>
              <w:gridCol w:w="772"/>
              <w:gridCol w:w="772"/>
              <w:gridCol w:w="772"/>
              <w:gridCol w:w="772"/>
              <w:gridCol w:w="772"/>
              <w:gridCol w:w="783"/>
              <w:gridCol w:w="735"/>
            </w:tblGrid>
            <w:tr w14:paraId="0BA8C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vMerge w:val="restart"/>
                  <w:tcBorders>
                    <w:tl2br w:val="nil"/>
                    <w:tr2bl w:val="nil"/>
                  </w:tcBorders>
                  <w:vAlign w:val="center"/>
                </w:tcPr>
                <w:p w14:paraId="72C8F885">
                  <w:pPr>
                    <w:pStyle w:val="43"/>
                    <w:rPr>
                      <w:color w:val="000000" w:themeColor="text1"/>
                      <w14:textFill>
                        <w14:solidFill>
                          <w14:schemeClr w14:val="tx1"/>
                        </w14:solidFill>
                      </w14:textFill>
                    </w:rPr>
                  </w:pPr>
                  <w:r>
                    <w:rPr>
                      <w:color w:val="000000" w:themeColor="text1"/>
                      <w14:textFill>
                        <w14:solidFill>
                          <w14:schemeClr w14:val="tx1"/>
                        </w14:solidFill>
                      </w14:textFill>
                    </w:rPr>
                    <w:t>工地名称</w:t>
                  </w:r>
                </w:p>
              </w:tc>
              <w:tc>
                <w:tcPr>
                  <w:tcW w:w="592" w:type="pct"/>
                  <w:vMerge w:val="restart"/>
                  <w:tcBorders>
                    <w:tl2br w:val="nil"/>
                    <w:tr2bl w:val="nil"/>
                  </w:tcBorders>
                  <w:vAlign w:val="center"/>
                </w:tcPr>
                <w:p w14:paraId="22F307A5">
                  <w:pPr>
                    <w:pStyle w:val="43"/>
                    <w:rPr>
                      <w:color w:val="000000" w:themeColor="text1"/>
                      <w14:textFill>
                        <w14:solidFill>
                          <w14:schemeClr w14:val="tx1"/>
                        </w14:solidFill>
                      </w14:textFill>
                    </w:rPr>
                  </w:pPr>
                  <w:r>
                    <w:rPr>
                      <w:color w:val="000000" w:themeColor="text1"/>
                      <w14:textFill>
                        <w14:solidFill>
                          <w14:schemeClr w14:val="tx1"/>
                        </w14:solidFill>
                      </w14:textFill>
                    </w:rPr>
                    <w:t>围挡</w:t>
                  </w:r>
                </w:p>
                <w:p w14:paraId="60790C32">
                  <w:pPr>
                    <w:pStyle w:val="43"/>
                    <w:rPr>
                      <w:color w:val="000000" w:themeColor="text1"/>
                      <w14:textFill>
                        <w14:solidFill>
                          <w14:schemeClr w14:val="tx1"/>
                        </w14:solidFill>
                      </w14:textFill>
                    </w:rPr>
                  </w:pPr>
                  <w:r>
                    <w:rPr>
                      <w:color w:val="000000" w:themeColor="text1"/>
                      <w14:textFill>
                        <w14:solidFill>
                          <w14:schemeClr w14:val="tx1"/>
                        </w14:solidFill>
                      </w14:textFill>
                    </w:rPr>
                    <w:t>情况</w:t>
                  </w:r>
                </w:p>
              </w:tc>
              <w:tc>
                <w:tcPr>
                  <w:tcW w:w="3509" w:type="pct"/>
                  <w:gridSpan w:val="7"/>
                  <w:tcBorders>
                    <w:tl2br w:val="nil"/>
                    <w:tr2bl w:val="nil"/>
                  </w:tcBorders>
                  <w:vAlign w:val="center"/>
                </w:tcPr>
                <w:p w14:paraId="1ED5D067">
                  <w:pPr>
                    <w:pStyle w:val="43"/>
                    <w:rPr>
                      <w:color w:val="000000" w:themeColor="text1"/>
                      <w14:textFill>
                        <w14:solidFill>
                          <w14:schemeClr w14:val="tx1"/>
                        </w14:solidFill>
                      </w14:textFill>
                    </w:rPr>
                  </w:pPr>
                  <w:r>
                    <w:rPr>
                      <w:color w:val="000000" w:themeColor="text1"/>
                      <w14:textFill>
                        <w14:solidFill>
                          <w14:schemeClr w14:val="tx1"/>
                        </w14:solidFill>
                      </w14:textFill>
                    </w:rPr>
                    <w:t>颗粒物浓度（mg/m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r>
            <w:tr w14:paraId="1DB94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vMerge w:val="continue"/>
                  <w:tcBorders>
                    <w:tl2br w:val="nil"/>
                    <w:tr2bl w:val="nil"/>
                  </w:tcBorders>
                  <w:vAlign w:val="center"/>
                </w:tcPr>
                <w:p w14:paraId="65816338">
                  <w:pPr>
                    <w:pStyle w:val="43"/>
                    <w:rPr>
                      <w:color w:val="000000" w:themeColor="text1"/>
                      <w14:textFill>
                        <w14:solidFill>
                          <w14:schemeClr w14:val="tx1"/>
                        </w14:solidFill>
                      </w14:textFill>
                    </w:rPr>
                  </w:pPr>
                </w:p>
              </w:tc>
              <w:tc>
                <w:tcPr>
                  <w:tcW w:w="592" w:type="pct"/>
                  <w:vMerge w:val="continue"/>
                  <w:tcBorders>
                    <w:tl2br w:val="nil"/>
                    <w:tr2bl w:val="nil"/>
                  </w:tcBorders>
                  <w:vAlign w:val="center"/>
                </w:tcPr>
                <w:p w14:paraId="2FC84478">
                  <w:pPr>
                    <w:pStyle w:val="43"/>
                    <w:rPr>
                      <w:color w:val="000000" w:themeColor="text1"/>
                      <w14:textFill>
                        <w14:solidFill>
                          <w14:schemeClr w14:val="tx1"/>
                        </w14:solidFill>
                      </w14:textFill>
                    </w:rPr>
                  </w:pPr>
                </w:p>
              </w:tc>
              <w:tc>
                <w:tcPr>
                  <w:tcW w:w="3030" w:type="pct"/>
                  <w:gridSpan w:val="6"/>
                  <w:tcBorders>
                    <w:tl2br w:val="nil"/>
                    <w:tr2bl w:val="nil"/>
                  </w:tcBorders>
                  <w:vAlign w:val="center"/>
                </w:tcPr>
                <w:p w14:paraId="30F7835D">
                  <w:pPr>
                    <w:pStyle w:val="43"/>
                    <w:rPr>
                      <w:color w:val="000000" w:themeColor="text1"/>
                      <w14:textFill>
                        <w14:solidFill>
                          <w14:schemeClr w14:val="tx1"/>
                        </w14:solidFill>
                      </w14:textFill>
                    </w:rPr>
                  </w:pPr>
                  <w:r>
                    <w:rPr>
                      <w:color w:val="000000" w:themeColor="text1"/>
                      <w14:textFill>
                        <w14:solidFill>
                          <w14:schemeClr w14:val="tx1"/>
                        </w14:solidFill>
                      </w14:textFill>
                    </w:rPr>
                    <w:t>工地下风向</w:t>
                  </w:r>
                </w:p>
              </w:tc>
              <w:tc>
                <w:tcPr>
                  <w:tcW w:w="479" w:type="pct"/>
                  <w:vMerge w:val="restart"/>
                  <w:tcBorders>
                    <w:tl2br w:val="nil"/>
                    <w:tr2bl w:val="nil"/>
                  </w:tcBorders>
                  <w:vAlign w:val="center"/>
                </w:tcPr>
                <w:p w14:paraId="592FE6E2">
                  <w:pPr>
                    <w:pStyle w:val="43"/>
                    <w:rPr>
                      <w:color w:val="000000" w:themeColor="text1"/>
                      <w14:textFill>
                        <w14:solidFill>
                          <w14:schemeClr w14:val="tx1"/>
                        </w14:solidFill>
                      </w14:textFill>
                    </w:rPr>
                  </w:pPr>
                  <w:r>
                    <w:rPr>
                      <w:color w:val="000000" w:themeColor="text1"/>
                      <w14:textFill>
                        <w14:solidFill>
                          <w14:schemeClr w14:val="tx1"/>
                        </w14:solidFill>
                      </w14:textFill>
                    </w:rPr>
                    <w:t>上风向对照点</w:t>
                  </w:r>
                </w:p>
              </w:tc>
            </w:tr>
            <w:tr w14:paraId="1BDCF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vMerge w:val="continue"/>
                  <w:tcBorders>
                    <w:tl2br w:val="nil"/>
                    <w:tr2bl w:val="nil"/>
                  </w:tcBorders>
                  <w:vAlign w:val="center"/>
                </w:tcPr>
                <w:p w14:paraId="6733066E">
                  <w:pPr>
                    <w:pStyle w:val="43"/>
                    <w:rPr>
                      <w:color w:val="000000" w:themeColor="text1"/>
                      <w14:textFill>
                        <w14:solidFill>
                          <w14:schemeClr w14:val="tx1"/>
                        </w14:solidFill>
                      </w14:textFill>
                    </w:rPr>
                  </w:pPr>
                </w:p>
              </w:tc>
              <w:tc>
                <w:tcPr>
                  <w:tcW w:w="592" w:type="pct"/>
                  <w:vMerge w:val="continue"/>
                  <w:tcBorders>
                    <w:tl2br w:val="nil"/>
                    <w:tr2bl w:val="nil"/>
                  </w:tcBorders>
                  <w:vAlign w:val="center"/>
                </w:tcPr>
                <w:p w14:paraId="2B8A8959">
                  <w:pPr>
                    <w:pStyle w:val="43"/>
                    <w:rPr>
                      <w:color w:val="000000" w:themeColor="text1"/>
                      <w14:textFill>
                        <w14:solidFill>
                          <w14:schemeClr w14:val="tx1"/>
                        </w14:solidFill>
                      </w14:textFill>
                    </w:rPr>
                  </w:pPr>
                </w:p>
              </w:tc>
              <w:tc>
                <w:tcPr>
                  <w:tcW w:w="504" w:type="pct"/>
                  <w:tcBorders>
                    <w:tl2br w:val="nil"/>
                    <w:tr2bl w:val="nil"/>
                  </w:tcBorders>
                  <w:vAlign w:val="center"/>
                </w:tcPr>
                <w:p w14:paraId="7CC3D792">
                  <w:pPr>
                    <w:pStyle w:val="43"/>
                    <w:rPr>
                      <w:color w:val="000000" w:themeColor="text1"/>
                      <w14:textFill>
                        <w14:solidFill>
                          <w14:schemeClr w14:val="tx1"/>
                        </w14:solidFill>
                      </w14:textFill>
                    </w:rPr>
                  </w:pPr>
                  <w:r>
                    <w:rPr>
                      <w:color w:val="000000" w:themeColor="text1"/>
                      <w14:textFill>
                        <w14:solidFill>
                          <w14:schemeClr w14:val="tx1"/>
                        </w14:solidFill>
                      </w14:textFill>
                    </w:rPr>
                    <w:t>20m</w:t>
                  </w:r>
                </w:p>
              </w:tc>
              <w:tc>
                <w:tcPr>
                  <w:tcW w:w="504" w:type="pct"/>
                  <w:tcBorders>
                    <w:tl2br w:val="nil"/>
                    <w:tr2bl w:val="nil"/>
                  </w:tcBorders>
                  <w:vAlign w:val="center"/>
                </w:tcPr>
                <w:p w14:paraId="0031FDBF">
                  <w:pPr>
                    <w:pStyle w:val="43"/>
                    <w:rPr>
                      <w:color w:val="000000" w:themeColor="text1"/>
                      <w14:textFill>
                        <w14:solidFill>
                          <w14:schemeClr w14:val="tx1"/>
                        </w14:solidFill>
                      </w14:textFill>
                    </w:rPr>
                  </w:pPr>
                  <w:r>
                    <w:rPr>
                      <w:color w:val="000000" w:themeColor="text1"/>
                      <w14:textFill>
                        <w14:solidFill>
                          <w14:schemeClr w14:val="tx1"/>
                        </w14:solidFill>
                      </w14:textFill>
                    </w:rPr>
                    <w:t>50m</w:t>
                  </w:r>
                </w:p>
              </w:tc>
              <w:tc>
                <w:tcPr>
                  <w:tcW w:w="504" w:type="pct"/>
                  <w:tcBorders>
                    <w:tl2br w:val="nil"/>
                    <w:tr2bl w:val="nil"/>
                  </w:tcBorders>
                  <w:vAlign w:val="center"/>
                </w:tcPr>
                <w:p w14:paraId="18E025B0">
                  <w:pPr>
                    <w:pStyle w:val="43"/>
                    <w:rPr>
                      <w:color w:val="000000" w:themeColor="text1"/>
                      <w14:textFill>
                        <w14:solidFill>
                          <w14:schemeClr w14:val="tx1"/>
                        </w14:solidFill>
                      </w14:textFill>
                    </w:rPr>
                  </w:pPr>
                  <w:r>
                    <w:rPr>
                      <w:color w:val="000000" w:themeColor="text1"/>
                      <w14:textFill>
                        <w14:solidFill>
                          <w14:schemeClr w14:val="tx1"/>
                        </w14:solidFill>
                      </w14:textFill>
                    </w:rPr>
                    <w:t>100m</w:t>
                  </w:r>
                </w:p>
              </w:tc>
              <w:tc>
                <w:tcPr>
                  <w:tcW w:w="504" w:type="pct"/>
                  <w:tcBorders>
                    <w:tl2br w:val="nil"/>
                    <w:tr2bl w:val="nil"/>
                  </w:tcBorders>
                  <w:vAlign w:val="center"/>
                </w:tcPr>
                <w:p w14:paraId="6A12853D">
                  <w:pPr>
                    <w:pStyle w:val="43"/>
                    <w:rPr>
                      <w:color w:val="000000" w:themeColor="text1"/>
                      <w14:textFill>
                        <w14:solidFill>
                          <w14:schemeClr w14:val="tx1"/>
                        </w14:solidFill>
                      </w14:textFill>
                    </w:rPr>
                  </w:pPr>
                  <w:r>
                    <w:rPr>
                      <w:color w:val="000000" w:themeColor="text1"/>
                      <w14:textFill>
                        <w14:solidFill>
                          <w14:schemeClr w14:val="tx1"/>
                        </w14:solidFill>
                      </w14:textFill>
                    </w:rPr>
                    <w:t>150m</w:t>
                  </w:r>
                </w:p>
              </w:tc>
              <w:tc>
                <w:tcPr>
                  <w:tcW w:w="504" w:type="pct"/>
                  <w:tcBorders>
                    <w:tl2br w:val="nil"/>
                    <w:tr2bl w:val="nil"/>
                  </w:tcBorders>
                  <w:vAlign w:val="center"/>
                </w:tcPr>
                <w:p w14:paraId="638E551F">
                  <w:pPr>
                    <w:pStyle w:val="43"/>
                    <w:rPr>
                      <w:color w:val="000000" w:themeColor="text1"/>
                      <w14:textFill>
                        <w14:solidFill>
                          <w14:schemeClr w14:val="tx1"/>
                        </w14:solidFill>
                      </w14:textFill>
                    </w:rPr>
                  </w:pPr>
                  <w:r>
                    <w:rPr>
                      <w:color w:val="000000" w:themeColor="text1"/>
                      <w14:textFill>
                        <w14:solidFill>
                          <w14:schemeClr w14:val="tx1"/>
                        </w14:solidFill>
                      </w14:textFill>
                    </w:rPr>
                    <w:t>200m</w:t>
                  </w:r>
                </w:p>
              </w:tc>
              <w:tc>
                <w:tcPr>
                  <w:tcW w:w="506" w:type="pct"/>
                  <w:tcBorders>
                    <w:tl2br w:val="nil"/>
                    <w:tr2bl w:val="nil"/>
                  </w:tcBorders>
                  <w:vAlign w:val="center"/>
                </w:tcPr>
                <w:p w14:paraId="6664821E">
                  <w:pPr>
                    <w:pStyle w:val="43"/>
                    <w:rPr>
                      <w:color w:val="000000" w:themeColor="text1"/>
                      <w14:textFill>
                        <w14:solidFill>
                          <w14:schemeClr w14:val="tx1"/>
                        </w14:solidFill>
                      </w14:textFill>
                    </w:rPr>
                  </w:pPr>
                  <w:r>
                    <w:rPr>
                      <w:color w:val="000000" w:themeColor="text1"/>
                      <w14:textFill>
                        <w14:solidFill>
                          <w14:schemeClr w14:val="tx1"/>
                        </w14:solidFill>
                      </w14:textFill>
                    </w:rPr>
                    <w:t>250m</w:t>
                  </w:r>
                </w:p>
              </w:tc>
              <w:tc>
                <w:tcPr>
                  <w:tcW w:w="479" w:type="pct"/>
                  <w:vMerge w:val="continue"/>
                  <w:tcBorders>
                    <w:tl2br w:val="nil"/>
                    <w:tr2bl w:val="nil"/>
                  </w:tcBorders>
                  <w:vAlign w:val="center"/>
                </w:tcPr>
                <w:p w14:paraId="38E09C67">
                  <w:pPr>
                    <w:pStyle w:val="43"/>
                    <w:rPr>
                      <w:color w:val="000000" w:themeColor="text1"/>
                      <w14:textFill>
                        <w14:solidFill>
                          <w14:schemeClr w14:val="tx1"/>
                        </w14:solidFill>
                      </w14:textFill>
                    </w:rPr>
                  </w:pPr>
                </w:p>
              </w:tc>
            </w:tr>
            <w:tr w14:paraId="7AB87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tcBorders>
                    <w:tl2br w:val="nil"/>
                    <w:tr2bl w:val="nil"/>
                  </w:tcBorders>
                  <w:vAlign w:val="center"/>
                </w:tcPr>
                <w:p w14:paraId="07FBA82B">
                  <w:pPr>
                    <w:pStyle w:val="43"/>
                    <w:rPr>
                      <w:color w:val="000000" w:themeColor="text1"/>
                      <w14:textFill>
                        <w14:solidFill>
                          <w14:schemeClr w14:val="tx1"/>
                        </w14:solidFill>
                      </w14:textFill>
                    </w:rPr>
                  </w:pPr>
                  <w:r>
                    <w:rPr>
                      <w:color w:val="000000" w:themeColor="text1"/>
                      <w14:textFill>
                        <w14:solidFill>
                          <w14:schemeClr w14:val="tx1"/>
                        </w14:solidFill>
                      </w14:textFill>
                    </w:rPr>
                    <w:t>南二环天坛段工程</w:t>
                  </w:r>
                </w:p>
              </w:tc>
              <w:tc>
                <w:tcPr>
                  <w:tcW w:w="592" w:type="pct"/>
                  <w:tcBorders>
                    <w:tl2br w:val="nil"/>
                    <w:tr2bl w:val="nil"/>
                  </w:tcBorders>
                  <w:vAlign w:val="center"/>
                </w:tcPr>
                <w:p w14:paraId="5C6F2B72">
                  <w:pPr>
                    <w:pStyle w:val="43"/>
                    <w:rPr>
                      <w:color w:val="000000" w:themeColor="text1"/>
                      <w14:textFill>
                        <w14:solidFill>
                          <w14:schemeClr w14:val="tx1"/>
                        </w14:solidFill>
                      </w14:textFill>
                    </w:rPr>
                  </w:pPr>
                  <w:r>
                    <w:rPr>
                      <w:color w:val="000000" w:themeColor="text1"/>
                      <w14:textFill>
                        <w14:solidFill>
                          <w14:schemeClr w14:val="tx1"/>
                        </w14:solidFill>
                      </w14:textFill>
                    </w:rPr>
                    <w:t>无</w:t>
                  </w:r>
                </w:p>
              </w:tc>
              <w:tc>
                <w:tcPr>
                  <w:tcW w:w="504" w:type="pct"/>
                  <w:tcBorders>
                    <w:tl2br w:val="nil"/>
                    <w:tr2bl w:val="nil"/>
                  </w:tcBorders>
                  <w:vAlign w:val="center"/>
                </w:tcPr>
                <w:p w14:paraId="2FE2AC9A">
                  <w:pPr>
                    <w:pStyle w:val="43"/>
                    <w:rPr>
                      <w:color w:val="000000" w:themeColor="text1"/>
                      <w14:textFill>
                        <w14:solidFill>
                          <w14:schemeClr w14:val="tx1"/>
                        </w14:solidFill>
                      </w14:textFill>
                    </w:rPr>
                  </w:pPr>
                  <w:r>
                    <w:rPr>
                      <w:color w:val="000000" w:themeColor="text1"/>
                      <w14:textFill>
                        <w14:solidFill>
                          <w14:schemeClr w14:val="tx1"/>
                        </w14:solidFill>
                      </w14:textFill>
                    </w:rPr>
                    <w:t>1.54</w:t>
                  </w:r>
                </w:p>
              </w:tc>
              <w:tc>
                <w:tcPr>
                  <w:tcW w:w="504" w:type="pct"/>
                  <w:tcBorders>
                    <w:tl2br w:val="nil"/>
                    <w:tr2bl w:val="nil"/>
                  </w:tcBorders>
                  <w:vAlign w:val="center"/>
                </w:tcPr>
                <w:p w14:paraId="260450E9">
                  <w:pPr>
                    <w:pStyle w:val="43"/>
                    <w:rPr>
                      <w:color w:val="000000" w:themeColor="text1"/>
                      <w14:textFill>
                        <w14:solidFill>
                          <w14:schemeClr w14:val="tx1"/>
                        </w14:solidFill>
                      </w14:textFill>
                    </w:rPr>
                  </w:pPr>
                  <w:r>
                    <w:rPr>
                      <w:color w:val="000000" w:themeColor="text1"/>
                      <w14:textFill>
                        <w14:solidFill>
                          <w14:schemeClr w14:val="tx1"/>
                        </w14:solidFill>
                      </w14:textFill>
                    </w:rPr>
                    <w:t>0.981</w:t>
                  </w:r>
                </w:p>
              </w:tc>
              <w:tc>
                <w:tcPr>
                  <w:tcW w:w="504" w:type="pct"/>
                  <w:tcBorders>
                    <w:tl2br w:val="nil"/>
                    <w:tr2bl w:val="nil"/>
                  </w:tcBorders>
                  <w:vAlign w:val="center"/>
                </w:tcPr>
                <w:p w14:paraId="0EA0C0A2">
                  <w:pPr>
                    <w:pStyle w:val="43"/>
                    <w:rPr>
                      <w:color w:val="000000" w:themeColor="text1"/>
                      <w14:textFill>
                        <w14:solidFill>
                          <w14:schemeClr w14:val="tx1"/>
                        </w14:solidFill>
                      </w14:textFill>
                    </w:rPr>
                  </w:pPr>
                  <w:r>
                    <w:rPr>
                      <w:color w:val="000000" w:themeColor="text1"/>
                      <w14:textFill>
                        <w14:solidFill>
                          <w14:schemeClr w14:val="tx1"/>
                        </w14:solidFill>
                      </w14:textFill>
                    </w:rPr>
                    <w:t>0.635</w:t>
                  </w:r>
                </w:p>
              </w:tc>
              <w:tc>
                <w:tcPr>
                  <w:tcW w:w="504" w:type="pct"/>
                  <w:tcBorders>
                    <w:tl2br w:val="nil"/>
                    <w:tr2bl w:val="nil"/>
                  </w:tcBorders>
                  <w:vAlign w:val="center"/>
                </w:tcPr>
                <w:p w14:paraId="480AACFD">
                  <w:pPr>
                    <w:pStyle w:val="43"/>
                    <w:rPr>
                      <w:color w:val="000000" w:themeColor="text1"/>
                      <w14:textFill>
                        <w14:solidFill>
                          <w14:schemeClr w14:val="tx1"/>
                        </w14:solidFill>
                      </w14:textFill>
                    </w:rPr>
                  </w:pPr>
                  <w:r>
                    <w:rPr>
                      <w:color w:val="000000" w:themeColor="text1"/>
                      <w14:textFill>
                        <w14:solidFill>
                          <w14:schemeClr w14:val="tx1"/>
                        </w14:solidFill>
                      </w14:textFill>
                    </w:rPr>
                    <w:t>0.611</w:t>
                  </w:r>
                </w:p>
              </w:tc>
              <w:tc>
                <w:tcPr>
                  <w:tcW w:w="504" w:type="pct"/>
                  <w:tcBorders>
                    <w:tl2br w:val="nil"/>
                    <w:tr2bl w:val="nil"/>
                  </w:tcBorders>
                  <w:vAlign w:val="center"/>
                </w:tcPr>
                <w:p w14:paraId="5C9B5135">
                  <w:pPr>
                    <w:pStyle w:val="43"/>
                    <w:rPr>
                      <w:color w:val="000000" w:themeColor="text1"/>
                      <w14:textFill>
                        <w14:solidFill>
                          <w14:schemeClr w14:val="tx1"/>
                        </w14:solidFill>
                      </w14:textFill>
                    </w:rPr>
                  </w:pPr>
                  <w:r>
                    <w:rPr>
                      <w:color w:val="000000" w:themeColor="text1"/>
                      <w14:textFill>
                        <w14:solidFill>
                          <w14:schemeClr w14:val="tx1"/>
                        </w14:solidFill>
                      </w14:textFill>
                    </w:rPr>
                    <w:t>0.504</w:t>
                  </w:r>
                </w:p>
              </w:tc>
              <w:tc>
                <w:tcPr>
                  <w:tcW w:w="506" w:type="pct"/>
                  <w:tcBorders>
                    <w:tl2br w:val="nil"/>
                    <w:tr2bl w:val="nil"/>
                  </w:tcBorders>
                  <w:vAlign w:val="center"/>
                </w:tcPr>
                <w:p w14:paraId="4D873C4A">
                  <w:pPr>
                    <w:pStyle w:val="43"/>
                    <w:rPr>
                      <w:color w:val="000000" w:themeColor="text1"/>
                      <w14:textFill>
                        <w14:solidFill>
                          <w14:schemeClr w14:val="tx1"/>
                        </w14:solidFill>
                      </w14:textFill>
                    </w:rPr>
                  </w:pPr>
                  <w:r>
                    <w:rPr>
                      <w:color w:val="000000" w:themeColor="text1"/>
                      <w14:textFill>
                        <w14:solidFill>
                          <w14:schemeClr w14:val="tx1"/>
                        </w14:solidFill>
                      </w14:textFill>
                    </w:rPr>
                    <w:t>0.401</w:t>
                  </w:r>
                </w:p>
              </w:tc>
              <w:tc>
                <w:tcPr>
                  <w:tcW w:w="479" w:type="pct"/>
                  <w:vMerge w:val="restart"/>
                  <w:tcBorders>
                    <w:tl2br w:val="nil"/>
                    <w:tr2bl w:val="nil"/>
                  </w:tcBorders>
                  <w:vAlign w:val="center"/>
                </w:tcPr>
                <w:p w14:paraId="5820BB26">
                  <w:pPr>
                    <w:pStyle w:val="43"/>
                    <w:rPr>
                      <w:color w:val="000000" w:themeColor="text1"/>
                      <w14:textFill>
                        <w14:solidFill>
                          <w14:schemeClr w14:val="tx1"/>
                        </w14:solidFill>
                      </w14:textFill>
                    </w:rPr>
                  </w:pPr>
                  <w:r>
                    <w:rPr>
                      <w:color w:val="000000" w:themeColor="text1"/>
                      <w14:textFill>
                        <w14:solidFill>
                          <w14:schemeClr w14:val="tx1"/>
                        </w14:solidFill>
                      </w14:textFill>
                    </w:rPr>
                    <w:t>0.404</w:t>
                  </w:r>
                </w:p>
              </w:tc>
            </w:tr>
            <w:tr w14:paraId="374D5C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tcBorders>
                    <w:tl2br w:val="nil"/>
                    <w:tr2bl w:val="nil"/>
                  </w:tcBorders>
                  <w:vAlign w:val="center"/>
                </w:tcPr>
                <w:p w14:paraId="121D9F6D">
                  <w:pPr>
                    <w:pStyle w:val="43"/>
                    <w:rPr>
                      <w:color w:val="000000" w:themeColor="text1"/>
                      <w14:textFill>
                        <w14:solidFill>
                          <w14:schemeClr w14:val="tx1"/>
                        </w14:solidFill>
                      </w14:textFill>
                    </w:rPr>
                  </w:pPr>
                  <w:r>
                    <w:rPr>
                      <w:color w:val="000000" w:themeColor="text1"/>
                      <w14:textFill>
                        <w14:solidFill>
                          <w14:schemeClr w14:val="tx1"/>
                        </w14:solidFill>
                      </w14:textFill>
                    </w:rPr>
                    <w:t>南二环陶然亭段工程</w:t>
                  </w:r>
                </w:p>
              </w:tc>
              <w:tc>
                <w:tcPr>
                  <w:tcW w:w="592" w:type="pct"/>
                  <w:tcBorders>
                    <w:tl2br w:val="nil"/>
                    <w:tr2bl w:val="nil"/>
                  </w:tcBorders>
                  <w:vAlign w:val="center"/>
                </w:tcPr>
                <w:p w14:paraId="1579DEF5">
                  <w:pPr>
                    <w:pStyle w:val="43"/>
                    <w:rPr>
                      <w:color w:val="000000" w:themeColor="text1"/>
                      <w14:textFill>
                        <w14:solidFill>
                          <w14:schemeClr w14:val="tx1"/>
                        </w14:solidFill>
                      </w14:textFill>
                    </w:rPr>
                  </w:pPr>
                  <w:r>
                    <w:rPr>
                      <w:color w:val="000000" w:themeColor="text1"/>
                      <w14:textFill>
                        <w14:solidFill>
                          <w14:schemeClr w14:val="tx1"/>
                        </w14:solidFill>
                      </w14:textFill>
                    </w:rPr>
                    <w:t>无</w:t>
                  </w:r>
                </w:p>
              </w:tc>
              <w:tc>
                <w:tcPr>
                  <w:tcW w:w="504" w:type="pct"/>
                  <w:tcBorders>
                    <w:tl2br w:val="nil"/>
                    <w:tr2bl w:val="nil"/>
                  </w:tcBorders>
                  <w:vAlign w:val="center"/>
                </w:tcPr>
                <w:p w14:paraId="7F6B25FB">
                  <w:pPr>
                    <w:pStyle w:val="43"/>
                    <w:rPr>
                      <w:color w:val="000000" w:themeColor="text1"/>
                      <w14:textFill>
                        <w14:solidFill>
                          <w14:schemeClr w14:val="tx1"/>
                        </w14:solidFill>
                      </w14:textFill>
                    </w:rPr>
                  </w:pPr>
                  <w:r>
                    <w:rPr>
                      <w:color w:val="000000" w:themeColor="text1"/>
                      <w14:textFill>
                        <w14:solidFill>
                          <w14:schemeClr w14:val="tx1"/>
                        </w14:solidFill>
                      </w14:textFill>
                    </w:rPr>
                    <w:t>1.467</w:t>
                  </w:r>
                </w:p>
              </w:tc>
              <w:tc>
                <w:tcPr>
                  <w:tcW w:w="504" w:type="pct"/>
                  <w:tcBorders>
                    <w:tl2br w:val="nil"/>
                    <w:tr2bl w:val="nil"/>
                  </w:tcBorders>
                  <w:vAlign w:val="center"/>
                </w:tcPr>
                <w:p w14:paraId="4C9D0B3D">
                  <w:pPr>
                    <w:pStyle w:val="43"/>
                    <w:rPr>
                      <w:color w:val="000000" w:themeColor="text1"/>
                      <w14:textFill>
                        <w14:solidFill>
                          <w14:schemeClr w14:val="tx1"/>
                        </w14:solidFill>
                      </w14:textFill>
                    </w:rPr>
                  </w:pPr>
                  <w:r>
                    <w:rPr>
                      <w:color w:val="000000" w:themeColor="text1"/>
                      <w14:textFill>
                        <w14:solidFill>
                          <w14:schemeClr w14:val="tx1"/>
                        </w14:solidFill>
                      </w14:textFill>
                    </w:rPr>
                    <w:t>0.863</w:t>
                  </w:r>
                </w:p>
              </w:tc>
              <w:tc>
                <w:tcPr>
                  <w:tcW w:w="504" w:type="pct"/>
                  <w:tcBorders>
                    <w:tl2br w:val="nil"/>
                    <w:tr2bl w:val="nil"/>
                  </w:tcBorders>
                  <w:vAlign w:val="center"/>
                </w:tcPr>
                <w:p w14:paraId="3FC50325">
                  <w:pPr>
                    <w:pStyle w:val="43"/>
                    <w:rPr>
                      <w:color w:val="000000" w:themeColor="text1"/>
                      <w14:textFill>
                        <w14:solidFill>
                          <w14:schemeClr w14:val="tx1"/>
                        </w14:solidFill>
                      </w14:textFill>
                    </w:rPr>
                  </w:pPr>
                  <w:r>
                    <w:rPr>
                      <w:color w:val="000000" w:themeColor="text1"/>
                      <w14:textFill>
                        <w14:solidFill>
                          <w14:schemeClr w14:val="tx1"/>
                        </w14:solidFill>
                      </w14:textFill>
                    </w:rPr>
                    <w:t>0.568</w:t>
                  </w:r>
                </w:p>
              </w:tc>
              <w:tc>
                <w:tcPr>
                  <w:tcW w:w="504" w:type="pct"/>
                  <w:tcBorders>
                    <w:tl2br w:val="nil"/>
                    <w:tr2bl w:val="nil"/>
                  </w:tcBorders>
                  <w:vAlign w:val="center"/>
                </w:tcPr>
                <w:p w14:paraId="04167012">
                  <w:pPr>
                    <w:pStyle w:val="43"/>
                    <w:rPr>
                      <w:color w:val="000000" w:themeColor="text1"/>
                      <w14:textFill>
                        <w14:solidFill>
                          <w14:schemeClr w14:val="tx1"/>
                        </w14:solidFill>
                      </w14:textFill>
                    </w:rPr>
                  </w:pPr>
                  <w:r>
                    <w:rPr>
                      <w:color w:val="000000" w:themeColor="text1"/>
                      <w14:textFill>
                        <w14:solidFill>
                          <w14:schemeClr w14:val="tx1"/>
                        </w14:solidFill>
                      </w14:textFill>
                    </w:rPr>
                    <w:t>0.570</w:t>
                  </w:r>
                </w:p>
              </w:tc>
              <w:tc>
                <w:tcPr>
                  <w:tcW w:w="504" w:type="pct"/>
                  <w:tcBorders>
                    <w:tl2br w:val="nil"/>
                    <w:tr2bl w:val="nil"/>
                  </w:tcBorders>
                  <w:vAlign w:val="center"/>
                </w:tcPr>
                <w:p w14:paraId="6BD61CE8">
                  <w:pPr>
                    <w:pStyle w:val="43"/>
                    <w:rPr>
                      <w:color w:val="000000" w:themeColor="text1"/>
                      <w14:textFill>
                        <w14:solidFill>
                          <w14:schemeClr w14:val="tx1"/>
                        </w14:solidFill>
                      </w14:textFill>
                    </w:rPr>
                  </w:pPr>
                  <w:r>
                    <w:rPr>
                      <w:color w:val="000000" w:themeColor="text1"/>
                      <w14:textFill>
                        <w14:solidFill>
                          <w14:schemeClr w14:val="tx1"/>
                        </w14:solidFill>
                      </w14:textFill>
                    </w:rPr>
                    <w:t>0.519</w:t>
                  </w:r>
                </w:p>
              </w:tc>
              <w:tc>
                <w:tcPr>
                  <w:tcW w:w="506" w:type="pct"/>
                  <w:tcBorders>
                    <w:tl2br w:val="nil"/>
                    <w:tr2bl w:val="nil"/>
                  </w:tcBorders>
                  <w:vAlign w:val="center"/>
                </w:tcPr>
                <w:p w14:paraId="101FDD3B">
                  <w:pPr>
                    <w:pStyle w:val="43"/>
                    <w:rPr>
                      <w:color w:val="000000" w:themeColor="text1"/>
                      <w14:textFill>
                        <w14:solidFill>
                          <w14:schemeClr w14:val="tx1"/>
                        </w14:solidFill>
                      </w14:textFill>
                    </w:rPr>
                  </w:pPr>
                  <w:r>
                    <w:rPr>
                      <w:color w:val="000000" w:themeColor="text1"/>
                      <w14:textFill>
                        <w14:solidFill>
                          <w14:schemeClr w14:val="tx1"/>
                        </w14:solidFill>
                      </w14:textFill>
                    </w:rPr>
                    <w:t>0.411</w:t>
                  </w:r>
                </w:p>
              </w:tc>
              <w:tc>
                <w:tcPr>
                  <w:tcW w:w="479" w:type="pct"/>
                  <w:vMerge w:val="continue"/>
                  <w:tcBorders>
                    <w:tl2br w:val="nil"/>
                    <w:tr2bl w:val="nil"/>
                  </w:tcBorders>
                  <w:vAlign w:val="center"/>
                </w:tcPr>
                <w:p w14:paraId="3176D81B">
                  <w:pPr>
                    <w:pStyle w:val="43"/>
                    <w:rPr>
                      <w:color w:val="000000" w:themeColor="text1"/>
                      <w14:textFill>
                        <w14:solidFill>
                          <w14:schemeClr w14:val="tx1"/>
                        </w14:solidFill>
                      </w14:textFill>
                    </w:rPr>
                  </w:pPr>
                </w:p>
              </w:tc>
            </w:tr>
            <w:tr w14:paraId="3518B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tcBorders>
                    <w:tl2br w:val="nil"/>
                    <w:tr2bl w:val="nil"/>
                  </w:tcBorders>
                  <w:vAlign w:val="center"/>
                </w:tcPr>
                <w:p w14:paraId="2DD21DB2">
                  <w:pPr>
                    <w:pStyle w:val="43"/>
                    <w:rPr>
                      <w:color w:val="000000" w:themeColor="text1"/>
                      <w14:textFill>
                        <w14:solidFill>
                          <w14:schemeClr w14:val="tx1"/>
                        </w14:solidFill>
                      </w14:textFill>
                    </w:rPr>
                  </w:pPr>
                  <w:r>
                    <w:rPr>
                      <w:color w:val="000000" w:themeColor="text1"/>
                      <w14:textFill>
                        <w14:solidFill>
                          <w14:schemeClr w14:val="tx1"/>
                        </w14:solidFill>
                      </w14:textFill>
                    </w:rPr>
                    <w:t>平均</w:t>
                  </w:r>
                </w:p>
              </w:tc>
              <w:tc>
                <w:tcPr>
                  <w:tcW w:w="504" w:type="pct"/>
                  <w:tcBorders>
                    <w:tl2br w:val="nil"/>
                    <w:tr2bl w:val="nil"/>
                  </w:tcBorders>
                  <w:vAlign w:val="center"/>
                </w:tcPr>
                <w:p w14:paraId="70C9F281">
                  <w:pPr>
                    <w:pStyle w:val="43"/>
                    <w:rPr>
                      <w:color w:val="000000" w:themeColor="text1"/>
                      <w14:textFill>
                        <w14:solidFill>
                          <w14:schemeClr w14:val="tx1"/>
                        </w14:solidFill>
                      </w14:textFill>
                    </w:rPr>
                  </w:pPr>
                  <w:r>
                    <w:rPr>
                      <w:color w:val="000000" w:themeColor="text1"/>
                      <w14:textFill>
                        <w14:solidFill>
                          <w14:schemeClr w14:val="tx1"/>
                        </w14:solidFill>
                      </w14:textFill>
                    </w:rPr>
                    <w:t>1.503</w:t>
                  </w:r>
                </w:p>
              </w:tc>
              <w:tc>
                <w:tcPr>
                  <w:tcW w:w="504" w:type="pct"/>
                  <w:tcBorders>
                    <w:tl2br w:val="nil"/>
                    <w:tr2bl w:val="nil"/>
                  </w:tcBorders>
                  <w:vAlign w:val="center"/>
                </w:tcPr>
                <w:p w14:paraId="0E692B96">
                  <w:pPr>
                    <w:pStyle w:val="43"/>
                    <w:rPr>
                      <w:color w:val="000000" w:themeColor="text1"/>
                      <w14:textFill>
                        <w14:solidFill>
                          <w14:schemeClr w14:val="tx1"/>
                        </w14:solidFill>
                      </w14:textFill>
                    </w:rPr>
                  </w:pPr>
                  <w:r>
                    <w:rPr>
                      <w:color w:val="000000" w:themeColor="text1"/>
                      <w14:textFill>
                        <w14:solidFill>
                          <w14:schemeClr w14:val="tx1"/>
                        </w14:solidFill>
                      </w14:textFill>
                    </w:rPr>
                    <w:t>0.922</w:t>
                  </w:r>
                </w:p>
              </w:tc>
              <w:tc>
                <w:tcPr>
                  <w:tcW w:w="504" w:type="pct"/>
                  <w:tcBorders>
                    <w:tl2br w:val="nil"/>
                    <w:tr2bl w:val="nil"/>
                  </w:tcBorders>
                  <w:vAlign w:val="center"/>
                </w:tcPr>
                <w:p w14:paraId="73B9E28B">
                  <w:pPr>
                    <w:pStyle w:val="43"/>
                    <w:rPr>
                      <w:color w:val="000000" w:themeColor="text1"/>
                      <w14:textFill>
                        <w14:solidFill>
                          <w14:schemeClr w14:val="tx1"/>
                        </w14:solidFill>
                      </w14:textFill>
                    </w:rPr>
                  </w:pPr>
                  <w:r>
                    <w:rPr>
                      <w:color w:val="000000" w:themeColor="text1"/>
                      <w14:textFill>
                        <w14:solidFill>
                          <w14:schemeClr w14:val="tx1"/>
                        </w14:solidFill>
                      </w14:textFill>
                    </w:rPr>
                    <w:t>0.602</w:t>
                  </w:r>
                </w:p>
              </w:tc>
              <w:tc>
                <w:tcPr>
                  <w:tcW w:w="504" w:type="pct"/>
                  <w:tcBorders>
                    <w:tl2br w:val="nil"/>
                    <w:tr2bl w:val="nil"/>
                  </w:tcBorders>
                  <w:vAlign w:val="center"/>
                </w:tcPr>
                <w:p w14:paraId="3D34F285">
                  <w:pPr>
                    <w:pStyle w:val="43"/>
                    <w:rPr>
                      <w:color w:val="000000" w:themeColor="text1"/>
                      <w14:textFill>
                        <w14:solidFill>
                          <w14:schemeClr w14:val="tx1"/>
                        </w14:solidFill>
                      </w14:textFill>
                    </w:rPr>
                  </w:pPr>
                  <w:r>
                    <w:rPr>
                      <w:color w:val="000000" w:themeColor="text1"/>
                      <w14:textFill>
                        <w14:solidFill>
                          <w14:schemeClr w14:val="tx1"/>
                        </w14:solidFill>
                      </w14:textFill>
                    </w:rPr>
                    <w:t>0.591</w:t>
                  </w:r>
                </w:p>
              </w:tc>
              <w:tc>
                <w:tcPr>
                  <w:tcW w:w="504" w:type="pct"/>
                  <w:tcBorders>
                    <w:tl2br w:val="nil"/>
                    <w:tr2bl w:val="nil"/>
                  </w:tcBorders>
                  <w:vAlign w:val="center"/>
                </w:tcPr>
                <w:p w14:paraId="3348B441">
                  <w:pPr>
                    <w:pStyle w:val="43"/>
                    <w:rPr>
                      <w:color w:val="000000" w:themeColor="text1"/>
                      <w14:textFill>
                        <w14:solidFill>
                          <w14:schemeClr w14:val="tx1"/>
                        </w14:solidFill>
                      </w14:textFill>
                    </w:rPr>
                  </w:pPr>
                  <w:r>
                    <w:rPr>
                      <w:color w:val="000000" w:themeColor="text1"/>
                      <w14:textFill>
                        <w14:solidFill>
                          <w14:schemeClr w14:val="tx1"/>
                        </w14:solidFill>
                      </w14:textFill>
                    </w:rPr>
                    <w:t>0.512</w:t>
                  </w:r>
                </w:p>
              </w:tc>
              <w:tc>
                <w:tcPr>
                  <w:tcW w:w="506" w:type="pct"/>
                  <w:tcBorders>
                    <w:tl2br w:val="nil"/>
                    <w:tr2bl w:val="nil"/>
                  </w:tcBorders>
                  <w:vAlign w:val="center"/>
                </w:tcPr>
                <w:p w14:paraId="0737F696">
                  <w:pPr>
                    <w:pStyle w:val="43"/>
                    <w:rPr>
                      <w:color w:val="000000" w:themeColor="text1"/>
                      <w14:textFill>
                        <w14:solidFill>
                          <w14:schemeClr w14:val="tx1"/>
                        </w14:solidFill>
                      </w14:textFill>
                    </w:rPr>
                  </w:pPr>
                  <w:r>
                    <w:rPr>
                      <w:color w:val="000000" w:themeColor="text1"/>
                      <w14:textFill>
                        <w14:solidFill>
                          <w14:schemeClr w14:val="tx1"/>
                        </w14:solidFill>
                      </w14:textFill>
                    </w:rPr>
                    <w:t>0.406</w:t>
                  </w:r>
                </w:p>
              </w:tc>
              <w:tc>
                <w:tcPr>
                  <w:tcW w:w="479" w:type="pct"/>
                  <w:vMerge w:val="continue"/>
                  <w:tcBorders>
                    <w:tl2br w:val="nil"/>
                    <w:tr2bl w:val="nil"/>
                  </w:tcBorders>
                  <w:vAlign w:val="center"/>
                </w:tcPr>
                <w:p w14:paraId="08FB8B39">
                  <w:pPr>
                    <w:pStyle w:val="43"/>
                    <w:rPr>
                      <w:color w:val="000000" w:themeColor="text1"/>
                      <w14:textFill>
                        <w14:solidFill>
                          <w14:schemeClr w14:val="tx1"/>
                        </w14:solidFill>
                      </w14:textFill>
                    </w:rPr>
                  </w:pPr>
                </w:p>
              </w:tc>
            </w:tr>
            <w:tr w14:paraId="5A863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tcBorders>
                    <w:tl2br w:val="nil"/>
                    <w:tr2bl w:val="nil"/>
                  </w:tcBorders>
                  <w:vAlign w:val="center"/>
                </w:tcPr>
                <w:p w14:paraId="10F367B0">
                  <w:pPr>
                    <w:pStyle w:val="43"/>
                    <w:rPr>
                      <w:color w:val="000000" w:themeColor="text1"/>
                      <w14:textFill>
                        <w14:solidFill>
                          <w14:schemeClr w14:val="tx1"/>
                        </w14:solidFill>
                      </w14:textFill>
                    </w:rPr>
                  </w:pPr>
                  <w:r>
                    <w:rPr>
                      <w:color w:val="000000" w:themeColor="text1"/>
                      <w14:textFill>
                        <w14:solidFill>
                          <w14:schemeClr w14:val="tx1"/>
                        </w14:solidFill>
                      </w14:textFill>
                    </w:rPr>
                    <w:t>西二环改造工程</w:t>
                  </w:r>
                </w:p>
              </w:tc>
              <w:tc>
                <w:tcPr>
                  <w:tcW w:w="592" w:type="pct"/>
                  <w:tcBorders>
                    <w:tl2br w:val="nil"/>
                    <w:tr2bl w:val="nil"/>
                  </w:tcBorders>
                  <w:vAlign w:val="center"/>
                </w:tcPr>
                <w:p w14:paraId="64DD956A">
                  <w:pPr>
                    <w:pStyle w:val="43"/>
                    <w:rPr>
                      <w:color w:val="000000" w:themeColor="text1"/>
                      <w14:textFill>
                        <w14:solidFill>
                          <w14:schemeClr w14:val="tx1"/>
                        </w14:solidFill>
                      </w14:textFill>
                    </w:rPr>
                  </w:pPr>
                  <w:r>
                    <w:rPr>
                      <w:color w:val="000000" w:themeColor="text1"/>
                      <w14:textFill>
                        <w14:solidFill>
                          <w14:schemeClr w14:val="tx1"/>
                        </w14:solidFill>
                      </w14:textFill>
                    </w:rPr>
                    <w:t>围金</w:t>
                  </w:r>
                </w:p>
                <w:p w14:paraId="23B9F27B">
                  <w:pPr>
                    <w:pStyle w:val="43"/>
                    <w:rPr>
                      <w:color w:val="000000" w:themeColor="text1"/>
                      <w14:textFill>
                        <w14:solidFill>
                          <w14:schemeClr w14:val="tx1"/>
                        </w14:solidFill>
                      </w14:textFill>
                    </w:rPr>
                  </w:pPr>
                  <w:r>
                    <w:rPr>
                      <w:color w:val="000000" w:themeColor="text1"/>
                      <w14:textFill>
                        <w14:solidFill>
                          <w14:schemeClr w14:val="tx1"/>
                        </w14:solidFill>
                      </w14:textFill>
                    </w:rPr>
                    <w:t>属板</w:t>
                  </w:r>
                </w:p>
              </w:tc>
              <w:tc>
                <w:tcPr>
                  <w:tcW w:w="504" w:type="pct"/>
                  <w:tcBorders>
                    <w:tl2br w:val="nil"/>
                    <w:tr2bl w:val="nil"/>
                  </w:tcBorders>
                  <w:vAlign w:val="center"/>
                </w:tcPr>
                <w:p w14:paraId="2F980C89">
                  <w:pPr>
                    <w:pStyle w:val="43"/>
                    <w:rPr>
                      <w:color w:val="000000" w:themeColor="text1"/>
                      <w14:textFill>
                        <w14:solidFill>
                          <w14:schemeClr w14:val="tx1"/>
                        </w14:solidFill>
                      </w14:textFill>
                    </w:rPr>
                  </w:pPr>
                  <w:r>
                    <w:rPr>
                      <w:color w:val="000000" w:themeColor="text1"/>
                      <w14:textFill>
                        <w14:solidFill>
                          <w14:schemeClr w14:val="tx1"/>
                        </w14:solidFill>
                      </w14:textFill>
                    </w:rPr>
                    <w:t>0.943</w:t>
                  </w:r>
                </w:p>
              </w:tc>
              <w:tc>
                <w:tcPr>
                  <w:tcW w:w="504" w:type="pct"/>
                  <w:tcBorders>
                    <w:tl2br w:val="nil"/>
                    <w:tr2bl w:val="nil"/>
                  </w:tcBorders>
                  <w:vAlign w:val="center"/>
                </w:tcPr>
                <w:p w14:paraId="7725B1EB">
                  <w:pPr>
                    <w:pStyle w:val="43"/>
                    <w:rPr>
                      <w:color w:val="000000" w:themeColor="text1"/>
                      <w14:textFill>
                        <w14:solidFill>
                          <w14:schemeClr w14:val="tx1"/>
                        </w14:solidFill>
                      </w14:textFill>
                    </w:rPr>
                  </w:pPr>
                  <w:r>
                    <w:rPr>
                      <w:color w:val="000000" w:themeColor="text1"/>
                      <w14:textFill>
                        <w14:solidFill>
                          <w14:schemeClr w14:val="tx1"/>
                        </w14:solidFill>
                      </w14:textFill>
                    </w:rPr>
                    <w:t>0.577</w:t>
                  </w:r>
                </w:p>
              </w:tc>
              <w:tc>
                <w:tcPr>
                  <w:tcW w:w="504" w:type="pct"/>
                  <w:tcBorders>
                    <w:tl2br w:val="nil"/>
                    <w:tr2bl w:val="nil"/>
                  </w:tcBorders>
                  <w:vAlign w:val="center"/>
                </w:tcPr>
                <w:p w14:paraId="7C276F84">
                  <w:pPr>
                    <w:pStyle w:val="43"/>
                    <w:rPr>
                      <w:color w:val="000000" w:themeColor="text1"/>
                      <w14:textFill>
                        <w14:solidFill>
                          <w14:schemeClr w14:val="tx1"/>
                        </w14:solidFill>
                      </w14:textFill>
                    </w:rPr>
                  </w:pPr>
                  <w:r>
                    <w:rPr>
                      <w:color w:val="000000" w:themeColor="text1"/>
                      <w14:textFill>
                        <w14:solidFill>
                          <w14:schemeClr w14:val="tx1"/>
                        </w14:solidFill>
                      </w14:textFill>
                    </w:rPr>
                    <w:t>0.416</w:t>
                  </w:r>
                </w:p>
              </w:tc>
              <w:tc>
                <w:tcPr>
                  <w:tcW w:w="504" w:type="pct"/>
                  <w:tcBorders>
                    <w:tl2br w:val="nil"/>
                    <w:tr2bl w:val="nil"/>
                  </w:tcBorders>
                  <w:vAlign w:val="center"/>
                </w:tcPr>
                <w:p w14:paraId="0FEE1191">
                  <w:pPr>
                    <w:pStyle w:val="43"/>
                    <w:rPr>
                      <w:color w:val="000000" w:themeColor="text1"/>
                      <w14:textFill>
                        <w14:solidFill>
                          <w14:schemeClr w14:val="tx1"/>
                        </w14:solidFill>
                      </w14:textFill>
                    </w:rPr>
                  </w:pPr>
                  <w:r>
                    <w:rPr>
                      <w:color w:val="000000" w:themeColor="text1"/>
                      <w14:textFill>
                        <w14:solidFill>
                          <w14:schemeClr w14:val="tx1"/>
                        </w14:solidFill>
                      </w14:textFill>
                    </w:rPr>
                    <w:t>0.421</w:t>
                  </w:r>
                </w:p>
              </w:tc>
              <w:tc>
                <w:tcPr>
                  <w:tcW w:w="504" w:type="pct"/>
                  <w:tcBorders>
                    <w:tl2br w:val="nil"/>
                    <w:tr2bl w:val="nil"/>
                  </w:tcBorders>
                  <w:vAlign w:val="center"/>
                </w:tcPr>
                <w:p w14:paraId="3B24AFD5">
                  <w:pPr>
                    <w:pStyle w:val="43"/>
                    <w:rPr>
                      <w:color w:val="000000" w:themeColor="text1"/>
                      <w14:textFill>
                        <w14:solidFill>
                          <w14:schemeClr w14:val="tx1"/>
                        </w14:solidFill>
                      </w14:textFill>
                    </w:rPr>
                  </w:pPr>
                  <w:r>
                    <w:rPr>
                      <w:color w:val="000000" w:themeColor="text1"/>
                      <w14:textFill>
                        <w14:solidFill>
                          <w14:schemeClr w14:val="tx1"/>
                        </w14:solidFill>
                      </w14:textFill>
                    </w:rPr>
                    <w:t>0.417</w:t>
                  </w:r>
                </w:p>
              </w:tc>
              <w:tc>
                <w:tcPr>
                  <w:tcW w:w="506" w:type="pct"/>
                  <w:tcBorders>
                    <w:tl2br w:val="nil"/>
                    <w:tr2bl w:val="nil"/>
                  </w:tcBorders>
                  <w:vAlign w:val="center"/>
                </w:tcPr>
                <w:p w14:paraId="097A5526">
                  <w:pPr>
                    <w:pStyle w:val="43"/>
                    <w:rPr>
                      <w:color w:val="000000" w:themeColor="text1"/>
                      <w14:textFill>
                        <w14:solidFill>
                          <w14:schemeClr w14:val="tx1"/>
                        </w14:solidFill>
                      </w14:textFill>
                    </w:rPr>
                  </w:pPr>
                  <w:r>
                    <w:rPr>
                      <w:color w:val="000000" w:themeColor="text1"/>
                      <w14:textFill>
                        <w14:solidFill>
                          <w14:schemeClr w14:val="tx1"/>
                        </w14:solidFill>
                      </w14:textFill>
                    </w:rPr>
                    <w:t>0.420</w:t>
                  </w:r>
                </w:p>
              </w:tc>
              <w:tc>
                <w:tcPr>
                  <w:tcW w:w="479" w:type="pct"/>
                  <w:vMerge w:val="restart"/>
                  <w:tcBorders>
                    <w:tl2br w:val="nil"/>
                    <w:tr2bl w:val="nil"/>
                  </w:tcBorders>
                  <w:vAlign w:val="center"/>
                </w:tcPr>
                <w:p w14:paraId="35215352">
                  <w:pPr>
                    <w:pStyle w:val="43"/>
                    <w:rPr>
                      <w:color w:val="000000" w:themeColor="text1"/>
                      <w14:textFill>
                        <w14:solidFill>
                          <w14:schemeClr w14:val="tx1"/>
                        </w14:solidFill>
                      </w14:textFill>
                    </w:rPr>
                  </w:pPr>
                  <w:r>
                    <w:rPr>
                      <w:color w:val="000000" w:themeColor="text1"/>
                      <w14:textFill>
                        <w14:solidFill>
                          <w14:schemeClr w14:val="tx1"/>
                        </w14:solidFill>
                      </w14:textFill>
                    </w:rPr>
                    <w:t>0.419</w:t>
                  </w:r>
                </w:p>
              </w:tc>
            </w:tr>
            <w:tr w14:paraId="6DCBA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8" w:type="pct"/>
                  <w:tcBorders>
                    <w:tl2br w:val="nil"/>
                    <w:tr2bl w:val="nil"/>
                  </w:tcBorders>
                  <w:vAlign w:val="center"/>
                </w:tcPr>
                <w:p w14:paraId="696BDC61">
                  <w:pPr>
                    <w:pStyle w:val="43"/>
                    <w:rPr>
                      <w:color w:val="000000" w:themeColor="text1"/>
                      <w14:textFill>
                        <w14:solidFill>
                          <w14:schemeClr w14:val="tx1"/>
                        </w14:solidFill>
                      </w14:textFill>
                    </w:rPr>
                  </w:pPr>
                  <w:r>
                    <w:rPr>
                      <w:color w:val="000000" w:themeColor="text1"/>
                      <w14:textFill>
                        <w14:solidFill>
                          <w14:schemeClr w14:val="tx1"/>
                        </w14:solidFill>
                      </w14:textFill>
                    </w:rPr>
                    <w:t>车公庄西路热力工程</w:t>
                  </w:r>
                </w:p>
              </w:tc>
              <w:tc>
                <w:tcPr>
                  <w:tcW w:w="592" w:type="pct"/>
                  <w:tcBorders>
                    <w:tl2br w:val="nil"/>
                    <w:tr2bl w:val="nil"/>
                  </w:tcBorders>
                  <w:vAlign w:val="center"/>
                </w:tcPr>
                <w:p w14:paraId="69F25E49">
                  <w:pPr>
                    <w:pStyle w:val="43"/>
                    <w:rPr>
                      <w:color w:val="000000" w:themeColor="text1"/>
                      <w14:textFill>
                        <w14:solidFill>
                          <w14:schemeClr w14:val="tx1"/>
                        </w14:solidFill>
                      </w14:textFill>
                    </w:rPr>
                  </w:pPr>
                  <w:r>
                    <w:rPr>
                      <w:color w:val="000000" w:themeColor="text1"/>
                      <w14:textFill>
                        <w14:solidFill>
                          <w14:schemeClr w14:val="tx1"/>
                        </w14:solidFill>
                      </w14:textFill>
                    </w:rPr>
                    <w:t>围彩</w:t>
                  </w:r>
                </w:p>
                <w:p w14:paraId="121809B0">
                  <w:pPr>
                    <w:pStyle w:val="43"/>
                    <w:rPr>
                      <w:color w:val="000000" w:themeColor="text1"/>
                      <w14:textFill>
                        <w14:solidFill>
                          <w14:schemeClr w14:val="tx1"/>
                        </w14:solidFill>
                      </w14:textFill>
                    </w:rPr>
                  </w:pPr>
                  <w:r>
                    <w:rPr>
                      <w:color w:val="000000" w:themeColor="text1"/>
                      <w14:textFill>
                        <w14:solidFill>
                          <w14:schemeClr w14:val="tx1"/>
                        </w14:solidFill>
                      </w14:textFill>
                    </w:rPr>
                    <w:t>条布</w:t>
                  </w:r>
                </w:p>
              </w:tc>
              <w:tc>
                <w:tcPr>
                  <w:tcW w:w="504" w:type="pct"/>
                  <w:tcBorders>
                    <w:tl2br w:val="nil"/>
                    <w:tr2bl w:val="nil"/>
                  </w:tcBorders>
                  <w:vAlign w:val="center"/>
                </w:tcPr>
                <w:p w14:paraId="3F385F62">
                  <w:pPr>
                    <w:pStyle w:val="43"/>
                    <w:rPr>
                      <w:color w:val="000000" w:themeColor="text1"/>
                      <w14:textFill>
                        <w14:solidFill>
                          <w14:schemeClr w14:val="tx1"/>
                        </w14:solidFill>
                      </w14:textFill>
                    </w:rPr>
                  </w:pPr>
                  <w:r>
                    <w:rPr>
                      <w:color w:val="000000" w:themeColor="text1"/>
                      <w14:textFill>
                        <w14:solidFill>
                          <w14:schemeClr w14:val="tx1"/>
                        </w14:solidFill>
                      </w14:textFill>
                    </w:rPr>
                    <w:t>1.105</w:t>
                  </w:r>
                </w:p>
              </w:tc>
              <w:tc>
                <w:tcPr>
                  <w:tcW w:w="504" w:type="pct"/>
                  <w:tcBorders>
                    <w:tl2br w:val="nil"/>
                    <w:tr2bl w:val="nil"/>
                  </w:tcBorders>
                  <w:vAlign w:val="center"/>
                </w:tcPr>
                <w:p w14:paraId="70B00026">
                  <w:pPr>
                    <w:pStyle w:val="43"/>
                    <w:rPr>
                      <w:color w:val="000000" w:themeColor="text1"/>
                      <w14:textFill>
                        <w14:solidFill>
                          <w14:schemeClr w14:val="tx1"/>
                        </w14:solidFill>
                      </w14:textFill>
                    </w:rPr>
                  </w:pPr>
                  <w:r>
                    <w:rPr>
                      <w:color w:val="000000" w:themeColor="text1"/>
                      <w14:textFill>
                        <w14:solidFill>
                          <w14:schemeClr w14:val="tx1"/>
                        </w14:solidFill>
                      </w14:textFill>
                    </w:rPr>
                    <w:t>0.674</w:t>
                  </w:r>
                </w:p>
              </w:tc>
              <w:tc>
                <w:tcPr>
                  <w:tcW w:w="504" w:type="pct"/>
                  <w:tcBorders>
                    <w:tl2br w:val="nil"/>
                    <w:tr2bl w:val="nil"/>
                  </w:tcBorders>
                  <w:vAlign w:val="center"/>
                </w:tcPr>
                <w:p w14:paraId="2B02B1EF">
                  <w:pPr>
                    <w:pStyle w:val="43"/>
                    <w:rPr>
                      <w:color w:val="000000" w:themeColor="text1"/>
                      <w14:textFill>
                        <w14:solidFill>
                          <w14:schemeClr w14:val="tx1"/>
                        </w14:solidFill>
                      </w14:textFill>
                    </w:rPr>
                  </w:pPr>
                  <w:r>
                    <w:rPr>
                      <w:color w:val="000000" w:themeColor="text1"/>
                      <w14:textFill>
                        <w14:solidFill>
                          <w14:schemeClr w14:val="tx1"/>
                        </w14:solidFill>
                      </w14:textFill>
                    </w:rPr>
                    <w:t>0.453</w:t>
                  </w:r>
                </w:p>
              </w:tc>
              <w:tc>
                <w:tcPr>
                  <w:tcW w:w="504" w:type="pct"/>
                  <w:tcBorders>
                    <w:tl2br w:val="nil"/>
                    <w:tr2bl w:val="nil"/>
                  </w:tcBorders>
                  <w:vAlign w:val="center"/>
                </w:tcPr>
                <w:p w14:paraId="2170E8AE">
                  <w:pPr>
                    <w:pStyle w:val="43"/>
                    <w:rPr>
                      <w:color w:val="000000" w:themeColor="text1"/>
                      <w14:textFill>
                        <w14:solidFill>
                          <w14:schemeClr w14:val="tx1"/>
                        </w14:solidFill>
                      </w14:textFill>
                    </w:rPr>
                  </w:pPr>
                  <w:r>
                    <w:rPr>
                      <w:color w:val="000000" w:themeColor="text1"/>
                      <w14:textFill>
                        <w14:solidFill>
                          <w14:schemeClr w14:val="tx1"/>
                        </w14:solidFill>
                      </w14:textFill>
                    </w:rPr>
                    <w:t>0.420</w:t>
                  </w:r>
                </w:p>
              </w:tc>
              <w:tc>
                <w:tcPr>
                  <w:tcW w:w="504" w:type="pct"/>
                  <w:tcBorders>
                    <w:tl2br w:val="nil"/>
                    <w:tr2bl w:val="nil"/>
                  </w:tcBorders>
                  <w:vAlign w:val="center"/>
                </w:tcPr>
                <w:p w14:paraId="039B204D">
                  <w:pPr>
                    <w:pStyle w:val="43"/>
                    <w:rPr>
                      <w:color w:val="000000" w:themeColor="text1"/>
                      <w14:textFill>
                        <w14:solidFill>
                          <w14:schemeClr w14:val="tx1"/>
                        </w14:solidFill>
                      </w14:textFill>
                    </w:rPr>
                  </w:pPr>
                  <w:r>
                    <w:rPr>
                      <w:color w:val="000000" w:themeColor="text1"/>
                      <w14:textFill>
                        <w14:solidFill>
                          <w14:schemeClr w14:val="tx1"/>
                        </w14:solidFill>
                      </w14:textFill>
                    </w:rPr>
                    <w:t>0.421</w:t>
                  </w:r>
                </w:p>
              </w:tc>
              <w:tc>
                <w:tcPr>
                  <w:tcW w:w="506" w:type="pct"/>
                  <w:tcBorders>
                    <w:tl2br w:val="nil"/>
                    <w:tr2bl w:val="nil"/>
                  </w:tcBorders>
                  <w:vAlign w:val="center"/>
                </w:tcPr>
                <w:p w14:paraId="7132C937">
                  <w:pPr>
                    <w:pStyle w:val="43"/>
                    <w:rPr>
                      <w:color w:val="000000" w:themeColor="text1"/>
                      <w14:textFill>
                        <w14:solidFill>
                          <w14:schemeClr w14:val="tx1"/>
                        </w14:solidFill>
                      </w14:textFill>
                    </w:rPr>
                  </w:pPr>
                  <w:r>
                    <w:rPr>
                      <w:color w:val="000000" w:themeColor="text1"/>
                      <w14:textFill>
                        <w14:solidFill>
                          <w14:schemeClr w14:val="tx1"/>
                        </w14:solidFill>
                      </w14:textFill>
                    </w:rPr>
                    <w:t>0.417</w:t>
                  </w:r>
                </w:p>
              </w:tc>
              <w:tc>
                <w:tcPr>
                  <w:tcW w:w="479" w:type="pct"/>
                  <w:vMerge w:val="continue"/>
                  <w:tcBorders>
                    <w:tl2br w:val="nil"/>
                    <w:tr2bl w:val="nil"/>
                  </w:tcBorders>
                  <w:vAlign w:val="center"/>
                </w:tcPr>
                <w:p w14:paraId="445E395E">
                  <w:pPr>
                    <w:pStyle w:val="43"/>
                    <w:rPr>
                      <w:color w:val="000000" w:themeColor="text1"/>
                      <w14:textFill>
                        <w14:solidFill>
                          <w14:schemeClr w14:val="tx1"/>
                        </w14:solidFill>
                      </w14:textFill>
                    </w:rPr>
                  </w:pPr>
                </w:p>
              </w:tc>
            </w:tr>
            <w:tr w14:paraId="64D344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0" w:type="pct"/>
                  <w:gridSpan w:val="2"/>
                  <w:tcBorders>
                    <w:tl2br w:val="nil"/>
                    <w:tr2bl w:val="nil"/>
                  </w:tcBorders>
                  <w:vAlign w:val="center"/>
                </w:tcPr>
                <w:p w14:paraId="3879D01A">
                  <w:pPr>
                    <w:pStyle w:val="43"/>
                    <w:rPr>
                      <w:color w:val="000000" w:themeColor="text1"/>
                      <w14:textFill>
                        <w14:solidFill>
                          <w14:schemeClr w14:val="tx1"/>
                        </w14:solidFill>
                      </w14:textFill>
                    </w:rPr>
                  </w:pPr>
                  <w:r>
                    <w:rPr>
                      <w:color w:val="000000" w:themeColor="text1"/>
                      <w14:textFill>
                        <w14:solidFill>
                          <w14:schemeClr w14:val="tx1"/>
                        </w14:solidFill>
                      </w14:textFill>
                    </w:rPr>
                    <w:t>平均</w:t>
                  </w:r>
                </w:p>
              </w:tc>
              <w:tc>
                <w:tcPr>
                  <w:tcW w:w="504" w:type="pct"/>
                  <w:tcBorders>
                    <w:tl2br w:val="nil"/>
                    <w:tr2bl w:val="nil"/>
                  </w:tcBorders>
                  <w:vAlign w:val="center"/>
                </w:tcPr>
                <w:p w14:paraId="3431391B">
                  <w:pPr>
                    <w:pStyle w:val="43"/>
                    <w:rPr>
                      <w:color w:val="000000" w:themeColor="text1"/>
                      <w14:textFill>
                        <w14:solidFill>
                          <w14:schemeClr w14:val="tx1"/>
                        </w14:solidFill>
                      </w14:textFill>
                    </w:rPr>
                  </w:pPr>
                  <w:r>
                    <w:rPr>
                      <w:color w:val="000000" w:themeColor="text1"/>
                      <w14:textFill>
                        <w14:solidFill>
                          <w14:schemeClr w14:val="tx1"/>
                        </w14:solidFill>
                      </w14:textFill>
                    </w:rPr>
                    <w:t>1.042</w:t>
                  </w:r>
                </w:p>
              </w:tc>
              <w:tc>
                <w:tcPr>
                  <w:tcW w:w="504" w:type="pct"/>
                  <w:tcBorders>
                    <w:tl2br w:val="nil"/>
                    <w:tr2bl w:val="nil"/>
                  </w:tcBorders>
                  <w:vAlign w:val="center"/>
                </w:tcPr>
                <w:p w14:paraId="5F689B78">
                  <w:pPr>
                    <w:pStyle w:val="43"/>
                    <w:rPr>
                      <w:color w:val="000000" w:themeColor="text1"/>
                      <w14:textFill>
                        <w14:solidFill>
                          <w14:schemeClr w14:val="tx1"/>
                        </w14:solidFill>
                      </w14:textFill>
                    </w:rPr>
                  </w:pPr>
                  <w:r>
                    <w:rPr>
                      <w:color w:val="000000" w:themeColor="text1"/>
                      <w14:textFill>
                        <w14:solidFill>
                          <w14:schemeClr w14:val="tx1"/>
                        </w14:solidFill>
                      </w14:textFill>
                    </w:rPr>
                    <w:t>0.626</w:t>
                  </w:r>
                </w:p>
              </w:tc>
              <w:tc>
                <w:tcPr>
                  <w:tcW w:w="504" w:type="pct"/>
                  <w:tcBorders>
                    <w:tl2br w:val="nil"/>
                    <w:tr2bl w:val="nil"/>
                  </w:tcBorders>
                  <w:vAlign w:val="center"/>
                </w:tcPr>
                <w:p w14:paraId="4B21428E">
                  <w:pPr>
                    <w:pStyle w:val="43"/>
                    <w:rPr>
                      <w:color w:val="000000" w:themeColor="text1"/>
                      <w14:textFill>
                        <w14:solidFill>
                          <w14:schemeClr w14:val="tx1"/>
                        </w14:solidFill>
                      </w14:textFill>
                    </w:rPr>
                  </w:pPr>
                  <w:r>
                    <w:rPr>
                      <w:color w:val="000000" w:themeColor="text1"/>
                      <w14:textFill>
                        <w14:solidFill>
                          <w14:schemeClr w14:val="tx1"/>
                        </w14:solidFill>
                      </w14:textFill>
                    </w:rPr>
                    <w:t>0.435</w:t>
                  </w:r>
                </w:p>
              </w:tc>
              <w:tc>
                <w:tcPr>
                  <w:tcW w:w="504" w:type="pct"/>
                  <w:tcBorders>
                    <w:tl2br w:val="nil"/>
                    <w:tr2bl w:val="nil"/>
                  </w:tcBorders>
                  <w:vAlign w:val="center"/>
                </w:tcPr>
                <w:p w14:paraId="56031402">
                  <w:pPr>
                    <w:pStyle w:val="43"/>
                    <w:rPr>
                      <w:color w:val="000000" w:themeColor="text1"/>
                      <w14:textFill>
                        <w14:solidFill>
                          <w14:schemeClr w14:val="tx1"/>
                        </w14:solidFill>
                      </w14:textFill>
                    </w:rPr>
                  </w:pPr>
                  <w:r>
                    <w:rPr>
                      <w:color w:val="000000" w:themeColor="text1"/>
                      <w14:textFill>
                        <w14:solidFill>
                          <w14:schemeClr w14:val="tx1"/>
                        </w14:solidFill>
                      </w14:textFill>
                    </w:rPr>
                    <w:t>0.421</w:t>
                  </w:r>
                </w:p>
              </w:tc>
              <w:tc>
                <w:tcPr>
                  <w:tcW w:w="504" w:type="pct"/>
                  <w:tcBorders>
                    <w:tl2br w:val="nil"/>
                    <w:tr2bl w:val="nil"/>
                  </w:tcBorders>
                  <w:vAlign w:val="center"/>
                </w:tcPr>
                <w:p w14:paraId="4F236312">
                  <w:pPr>
                    <w:pStyle w:val="43"/>
                    <w:rPr>
                      <w:color w:val="000000" w:themeColor="text1"/>
                      <w14:textFill>
                        <w14:solidFill>
                          <w14:schemeClr w14:val="tx1"/>
                        </w14:solidFill>
                      </w14:textFill>
                    </w:rPr>
                  </w:pPr>
                  <w:r>
                    <w:rPr>
                      <w:color w:val="000000" w:themeColor="text1"/>
                      <w14:textFill>
                        <w14:solidFill>
                          <w14:schemeClr w14:val="tx1"/>
                        </w14:solidFill>
                      </w14:textFill>
                    </w:rPr>
                    <w:t>0.419</w:t>
                  </w:r>
                </w:p>
              </w:tc>
              <w:tc>
                <w:tcPr>
                  <w:tcW w:w="506" w:type="pct"/>
                  <w:tcBorders>
                    <w:tl2br w:val="nil"/>
                    <w:tr2bl w:val="nil"/>
                  </w:tcBorders>
                  <w:vAlign w:val="center"/>
                </w:tcPr>
                <w:p w14:paraId="1B9C9B48">
                  <w:pPr>
                    <w:pStyle w:val="43"/>
                    <w:rPr>
                      <w:color w:val="000000" w:themeColor="text1"/>
                      <w14:textFill>
                        <w14:solidFill>
                          <w14:schemeClr w14:val="tx1"/>
                        </w14:solidFill>
                      </w14:textFill>
                    </w:rPr>
                  </w:pPr>
                  <w:r>
                    <w:rPr>
                      <w:color w:val="000000" w:themeColor="text1"/>
                      <w14:textFill>
                        <w14:solidFill>
                          <w14:schemeClr w14:val="tx1"/>
                        </w14:solidFill>
                      </w14:textFill>
                    </w:rPr>
                    <w:t>0.419</w:t>
                  </w:r>
                </w:p>
              </w:tc>
              <w:tc>
                <w:tcPr>
                  <w:tcW w:w="479" w:type="pct"/>
                  <w:vMerge w:val="continue"/>
                  <w:tcBorders>
                    <w:tl2br w:val="nil"/>
                    <w:tr2bl w:val="nil"/>
                  </w:tcBorders>
                  <w:vAlign w:val="center"/>
                </w:tcPr>
                <w:p w14:paraId="61FDE8A7">
                  <w:pPr>
                    <w:pStyle w:val="43"/>
                    <w:rPr>
                      <w:color w:val="000000" w:themeColor="text1"/>
                      <w14:textFill>
                        <w14:solidFill>
                          <w14:schemeClr w14:val="tx1"/>
                        </w14:solidFill>
                      </w14:textFill>
                    </w:rPr>
                  </w:pPr>
                </w:p>
              </w:tc>
            </w:tr>
          </w:tbl>
          <w:p w14:paraId="17EA852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由上表分析可知，市政工程施工扬尘的影响范围与程度相关结论如下：</w:t>
            </w:r>
          </w:p>
          <w:p w14:paraId="1B03F69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无围挡的施工现场扬尘十分严重，扬尘污染范围在工地下风向250m内，被影响地区的颗粒物浓度为0.512</w:t>
            </w:r>
            <w:r>
              <w:rPr>
                <w:color w:val="000000" w:themeColor="text1"/>
                <w14:textFill>
                  <w14:solidFill>
                    <w14:schemeClr w14:val="tx1"/>
                  </w14:solidFill>
                </w14:textFill>
              </w:rPr>
              <w:sym w:font="Symbol" w:char="F07E"/>
            </w:r>
            <w:r>
              <w:rPr>
                <w:color w:val="000000" w:themeColor="text1"/>
                <w14:textFill>
                  <w14:solidFill>
                    <w14:schemeClr w14:val="tx1"/>
                  </w14:solidFill>
                </w14:textFill>
              </w:rPr>
              <w:t>1.503mg/m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，是对照点的1.26</w:t>
            </w:r>
            <w:r>
              <w:rPr>
                <w:color w:val="000000" w:themeColor="text1"/>
                <w14:textFill>
                  <w14:solidFill>
                    <w14:schemeClr w14:val="tx1"/>
                  </w14:solidFill>
                </w14:textFill>
              </w:rPr>
              <w:sym w:font="Symbol" w:char="F07E"/>
            </w:r>
            <w:r>
              <w:rPr>
                <w:color w:val="000000" w:themeColor="text1"/>
                <w14:textFill>
                  <w14:solidFill>
                    <w14:schemeClr w14:val="tx1"/>
                  </w14:solidFill>
                </w14:textFill>
              </w:rPr>
              <w:t>3.70倍。</w:t>
            </w:r>
          </w:p>
          <w:p w14:paraId="021830F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有围挡的施工扬尘相对无围挡时有明显的改善，但仍较严重，扬尘污染范围在工地下风向150m之内，被影响地区的颗粒物浓度平均为0.421</w:t>
            </w:r>
            <w:r>
              <w:rPr>
                <w:color w:val="000000" w:themeColor="text1"/>
                <w14:textFill>
                  <w14:solidFill>
                    <w14:schemeClr w14:val="tx1"/>
                  </w14:solidFill>
                </w14:textFill>
              </w:rPr>
              <w:sym w:font="Symbol" w:char="F07E"/>
            </w:r>
            <w:r>
              <w:rPr>
                <w:color w:val="000000" w:themeColor="text1"/>
                <w14:textFill>
                  <w14:solidFill>
                    <w14:schemeClr w14:val="tx1"/>
                  </w14:solidFill>
                </w14:textFill>
              </w:rPr>
              <w:t>1.042mg/m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，是对照点的1.08</w:t>
            </w:r>
            <w:r>
              <w:rPr>
                <w:color w:val="000000" w:themeColor="text1"/>
                <w14:textFill>
                  <w14:solidFill>
                    <w14:schemeClr w14:val="tx1"/>
                  </w14:solidFill>
                </w14:textFill>
              </w:rPr>
              <w:sym w:font="Symbol" w:char="F07E"/>
            </w:r>
            <w:r>
              <w:rPr>
                <w:color w:val="000000" w:themeColor="text1"/>
                <w14:textFill>
                  <w14:solidFill>
                    <w14:schemeClr w14:val="tx1"/>
                  </w14:solidFill>
                </w14:textFill>
              </w:rPr>
              <w:t>2.49倍。</w:t>
            </w:r>
          </w:p>
          <w:p w14:paraId="751B1DF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围挡对减少市政施工扬尘对环境的污染有明显作用，在相同条件下，可使被污染地区的TSP浓度减少约四分之一。</w:t>
            </w:r>
          </w:p>
          <w:p w14:paraId="2C5A5DD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在有遮挡情况下，在下风向50m处颗粒物浓度完全能满足《大气污染物综合排放标准》表2中无组织排放监控浓度限值(1.0mg/m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)，在200m处基本达到上风向对照点相同浓度。</w:t>
            </w:r>
          </w:p>
          <w:p w14:paraId="21CEACF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根据以上类比分析，施工扬尘对施工下风向20m范围有较大的影响，若天气干燥、风速较大时可能对周边居住区等产生不利影响。建议优化施工方法，减少扬尘。一般情况下，施工期间对车辆行驶路面实施洒水降尘，每天洒水4~5次，可使扬尘量减少70%左右，可见每天洒水降尘，可有效控制施工扬尘，将TSP污染距离缩小在20~50m范围。现状</w:t>
            </w:r>
            <w:r>
              <w:rPr>
                <w:rFonts w:hint="eastAsia"/>
                <w:color w:val="000000" w:themeColor="text1"/>
                <w14:textFill>
                  <w14:solidFill>
                    <w14:schemeClr w14:val="tx1"/>
                  </w14:solidFill>
                </w14:textFill>
              </w:rPr>
              <w:t>河流</w:t>
            </w:r>
            <w:r>
              <w:rPr>
                <w:color w:val="000000" w:themeColor="text1"/>
                <w14:textFill>
                  <w14:solidFill>
                    <w14:schemeClr w14:val="tx1"/>
                  </w14:solidFill>
                </w14:textFill>
              </w:rPr>
              <w:t>周边500m内</w:t>
            </w:r>
            <w:r>
              <w:rPr>
                <w:rFonts w:hint="eastAsia"/>
                <w:color w:val="000000" w:themeColor="text1"/>
                <w14:textFill>
                  <w14:solidFill>
                    <w14:schemeClr w14:val="tx1"/>
                  </w14:solidFill>
                </w14:textFill>
              </w:rPr>
              <w:t>无</w:t>
            </w:r>
            <w:r>
              <w:rPr>
                <w:color w:val="000000" w:themeColor="text1"/>
                <w14:textFill>
                  <w14:solidFill>
                    <w14:schemeClr w14:val="tx1"/>
                  </w14:solidFill>
                </w14:textFill>
              </w:rPr>
              <w:t>居民，为控制扬尘污染，施工过程中应采取围挡、洒水、限制车速等措施，加强施工管理，禁止大风天气施工。采取上述措施后，扬尘影响和污染程度会显著减轻。</w:t>
            </w:r>
          </w:p>
          <w:p w14:paraId="10CD56F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（2）施工机械、车辆燃油废气影响分析</w:t>
            </w:r>
          </w:p>
          <w:p w14:paraId="308F260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运输车辆所排放的燃油废气，主要污染物是氮氧化物、二氧化硫、一氧化碳等，根据《工业交通环保概论（王肇润编著）》，每耗1L油料，排放空气污染物氮氧化物9g、二氧化硫3.24g、一氧化碳27g。对于燃用柴油的施工机械，其排气污染物中的NO</w:t>
            </w:r>
            <w:r>
              <w:rPr>
                <w:rFonts w:hint="eastAsia"/>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CO及HC等排放量应满足《非道路移动机械用柴油机排气污染物排放限值及测量方法（中国第三、四阶段）》（GB20891-2014）及修改单规定的排放限值。燃油废气主要对作业点周边和运输路线两侧局部范围产生一定影响，由于排放量不大，经稀释扩散后不会对周边空气环境产生明显影响。</w:t>
            </w:r>
          </w:p>
          <w:p w14:paraId="7EB235D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加强对施工车辆的检修和维护，严禁使用超期服役和尾气超标的车辆。对施工期间进出施工现场车流量进行合理安排，防止施工现场车流量过大。尽可能使用耗油低，排气小的施工车辆，选用优质燃油，减少机械和车辆的有害废气排放。</w:t>
            </w:r>
          </w:p>
          <w:p w14:paraId="5BCF41C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（3）清淤恶臭</w:t>
            </w:r>
          </w:p>
          <w:p w14:paraId="391B85A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在河道清淤治理过程中，因河道清淤、淤泥干化过程中，河道淤泥厌氧分解会产生一些具有臭味的物质（如H</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等），这些具有臭味的物质会挥发进入大气，影响周围的环境空气质量。</w:t>
            </w:r>
          </w:p>
          <w:p w14:paraId="6FE4068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本次环评对于该工程疏浚和淤泥修复过程中产生的恶臭气体强度，采用常用的六级臭气强度评价法进行类比分析与评价。</w:t>
            </w:r>
          </w:p>
          <w:p w14:paraId="2836EB3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六级臭气强度评价法：用嗅觉感觉出来的臭气强度，用“嗅觉阈值”来表示，所谓嗅觉阈值就是人所能嗅觉到某种物质的最小刺激量。臭气强度是以臭味的嗅觉阈值为基准划分等级的，共分为6级，见表4-5。为防止臭气扩散影响周围环境，对臭气的限值要求一般相当于臭气强度2.5~3.5级，超出该强度范围，即认为发生恶臭污染，需采取措施。</w:t>
            </w:r>
          </w:p>
          <w:p w14:paraId="64403972">
            <w:pPr>
              <w:pStyle w:val="46"/>
              <w:rPr>
                <w:color w:val="000000" w:themeColor="text1"/>
                <w14:textFill>
                  <w14:solidFill>
                    <w14:schemeClr w14:val="tx1"/>
                  </w14:solidFill>
                </w14:textFill>
              </w:rPr>
            </w:pPr>
            <w:r>
              <w:rPr>
                <w:color w:val="000000" w:themeColor="text1"/>
                <w14:textFill>
                  <w14:solidFill>
                    <w14:schemeClr w14:val="tx1"/>
                  </w14:solidFill>
                </w14:textFill>
              </w:rPr>
              <w:t>表4-4 臭气强度分级表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34"/>
              <w:gridCol w:w="5129"/>
            </w:tblGrid>
            <w:tr w14:paraId="0F167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0EE8B378">
                  <w:pPr>
                    <w:pStyle w:val="43"/>
                    <w:rPr>
                      <w:color w:val="000000" w:themeColor="text1"/>
                      <w14:textFill>
                        <w14:solidFill>
                          <w14:schemeClr w14:val="tx1"/>
                        </w14:solidFill>
                      </w14:textFill>
                    </w:rPr>
                  </w:pPr>
                  <w:r>
                    <w:rPr>
                      <w:color w:val="000000" w:themeColor="text1"/>
                      <w14:textFill>
                        <w14:solidFill>
                          <w14:schemeClr w14:val="tx1"/>
                        </w14:solidFill>
                      </w14:textFill>
                    </w:rPr>
                    <w:t>强度等级</w:t>
                  </w:r>
                </w:p>
              </w:tc>
              <w:tc>
                <w:tcPr>
                  <w:tcW w:w="4863" w:type="dxa"/>
                  <w:vAlign w:val="center"/>
                </w:tcPr>
                <w:p w14:paraId="1039A909">
                  <w:pPr>
                    <w:pStyle w:val="43"/>
                    <w:rPr>
                      <w:color w:val="000000" w:themeColor="text1"/>
                      <w14:textFill>
                        <w14:solidFill>
                          <w14:schemeClr w14:val="tx1"/>
                        </w14:solidFill>
                      </w14:textFill>
                    </w:rPr>
                  </w:pPr>
                  <w:r>
                    <w:rPr>
                      <w:color w:val="000000" w:themeColor="text1"/>
                      <w14:textFill>
                        <w14:solidFill>
                          <w14:schemeClr w14:val="tx1"/>
                        </w14:solidFill>
                      </w14:textFill>
                    </w:rPr>
                    <w:t>嗅觉判别标准</w:t>
                  </w:r>
                </w:p>
              </w:tc>
            </w:tr>
            <w:tr w14:paraId="11A0C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6C21D207">
                  <w:pPr>
                    <w:pStyle w:val="43"/>
                    <w:rPr>
                      <w:color w:val="000000" w:themeColor="text1"/>
                      <w14:textFill>
                        <w14:solidFill>
                          <w14:schemeClr w14:val="tx1"/>
                        </w14:solidFill>
                      </w14:textFill>
                    </w:rPr>
                  </w:pPr>
                  <w:r>
                    <w:rPr>
                      <w:color w:val="000000" w:themeColor="text1"/>
                      <w14:textFill>
                        <w14:solidFill>
                          <w14:schemeClr w14:val="tx1"/>
                        </w14:solidFill>
                      </w14:textFill>
                    </w:rPr>
                    <w:t>0</w:t>
                  </w:r>
                </w:p>
              </w:tc>
              <w:tc>
                <w:tcPr>
                  <w:tcW w:w="4863" w:type="dxa"/>
                  <w:vAlign w:val="center"/>
                </w:tcPr>
                <w:p w14:paraId="688356AB">
                  <w:pPr>
                    <w:pStyle w:val="43"/>
                    <w:rPr>
                      <w:color w:val="000000" w:themeColor="text1"/>
                      <w14:textFill>
                        <w14:solidFill>
                          <w14:schemeClr w14:val="tx1"/>
                        </w14:solidFill>
                      </w14:textFill>
                    </w:rPr>
                  </w:pPr>
                  <w:r>
                    <w:rPr>
                      <w:color w:val="000000" w:themeColor="text1"/>
                      <w14:textFill>
                        <w14:solidFill>
                          <w14:schemeClr w14:val="tx1"/>
                        </w14:solidFill>
                      </w14:textFill>
                    </w:rPr>
                    <w:t>无臭</w:t>
                  </w:r>
                </w:p>
              </w:tc>
            </w:tr>
            <w:tr w14:paraId="6ACCC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613F01B0">
                  <w:pPr>
                    <w:pStyle w:val="43"/>
                    <w:rPr>
                      <w:color w:val="000000" w:themeColor="text1"/>
                      <w14:textFill>
                        <w14:solidFill>
                          <w14:schemeClr w14:val="tx1"/>
                        </w14:solidFill>
                      </w14:textFill>
                    </w:rPr>
                  </w:pPr>
                  <w:r>
                    <w:rPr>
                      <w:color w:val="000000" w:themeColor="text1"/>
                      <w14:textFill>
                        <w14:solidFill>
                          <w14:schemeClr w14:val="tx1"/>
                        </w14:solidFill>
                      </w14:textFill>
                    </w:rPr>
                    <w:t>1</w:t>
                  </w:r>
                </w:p>
              </w:tc>
              <w:tc>
                <w:tcPr>
                  <w:tcW w:w="4863" w:type="dxa"/>
                  <w:vAlign w:val="center"/>
                </w:tcPr>
                <w:p w14:paraId="4930A8E9">
                  <w:pPr>
                    <w:pStyle w:val="43"/>
                    <w:rPr>
                      <w:color w:val="000000" w:themeColor="text1"/>
                      <w14:textFill>
                        <w14:solidFill>
                          <w14:schemeClr w14:val="tx1"/>
                        </w14:solidFill>
                      </w14:textFill>
                    </w:rPr>
                  </w:pPr>
                  <w:r>
                    <w:rPr>
                      <w:color w:val="000000" w:themeColor="text1"/>
                      <w14:textFill>
                        <w14:solidFill>
                          <w14:schemeClr w14:val="tx1"/>
                        </w14:solidFill>
                      </w14:textFill>
                    </w:rPr>
                    <w:t>勉强可以感到轻微臭味（检知阈值浓度）</w:t>
                  </w:r>
                </w:p>
              </w:tc>
            </w:tr>
            <w:tr w14:paraId="1617E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4C54F3A9">
                  <w:pPr>
                    <w:pStyle w:val="43"/>
                    <w:rPr>
                      <w:color w:val="000000" w:themeColor="text1"/>
                      <w14:textFill>
                        <w14:solidFill>
                          <w14:schemeClr w14:val="tx1"/>
                        </w14:solidFill>
                      </w14:textFill>
                    </w:rPr>
                  </w:pPr>
                  <w:r>
                    <w:rPr>
                      <w:color w:val="000000" w:themeColor="text1"/>
                      <w14:textFill>
                        <w14:solidFill>
                          <w14:schemeClr w14:val="tx1"/>
                        </w14:solidFill>
                      </w14:textFill>
                    </w:rPr>
                    <w:t>2</w:t>
                  </w:r>
                </w:p>
              </w:tc>
              <w:tc>
                <w:tcPr>
                  <w:tcW w:w="4863" w:type="dxa"/>
                  <w:vAlign w:val="center"/>
                </w:tcPr>
                <w:p w14:paraId="721476A1">
                  <w:pPr>
                    <w:pStyle w:val="43"/>
                    <w:rPr>
                      <w:color w:val="000000" w:themeColor="text1"/>
                      <w14:textFill>
                        <w14:solidFill>
                          <w14:schemeClr w14:val="tx1"/>
                        </w14:solidFill>
                      </w14:textFill>
                    </w:rPr>
                  </w:pPr>
                  <w:r>
                    <w:rPr>
                      <w:color w:val="000000" w:themeColor="text1"/>
                      <w14:textFill>
                        <w14:solidFill>
                          <w14:schemeClr w14:val="tx1"/>
                        </w14:solidFill>
                      </w14:textFill>
                    </w:rPr>
                    <w:t>容易感到轻微臭味（认知阈值浓度）</w:t>
                  </w:r>
                </w:p>
              </w:tc>
            </w:tr>
            <w:tr w14:paraId="73F31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2F4558A3">
                  <w:pPr>
                    <w:pStyle w:val="43"/>
                    <w:rPr>
                      <w:color w:val="000000" w:themeColor="text1"/>
                      <w14:textFill>
                        <w14:solidFill>
                          <w14:schemeClr w14:val="tx1"/>
                        </w14:solidFill>
                      </w14:textFill>
                    </w:rPr>
                  </w:pPr>
                  <w:r>
                    <w:rPr>
                      <w:color w:val="000000" w:themeColor="text1"/>
                      <w14:textFill>
                        <w14:solidFill>
                          <w14:schemeClr w14:val="tx1"/>
                        </w14:solidFill>
                      </w14:textFill>
                    </w:rPr>
                    <w:t>3</w:t>
                  </w:r>
                </w:p>
              </w:tc>
              <w:tc>
                <w:tcPr>
                  <w:tcW w:w="4863" w:type="dxa"/>
                  <w:vAlign w:val="center"/>
                </w:tcPr>
                <w:p w14:paraId="12662701">
                  <w:pPr>
                    <w:pStyle w:val="43"/>
                    <w:rPr>
                      <w:color w:val="000000" w:themeColor="text1"/>
                      <w14:textFill>
                        <w14:solidFill>
                          <w14:schemeClr w14:val="tx1"/>
                        </w14:solidFill>
                      </w14:textFill>
                    </w:rPr>
                  </w:pPr>
                  <w:r>
                    <w:rPr>
                      <w:color w:val="000000" w:themeColor="text1"/>
                      <w14:textFill>
                        <w14:solidFill>
                          <w14:schemeClr w14:val="tx1"/>
                        </w14:solidFill>
                      </w14:textFill>
                    </w:rPr>
                    <w:t>明显感到臭味</w:t>
                  </w:r>
                </w:p>
              </w:tc>
            </w:tr>
            <w:tr w14:paraId="323E5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4FD09DF6">
                  <w:pPr>
                    <w:pStyle w:val="43"/>
                    <w:rPr>
                      <w:color w:val="000000" w:themeColor="text1"/>
                      <w14:textFill>
                        <w14:solidFill>
                          <w14:schemeClr w14:val="tx1"/>
                        </w14:solidFill>
                      </w14:textFill>
                    </w:rPr>
                  </w:pPr>
                  <w:r>
                    <w:rPr>
                      <w:color w:val="000000" w:themeColor="text1"/>
                      <w14:textFill>
                        <w14:solidFill>
                          <w14:schemeClr w14:val="tx1"/>
                        </w14:solidFill>
                      </w14:textFill>
                    </w:rPr>
                    <w:t>4</w:t>
                  </w:r>
                </w:p>
              </w:tc>
              <w:tc>
                <w:tcPr>
                  <w:tcW w:w="4863" w:type="dxa"/>
                  <w:vAlign w:val="center"/>
                </w:tcPr>
                <w:p w14:paraId="1148D5CA">
                  <w:pPr>
                    <w:pStyle w:val="43"/>
                    <w:rPr>
                      <w:color w:val="000000" w:themeColor="text1"/>
                      <w14:textFill>
                        <w14:solidFill>
                          <w14:schemeClr w14:val="tx1"/>
                        </w14:solidFill>
                      </w14:textFill>
                    </w:rPr>
                  </w:pPr>
                  <w:r>
                    <w:rPr>
                      <w:color w:val="000000" w:themeColor="text1"/>
                      <w14:textFill>
                        <w14:solidFill>
                          <w14:schemeClr w14:val="tx1"/>
                        </w14:solidFill>
                      </w14:textFill>
                    </w:rPr>
                    <w:t>强烈臭味</w:t>
                  </w:r>
                </w:p>
              </w:tc>
            </w:tr>
            <w:tr w14:paraId="1020D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02" w:type="dxa"/>
                  <w:vAlign w:val="center"/>
                </w:tcPr>
                <w:p w14:paraId="1D9CB800">
                  <w:pPr>
                    <w:pStyle w:val="43"/>
                    <w:rPr>
                      <w:color w:val="000000" w:themeColor="text1"/>
                      <w14:textFill>
                        <w14:solidFill>
                          <w14:schemeClr w14:val="tx1"/>
                        </w14:solidFill>
                      </w14:textFill>
                    </w:rPr>
                  </w:pPr>
                  <w:r>
                    <w:rPr>
                      <w:color w:val="000000" w:themeColor="text1"/>
                      <w14:textFill>
                        <w14:solidFill>
                          <w14:schemeClr w14:val="tx1"/>
                        </w14:solidFill>
                      </w14:textFill>
                    </w:rPr>
                    <w:t>5</w:t>
                  </w:r>
                </w:p>
              </w:tc>
              <w:tc>
                <w:tcPr>
                  <w:tcW w:w="4863" w:type="dxa"/>
                  <w:vAlign w:val="center"/>
                </w:tcPr>
                <w:p w14:paraId="204B9F09">
                  <w:pPr>
                    <w:pStyle w:val="43"/>
                    <w:rPr>
                      <w:color w:val="000000" w:themeColor="text1"/>
                      <w14:textFill>
                        <w14:solidFill>
                          <w14:schemeClr w14:val="tx1"/>
                        </w14:solidFill>
                      </w14:textFill>
                    </w:rPr>
                  </w:pPr>
                  <w:r>
                    <w:rPr>
                      <w:color w:val="000000" w:themeColor="text1"/>
                      <w14:textFill>
                        <w14:solidFill>
                          <w14:schemeClr w14:val="tx1"/>
                        </w14:solidFill>
                      </w14:textFill>
                    </w:rPr>
                    <w:t>无法忍受的强烈臭味</w:t>
                  </w:r>
                </w:p>
              </w:tc>
            </w:tr>
          </w:tbl>
          <w:p w14:paraId="23EB712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评价参照国内类似工程（南泡子河排污整治工程）的恶臭资料进行分析。南泡子位于黑龙江省牡丹江市东南部，是牡丹江市的一个排污纳污河道，由于生活污水的肆意排放，水质严重恶化，水质现状为劣V类水体。根据对牡丹江南泡子疏挖工程污染源恶臭级别调查分析，其结果见下表。</w:t>
            </w:r>
          </w:p>
          <w:p w14:paraId="00972B22">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表4</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牡丹江南泡子底泥疏挖（干塘干挖）臭气强度</w:t>
            </w:r>
          </w:p>
          <w:tbl>
            <w:tblPr>
              <w:tblStyle w:val="6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55"/>
              <w:gridCol w:w="2555"/>
              <w:gridCol w:w="2553"/>
            </w:tblGrid>
            <w:tr w14:paraId="2FB99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67" w:type="pct"/>
                  <w:vAlign w:val="center"/>
                </w:tcPr>
                <w:p w14:paraId="2DC66E13">
                  <w:pPr>
                    <w:pStyle w:val="43"/>
                    <w:rPr>
                      <w:color w:val="000000" w:themeColor="text1"/>
                      <w14:textFill>
                        <w14:solidFill>
                          <w14:schemeClr w14:val="tx1"/>
                        </w14:solidFill>
                      </w14:textFill>
                    </w:rPr>
                  </w:pPr>
                  <w:r>
                    <w:rPr>
                      <w:color w:val="000000" w:themeColor="text1"/>
                      <w14:textFill>
                        <w14:solidFill>
                          <w14:schemeClr w14:val="tx1"/>
                        </w14:solidFill>
                      </w14:textFill>
                    </w:rPr>
                    <w:t>距离</w:t>
                  </w:r>
                </w:p>
              </w:tc>
              <w:tc>
                <w:tcPr>
                  <w:tcW w:w="1667" w:type="pct"/>
                  <w:vAlign w:val="center"/>
                </w:tcPr>
                <w:p w14:paraId="30799569">
                  <w:pPr>
                    <w:pStyle w:val="43"/>
                    <w:rPr>
                      <w:color w:val="000000" w:themeColor="text1"/>
                      <w14:textFill>
                        <w14:solidFill>
                          <w14:schemeClr w14:val="tx1"/>
                        </w14:solidFill>
                      </w14:textFill>
                    </w:rPr>
                  </w:pPr>
                  <w:r>
                    <w:rPr>
                      <w:color w:val="000000" w:themeColor="text1"/>
                      <w14:textFill>
                        <w14:solidFill>
                          <w14:schemeClr w14:val="tx1"/>
                        </w14:solidFill>
                      </w14:textFill>
                    </w:rPr>
                    <w:t>臭气感觉强度</w:t>
                  </w:r>
                </w:p>
              </w:tc>
              <w:tc>
                <w:tcPr>
                  <w:tcW w:w="1667" w:type="pct"/>
                  <w:vAlign w:val="center"/>
                </w:tcPr>
                <w:p w14:paraId="4365B410">
                  <w:pPr>
                    <w:pStyle w:val="43"/>
                    <w:rPr>
                      <w:color w:val="000000" w:themeColor="text1"/>
                      <w14:textFill>
                        <w14:solidFill>
                          <w14:schemeClr w14:val="tx1"/>
                        </w14:solidFill>
                      </w14:textFill>
                    </w:rPr>
                  </w:pPr>
                  <w:r>
                    <w:rPr>
                      <w:color w:val="000000" w:themeColor="text1"/>
                      <w14:textFill>
                        <w14:solidFill>
                          <w14:schemeClr w14:val="tx1"/>
                        </w14:solidFill>
                      </w14:textFill>
                    </w:rPr>
                    <w:t>级别</w:t>
                  </w:r>
                </w:p>
              </w:tc>
            </w:tr>
            <w:tr w14:paraId="489E1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67" w:type="pct"/>
                  <w:vAlign w:val="center"/>
                </w:tcPr>
                <w:p w14:paraId="7E1322F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清</w:t>
                  </w:r>
                  <w:r>
                    <w:rPr>
                      <w:color w:val="000000" w:themeColor="text1"/>
                      <w14:textFill>
                        <w14:solidFill>
                          <w14:schemeClr w14:val="tx1"/>
                        </w14:solidFill>
                      </w14:textFill>
                    </w:rPr>
                    <w:t>淤区</w:t>
                  </w:r>
                </w:p>
              </w:tc>
              <w:tc>
                <w:tcPr>
                  <w:tcW w:w="1667" w:type="pct"/>
                  <w:vAlign w:val="center"/>
                </w:tcPr>
                <w:p w14:paraId="3F32769D">
                  <w:pPr>
                    <w:pStyle w:val="43"/>
                    <w:rPr>
                      <w:color w:val="000000" w:themeColor="text1"/>
                      <w14:textFill>
                        <w14:solidFill>
                          <w14:schemeClr w14:val="tx1"/>
                        </w14:solidFill>
                      </w14:textFill>
                    </w:rPr>
                  </w:pPr>
                  <w:r>
                    <w:rPr>
                      <w:color w:val="000000" w:themeColor="text1"/>
                      <w14:textFill>
                        <w14:solidFill>
                          <w14:schemeClr w14:val="tx1"/>
                        </w14:solidFill>
                      </w14:textFill>
                    </w:rPr>
                    <w:t>有较明显臭味</w:t>
                  </w:r>
                </w:p>
              </w:tc>
              <w:tc>
                <w:tcPr>
                  <w:tcW w:w="1667" w:type="pct"/>
                  <w:vAlign w:val="center"/>
                </w:tcPr>
                <w:p w14:paraId="0DFD471F">
                  <w:pPr>
                    <w:pStyle w:val="43"/>
                    <w:rPr>
                      <w:color w:val="000000" w:themeColor="text1"/>
                      <w14:textFill>
                        <w14:solidFill>
                          <w14:schemeClr w14:val="tx1"/>
                        </w14:solidFill>
                      </w14:textFill>
                    </w:rPr>
                  </w:pPr>
                  <w:r>
                    <w:rPr>
                      <w:color w:val="000000" w:themeColor="text1"/>
                      <w14:textFill>
                        <w14:solidFill>
                          <w14:schemeClr w14:val="tx1"/>
                        </w14:solidFill>
                      </w14:textFill>
                    </w:rPr>
                    <w:t>3级</w:t>
                  </w:r>
                </w:p>
              </w:tc>
            </w:tr>
            <w:tr w14:paraId="03322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67" w:type="pct"/>
                  <w:vAlign w:val="center"/>
                </w:tcPr>
                <w:p w14:paraId="7477CAB8">
                  <w:pPr>
                    <w:pStyle w:val="43"/>
                    <w:rPr>
                      <w:color w:val="000000" w:themeColor="text1"/>
                      <w14:textFill>
                        <w14:solidFill>
                          <w14:schemeClr w14:val="tx1"/>
                        </w14:solidFill>
                      </w14:textFill>
                    </w:rPr>
                  </w:pPr>
                  <w:r>
                    <w:rPr>
                      <w:color w:val="000000" w:themeColor="text1"/>
                      <w14:textFill>
                        <w14:solidFill>
                          <w14:schemeClr w14:val="tx1"/>
                        </w14:solidFill>
                      </w14:textFill>
                    </w:rPr>
                    <w:t>清淤区30m</w:t>
                  </w:r>
                </w:p>
              </w:tc>
              <w:tc>
                <w:tcPr>
                  <w:tcW w:w="1667" w:type="pct"/>
                  <w:vAlign w:val="center"/>
                </w:tcPr>
                <w:p w14:paraId="32A8EC48">
                  <w:pPr>
                    <w:pStyle w:val="43"/>
                    <w:rPr>
                      <w:color w:val="000000" w:themeColor="text1"/>
                      <w14:textFill>
                        <w14:solidFill>
                          <w14:schemeClr w14:val="tx1"/>
                        </w14:solidFill>
                      </w14:textFill>
                    </w:rPr>
                  </w:pPr>
                  <w:r>
                    <w:rPr>
                      <w:color w:val="000000" w:themeColor="text1"/>
                      <w14:textFill>
                        <w14:solidFill>
                          <w14:schemeClr w14:val="tx1"/>
                        </w14:solidFill>
                      </w14:textFill>
                    </w:rPr>
                    <w:t>轻微</w:t>
                  </w:r>
                </w:p>
              </w:tc>
              <w:tc>
                <w:tcPr>
                  <w:tcW w:w="1667" w:type="pct"/>
                  <w:vAlign w:val="center"/>
                </w:tcPr>
                <w:p w14:paraId="157D4E51">
                  <w:pPr>
                    <w:pStyle w:val="43"/>
                    <w:rPr>
                      <w:color w:val="000000" w:themeColor="text1"/>
                      <w14:textFill>
                        <w14:solidFill>
                          <w14:schemeClr w14:val="tx1"/>
                        </w14:solidFill>
                      </w14:textFill>
                    </w:rPr>
                  </w:pPr>
                  <w:r>
                    <w:rPr>
                      <w:color w:val="000000" w:themeColor="text1"/>
                      <w14:textFill>
                        <w14:solidFill>
                          <w14:schemeClr w14:val="tx1"/>
                        </w14:solidFill>
                      </w14:textFill>
                    </w:rPr>
                    <w:t>2级</w:t>
                  </w:r>
                </w:p>
              </w:tc>
            </w:tr>
            <w:tr w14:paraId="186BE2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67" w:type="pct"/>
                  <w:vAlign w:val="center"/>
                </w:tcPr>
                <w:p w14:paraId="367B90E5">
                  <w:pPr>
                    <w:pStyle w:val="43"/>
                    <w:rPr>
                      <w:color w:val="000000" w:themeColor="text1"/>
                      <w14:textFill>
                        <w14:solidFill>
                          <w14:schemeClr w14:val="tx1"/>
                        </w14:solidFill>
                      </w14:textFill>
                    </w:rPr>
                  </w:pPr>
                  <w:bookmarkStart w:id="33" w:name="OLE_LINK1"/>
                  <w:r>
                    <w:rPr>
                      <w:color w:val="000000" w:themeColor="text1"/>
                      <w14:textFill>
                        <w14:solidFill>
                          <w14:schemeClr w14:val="tx1"/>
                        </w14:solidFill>
                      </w14:textFill>
                    </w:rPr>
                    <w:t>清淤区</w:t>
                  </w:r>
                  <w:bookmarkEnd w:id="33"/>
                  <w:r>
                    <w:rPr>
                      <w:color w:val="000000" w:themeColor="text1"/>
                      <w14:textFill>
                        <w14:solidFill>
                          <w14:schemeClr w14:val="tx1"/>
                        </w14:solidFill>
                      </w14:textFill>
                    </w:rPr>
                    <w:t>80m</w:t>
                  </w:r>
                </w:p>
              </w:tc>
              <w:tc>
                <w:tcPr>
                  <w:tcW w:w="1667" w:type="pct"/>
                  <w:vAlign w:val="center"/>
                </w:tcPr>
                <w:p w14:paraId="3D7263BB">
                  <w:pPr>
                    <w:pStyle w:val="43"/>
                    <w:rPr>
                      <w:color w:val="000000" w:themeColor="text1"/>
                      <w14:textFill>
                        <w14:solidFill>
                          <w14:schemeClr w14:val="tx1"/>
                        </w14:solidFill>
                      </w14:textFill>
                    </w:rPr>
                  </w:pPr>
                  <w:r>
                    <w:rPr>
                      <w:color w:val="000000" w:themeColor="text1"/>
                      <w14:textFill>
                        <w14:solidFill>
                          <w14:schemeClr w14:val="tx1"/>
                        </w14:solidFill>
                      </w14:textFill>
                    </w:rPr>
                    <w:t>极微</w:t>
                  </w:r>
                </w:p>
              </w:tc>
              <w:tc>
                <w:tcPr>
                  <w:tcW w:w="1667" w:type="pct"/>
                  <w:vAlign w:val="center"/>
                </w:tcPr>
                <w:p w14:paraId="6868D2CD">
                  <w:pPr>
                    <w:pStyle w:val="43"/>
                    <w:rPr>
                      <w:color w:val="000000" w:themeColor="text1"/>
                      <w14:textFill>
                        <w14:solidFill>
                          <w14:schemeClr w14:val="tx1"/>
                        </w14:solidFill>
                      </w14:textFill>
                    </w:rPr>
                  </w:pPr>
                  <w:r>
                    <w:rPr>
                      <w:color w:val="000000" w:themeColor="text1"/>
                      <w14:textFill>
                        <w14:solidFill>
                          <w14:schemeClr w14:val="tx1"/>
                        </w14:solidFill>
                      </w14:textFill>
                    </w:rPr>
                    <w:t>1级</w:t>
                  </w:r>
                </w:p>
              </w:tc>
            </w:tr>
            <w:tr w14:paraId="478F38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667" w:type="pct"/>
                  <w:vAlign w:val="center"/>
                </w:tcPr>
                <w:p w14:paraId="7DDB7020">
                  <w:pPr>
                    <w:pStyle w:val="43"/>
                    <w:rPr>
                      <w:color w:val="000000" w:themeColor="text1"/>
                      <w14:textFill>
                        <w14:solidFill>
                          <w14:schemeClr w14:val="tx1"/>
                        </w14:solidFill>
                      </w14:textFill>
                    </w:rPr>
                  </w:pPr>
                  <w:r>
                    <w:rPr>
                      <w:color w:val="000000" w:themeColor="text1"/>
                      <w14:textFill>
                        <w14:solidFill>
                          <w14:schemeClr w14:val="tx1"/>
                        </w14:solidFill>
                      </w14:textFill>
                    </w:rPr>
                    <w:t>清淤区100m外</w:t>
                  </w:r>
                </w:p>
              </w:tc>
              <w:tc>
                <w:tcPr>
                  <w:tcW w:w="1667" w:type="pct"/>
                  <w:vAlign w:val="center"/>
                </w:tcPr>
                <w:p w14:paraId="666982B8">
                  <w:pPr>
                    <w:pStyle w:val="43"/>
                    <w:rPr>
                      <w:color w:val="000000" w:themeColor="text1"/>
                      <w14:textFill>
                        <w14:solidFill>
                          <w14:schemeClr w14:val="tx1"/>
                        </w14:solidFill>
                      </w14:textFill>
                    </w:rPr>
                  </w:pPr>
                  <w:r>
                    <w:rPr>
                      <w:color w:val="000000" w:themeColor="text1"/>
                      <w14:textFill>
                        <w14:solidFill>
                          <w14:schemeClr w14:val="tx1"/>
                        </w14:solidFill>
                      </w14:textFill>
                    </w:rPr>
                    <w:t>无</w:t>
                  </w:r>
                </w:p>
              </w:tc>
              <w:tc>
                <w:tcPr>
                  <w:tcW w:w="1667" w:type="pct"/>
                  <w:vAlign w:val="center"/>
                </w:tcPr>
                <w:p w14:paraId="78C8B9DC">
                  <w:pPr>
                    <w:pStyle w:val="43"/>
                    <w:rPr>
                      <w:color w:val="000000" w:themeColor="text1"/>
                      <w14:textFill>
                        <w14:solidFill>
                          <w14:schemeClr w14:val="tx1"/>
                        </w14:solidFill>
                      </w14:textFill>
                    </w:rPr>
                  </w:pPr>
                  <w:r>
                    <w:rPr>
                      <w:color w:val="000000" w:themeColor="text1"/>
                      <w14:textFill>
                        <w14:solidFill>
                          <w14:schemeClr w14:val="tx1"/>
                        </w14:solidFill>
                      </w14:textFill>
                    </w:rPr>
                    <w:t>0级</w:t>
                  </w:r>
                </w:p>
              </w:tc>
            </w:tr>
          </w:tbl>
          <w:p w14:paraId="48E020C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由上表可知，河道清淤恶臭的影响主要发生于清淤河段范围。本项目主要清理疏挖河道内泥沙、块石等，仅带有少部分底泥，根据上表类比分析，在疏挖过程中在岸边不会产生明显臭味，</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m之外达到2级强度，有轻微臭味，</w:t>
            </w:r>
            <w:r>
              <w:rPr>
                <w:color w:val="000000" w:themeColor="text1"/>
                <w14:textFill>
                  <w14:solidFill>
                    <w14:schemeClr w14:val="tx1"/>
                  </w14:solidFill>
                </w14:textFill>
              </w:rPr>
              <w:t>有风时，下风向影响范围会大一些</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但由于恶臭气体产生总量较小，且向周围环境散发，</w:t>
            </w:r>
            <w:r>
              <w:rPr>
                <w:rFonts w:hint="eastAsia"/>
                <w:color w:val="000000" w:themeColor="text1"/>
                <w14:textFill>
                  <w14:solidFill>
                    <w14:schemeClr w14:val="tx1"/>
                  </w14:solidFill>
                </w14:textFill>
              </w:rPr>
              <w:t>低于恶臭强度的限值标准（2.5-3.5级），</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0m之外基本无气味。</w:t>
            </w:r>
          </w:p>
          <w:p w14:paraId="2A8A51C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建设单位应将施工淤泥清淤时间选择在枯水季节，淤泥含水低时再进行清淤，恶臭浓度产生小，因此清淤过程中产生的恶臭对其有一定影响，但是清淤施工分区进行，随着地块清淤完成，对其影响有限。</w:t>
            </w:r>
          </w:p>
          <w:p w14:paraId="3A1ADFC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每处清淤作业区完成后，淤泥堆放在淤泥临时堆放场地的临时占地进行晾晒，晾晒过程做好拦挡、遮盖等措施，并及时喷洒除臭剂。随着项目施工结束，恶臭气味将会消失，因此淤泥干化晾晒过程中采取上述措施后，产生的恶臭对周边敏感点的影响较小。</w:t>
            </w:r>
          </w:p>
          <w:p w14:paraId="0CDE274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综上所述，施工期对施工场地周边以及运输沿线的环境空气影响是短暂的，随着施工期结束，影响也随之消除。经过以上措施，控制施工扬尘、燃油废气等，加强施工管理，其影响程度在可接受范围内。</w:t>
            </w:r>
          </w:p>
          <w:p w14:paraId="4195546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施工期噪声环境影响分析</w:t>
            </w:r>
          </w:p>
          <w:p w14:paraId="18D431E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根据建设单位提供资料，本项目用到的施工机械包括挖掘机、推土机等，其满负荷运行时的噪声级见下表</w:t>
            </w:r>
            <w:r>
              <w:rPr>
                <w:color w:val="000000" w:themeColor="text1"/>
                <w14:textFill>
                  <w14:solidFill>
                    <w14:schemeClr w14:val="tx1"/>
                  </w14:solidFill>
                </w14:textFill>
              </w:rPr>
              <w:t>。</w:t>
            </w:r>
          </w:p>
          <w:p w14:paraId="1F8AA0F7">
            <w:pPr>
              <w:pStyle w:val="46"/>
              <w:rPr>
                <w:color w:val="000000" w:themeColor="text1"/>
                <w14:textFill>
                  <w14:solidFill>
                    <w14:schemeClr w14:val="tx1"/>
                  </w14:solidFill>
                </w14:textFill>
              </w:rPr>
            </w:pPr>
            <w:r>
              <w:rPr>
                <w:color w:val="000000" w:themeColor="text1"/>
                <w14:textFill>
                  <w14:solidFill>
                    <w14:schemeClr w14:val="tx1"/>
                  </w14:solidFill>
                </w14:textFill>
              </w:rPr>
              <w:t>表4-6 施工机械</w:t>
            </w:r>
            <w:r>
              <w:rPr>
                <w:rFonts w:hint="eastAsia"/>
                <w:color w:val="000000" w:themeColor="text1"/>
                <w14:textFill>
                  <w14:solidFill>
                    <w14:schemeClr w14:val="tx1"/>
                  </w14:solidFill>
                </w14:textFill>
              </w:rPr>
              <w:t>主要</w:t>
            </w: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源强</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96"/>
              <w:gridCol w:w="1191"/>
              <w:gridCol w:w="1442"/>
              <w:gridCol w:w="1044"/>
              <w:gridCol w:w="1192"/>
              <w:gridCol w:w="769"/>
              <w:gridCol w:w="1429"/>
            </w:tblGrid>
            <w:tr w14:paraId="22D470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244DF2D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777" w:type="pct"/>
                  <w:vAlign w:val="center"/>
                </w:tcPr>
                <w:p w14:paraId="5D6A8E3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设备名称</w:t>
                  </w:r>
                </w:p>
              </w:tc>
              <w:tc>
                <w:tcPr>
                  <w:tcW w:w="941" w:type="pct"/>
                  <w:vAlign w:val="center"/>
                </w:tcPr>
                <w:p w14:paraId="5BDE482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测点距施工机械距离（m）</w:t>
                  </w:r>
                </w:p>
              </w:tc>
              <w:tc>
                <w:tcPr>
                  <w:tcW w:w="681" w:type="pct"/>
                  <w:vAlign w:val="center"/>
                </w:tcPr>
                <w:p w14:paraId="7982727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声级</w:t>
                  </w:r>
                  <w:r>
                    <w:rPr>
                      <w:color w:val="000000" w:themeColor="text1"/>
                      <w14:textFill>
                        <w14:solidFill>
                          <w14:schemeClr w14:val="tx1"/>
                        </w14:solidFill>
                      </w14:textFill>
                    </w:rPr>
                    <w:t>（dB）A</w:t>
                  </w:r>
                </w:p>
              </w:tc>
              <w:tc>
                <w:tcPr>
                  <w:tcW w:w="778" w:type="pct"/>
                  <w:vAlign w:val="center"/>
                </w:tcPr>
                <w:p w14:paraId="1C6DC32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频谱特征</w:t>
                  </w:r>
                </w:p>
              </w:tc>
              <w:tc>
                <w:tcPr>
                  <w:tcW w:w="502" w:type="pct"/>
                  <w:vAlign w:val="center"/>
                </w:tcPr>
                <w:p w14:paraId="39E38D8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声学特征</w:t>
                  </w:r>
                </w:p>
              </w:tc>
              <w:tc>
                <w:tcPr>
                  <w:tcW w:w="932" w:type="pct"/>
                  <w:vAlign w:val="center"/>
                </w:tcPr>
                <w:p w14:paraId="69BA156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噪声源位置</w:t>
                  </w:r>
                </w:p>
              </w:tc>
            </w:tr>
            <w:tr w14:paraId="6B7C71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4AE8102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777" w:type="pct"/>
                  <w:vAlign w:val="center"/>
                </w:tcPr>
                <w:p w14:paraId="43C09CFB">
                  <w:pPr>
                    <w:pStyle w:val="43"/>
                    <w:rPr>
                      <w:color w:val="000000" w:themeColor="text1"/>
                      <w14:textFill>
                        <w14:solidFill>
                          <w14:schemeClr w14:val="tx1"/>
                        </w14:solidFill>
                      </w14:textFill>
                    </w:rPr>
                  </w:pPr>
                  <w:r>
                    <w:rPr>
                      <w:color w:val="000000" w:themeColor="text1"/>
                      <w14:textFill>
                        <w14:solidFill>
                          <w14:schemeClr w14:val="tx1"/>
                        </w14:solidFill>
                      </w14:textFill>
                    </w:rPr>
                    <w:t>挖掘机</w:t>
                  </w:r>
                </w:p>
              </w:tc>
              <w:tc>
                <w:tcPr>
                  <w:tcW w:w="941" w:type="pct"/>
                  <w:vAlign w:val="center"/>
                </w:tcPr>
                <w:p w14:paraId="4F5329D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81" w:type="pct"/>
                  <w:vAlign w:val="center"/>
                </w:tcPr>
                <w:p w14:paraId="4479031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5</w:t>
                  </w:r>
                </w:p>
              </w:tc>
              <w:tc>
                <w:tcPr>
                  <w:tcW w:w="778" w:type="pct"/>
                  <w:vAlign w:val="center"/>
                </w:tcPr>
                <w:p w14:paraId="71781EA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中、低频</w:t>
                  </w:r>
                </w:p>
              </w:tc>
              <w:tc>
                <w:tcPr>
                  <w:tcW w:w="502" w:type="pct"/>
                  <w:vAlign w:val="center"/>
                </w:tcPr>
                <w:p w14:paraId="283C1D2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932" w:type="pct"/>
                  <w:vMerge w:val="restart"/>
                  <w:vAlign w:val="center"/>
                </w:tcPr>
                <w:p w14:paraId="2537DF4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土方开挖、填土等施工点位</w:t>
                  </w:r>
                </w:p>
              </w:tc>
            </w:tr>
            <w:tr w14:paraId="66D0E6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202B0BC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777" w:type="pct"/>
                  <w:vAlign w:val="center"/>
                </w:tcPr>
                <w:p w14:paraId="2E6FAF2E">
                  <w:pPr>
                    <w:pStyle w:val="43"/>
                    <w:rPr>
                      <w:color w:val="000000" w:themeColor="text1"/>
                      <w14:textFill>
                        <w14:solidFill>
                          <w14:schemeClr w14:val="tx1"/>
                        </w14:solidFill>
                      </w14:textFill>
                    </w:rPr>
                  </w:pPr>
                  <w:r>
                    <w:rPr>
                      <w:color w:val="000000" w:themeColor="text1"/>
                      <w14:textFill>
                        <w14:solidFill>
                          <w14:schemeClr w14:val="tx1"/>
                        </w14:solidFill>
                      </w14:textFill>
                    </w:rPr>
                    <w:t>装载机</w:t>
                  </w:r>
                </w:p>
              </w:tc>
              <w:tc>
                <w:tcPr>
                  <w:tcW w:w="941" w:type="pct"/>
                  <w:vAlign w:val="center"/>
                </w:tcPr>
                <w:p w14:paraId="0DA0420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81" w:type="pct"/>
                  <w:vAlign w:val="center"/>
                </w:tcPr>
                <w:p w14:paraId="58125AA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0</w:t>
                  </w:r>
                </w:p>
              </w:tc>
              <w:tc>
                <w:tcPr>
                  <w:tcW w:w="778" w:type="pct"/>
                  <w:vAlign w:val="center"/>
                </w:tcPr>
                <w:p w14:paraId="532D0E3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中、低频</w:t>
                  </w:r>
                </w:p>
              </w:tc>
              <w:tc>
                <w:tcPr>
                  <w:tcW w:w="502" w:type="pct"/>
                  <w:vAlign w:val="center"/>
                </w:tcPr>
                <w:p w14:paraId="0287216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932" w:type="pct"/>
                  <w:vMerge w:val="continue"/>
                  <w:vAlign w:val="center"/>
                </w:tcPr>
                <w:p w14:paraId="1518786F">
                  <w:pPr>
                    <w:pStyle w:val="43"/>
                    <w:rPr>
                      <w:color w:val="000000" w:themeColor="text1"/>
                      <w14:textFill>
                        <w14:solidFill>
                          <w14:schemeClr w14:val="tx1"/>
                        </w14:solidFill>
                      </w14:textFill>
                    </w:rPr>
                  </w:pPr>
                </w:p>
              </w:tc>
            </w:tr>
            <w:tr w14:paraId="21C414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7737460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77" w:type="pct"/>
                  <w:vAlign w:val="center"/>
                </w:tcPr>
                <w:p w14:paraId="1E87063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推土机</w:t>
                  </w:r>
                </w:p>
              </w:tc>
              <w:tc>
                <w:tcPr>
                  <w:tcW w:w="941" w:type="pct"/>
                  <w:vAlign w:val="center"/>
                </w:tcPr>
                <w:p w14:paraId="3D05326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81" w:type="pct"/>
                  <w:vAlign w:val="center"/>
                </w:tcPr>
                <w:p w14:paraId="0B6AB65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3</w:t>
                  </w:r>
                </w:p>
              </w:tc>
              <w:tc>
                <w:tcPr>
                  <w:tcW w:w="778" w:type="pct"/>
                  <w:vAlign w:val="center"/>
                </w:tcPr>
                <w:p w14:paraId="17E2E2A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中、低频</w:t>
                  </w:r>
                </w:p>
              </w:tc>
              <w:tc>
                <w:tcPr>
                  <w:tcW w:w="502" w:type="pct"/>
                  <w:vAlign w:val="center"/>
                </w:tcPr>
                <w:p w14:paraId="761EFF5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932" w:type="pct"/>
                  <w:vMerge w:val="continue"/>
                  <w:vAlign w:val="center"/>
                </w:tcPr>
                <w:p w14:paraId="1E363CB8">
                  <w:pPr>
                    <w:pStyle w:val="43"/>
                    <w:rPr>
                      <w:color w:val="000000" w:themeColor="text1"/>
                      <w14:textFill>
                        <w14:solidFill>
                          <w14:schemeClr w14:val="tx1"/>
                        </w14:solidFill>
                      </w14:textFill>
                    </w:rPr>
                  </w:pPr>
                </w:p>
              </w:tc>
            </w:tr>
            <w:tr w14:paraId="511470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389" w:type="pct"/>
                  <w:vAlign w:val="center"/>
                </w:tcPr>
                <w:p w14:paraId="7A5021D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77" w:type="pct"/>
                  <w:vAlign w:val="center"/>
                </w:tcPr>
                <w:p w14:paraId="6F2F0E3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自卸汽车</w:t>
                  </w:r>
                </w:p>
              </w:tc>
              <w:tc>
                <w:tcPr>
                  <w:tcW w:w="941" w:type="pct"/>
                  <w:vAlign w:val="center"/>
                </w:tcPr>
                <w:p w14:paraId="7B406CF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81" w:type="pct"/>
                  <w:vAlign w:val="center"/>
                </w:tcPr>
                <w:p w14:paraId="71A0AFE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2</w:t>
                  </w:r>
                </w:p>
              </w:tc>
              <w:tc>
                <w:tcPr>
                  <w:tcW w:w="778" w:type="pct"/>
                  <w:vAlign w:val="center"/>
                </w:tcPr>
                <w:p w14:paraId="3C89BE2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中、低频</w:t>
                  </w:r>
                </w:p>
              </w:tc>
              <w:tc>
                <w:tcPr>
                  <w:tcW w:w="502" w:type="pct"/>
                  <w:vAlign w:val="center"/>
                </w:tcPr>
                <w:p w14:paraId="0B50109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间断</w:t>
                  </w:r>
                </w:p>
              </w:tc>
              <w:tc>
                <w:tcPr>
                  <w:tcW w:w="932" w:type="pct"/>
                  <w:vAlign w:val="center"/>
                </w:tcPr>
                <w:p w14:paraId="199A575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施工场地及运输路线沿线</w:t>
                  </w:r>
                </w:p>
              </w:tc>
            </w:tr>
          </w:tbl>
          <w:p w14:paraId="34F457EE">
            <w:pPr>
              <w:pStyle w:val="46"/>
              <w:rPr>
                <w:color w:val="000000" w:themeColor="text1"/>
                <w14:textFill>
                  <w14:solidFill>
                    <w14:schemeClr w14:val="tx1"/>
                  </w14:solidFill>
                </w14:textFill>
              </w:rPr>
            </w:pPr>
          </w:p>
          <w:p w14:paraId="33FEEEEA">
            <w:pPr>
              <w:pStyle w:val="46"/>
              <w:rPr>
                <w:color w:val="000000" w:themeColor="text1"/>
                <w14:textFill>
                  <w14:solidFill>
                    <w14:schemeClr w14:val="tx1"/>
                  </w14:solidFill>
                </w14:textFill>
              </w:rPr>
            </w:pPr>
            <w:r>
              <w:rPr>
                <w:color w:val="000000" w:themeColor="text1"/>
                <w14:textFill>
                  <w14:solidFill>
                    <w14:schemeClr w14:val="tx1"/>
                  </w14:solidFill>
                </w14:textFill>
              </w:rPr>
              <w:t>表4-7 施工</w:t>
            </w:r>
            <w:r>
              <w:rPr>
                <w:rFonts w:hint="eastAsia"/>
                <w:color w:val="000000" w:themeColor="text1"/>
                <w14:textFill>
                  <w14:solidFill>
                    <w14:schemeClr w14:val="tx1"/>
                  </w14:solidFill>
                </w14:textFill>
              </w:rPr>
              <w:t>期</w:t>
            </w:r>
            <w:r>
              <w:rPr>
                <w:color w:val="000000" w:themeColor="text1"/>
                <w14:textFill>
                  <w14:solidFill>
                    <w14:schemeClr w14:val="tx1"/>
                  </w14:solidFill>
                </w14:textFill>
              </w:rPr>
              <w:t>噪声</w:t>
            </w:r>
            <w:r>
              <w:rPr>
                <w:rFonts w:hint="eastAsia"/>
                <w:color w:val="000000" w:themeColor="text1"/>
                <w14:textFill>
                  <w14:solidFill>
                    <w14:schemeClr w14:val="tx1"/>
                  </w14:solidFill>
                </w14:textFill>
              </w:rPr>
              <w:t>预测结果</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1"/>
              <w:gridCol w:w="897"/>
              <w:gridCol w:w="681"/>
              <w:gridCol w:w="1075"/>
              <w:gridCol w:w="745"/>
              <w:gridCol w:w="745"/>
              <w:gridCol w:w="747"/>
              <w:gridCol w:w="747"/>
              <w:gridCol w:w="745"/>
              <w:gridCol w:w="860"/>
            </w:tblGrid>
            <w:tr w14:paraId="4ABF52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 w:hRule="atLeast"/>
                <w:jc w:val="center"/>
              </w:trPr>
              <w:tc>
                <w:tcPr>
                  <w:tcW w:w="275" w:type="pct"/>
                  <w:vMerge w:val="restart"/>
                  <w:vAlign w:val="center"/>
                </w:tcPr>
                <w:p w14:paraId="5620456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86" w:type="pct"/>
                  <w:vMerge w:val="restart"/>
                  <w:vAlign w:val="center"/>
                </w:tcPr>
                <w:p w14:paraId="2F1425D7">
                  <w:pPr>
                    <w:pStyle w:val="43"/>
                    <w:rPr>
                      <w:color w:val="000000" w:themeColor="text1"/>
                      <w14:textFill>
                        <w14:solidFill>
                          <w14:schemeClr w14:val="tx1"/>
                        </w14:solidFill>
                      </w14:textFill>
                    </w:rPr>
                  </w:pPr>
                  <w:r>
                    <w:rPr>
                      <w:color w:val="000000" w:themeColor="text1"/>
                      <w14:textFill>
                        <w14:solidFill>
                          <w14:schemeClr w14:val="tx1"/>
                        </w14:solidFill>
                      </w14:textFill>
                    </w:rPr>
                    <w:t>施工机具名称</w:t>
                  </w:r>
                </w:p>
              </w:tc>
              <w:tc>
                <w:tcPr>
                  <w:tcW w:w="444" w:type="pct"/>
                  <w:vMerge w:val="restart"/>
                  <w:vAlign w:val="center"/>
                </w:tcPr>
                <w:p w14:paraId="32FC684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测定距离</w:t>
                  </w:r>
                </w:p>
              </w:tc>
              <w:tc>
                <w:tcPr>
                  <w:tcW w:w="701" w:type="pct"/>
                  <w:vMerge w:val="restart"/>
                  <w:vAlign w:val="center"/>
                </w:tcPr>
                <w:p w14:paraId="1838FDA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源强</w:t>
                  </w:r>
                </w:p>
              </w:tc>
              <w:tc>
                <w:tcPr>
                  <w:tcW w:w="2993" w:type="pct"/>
                  <w:gridSpan w:val="6"/>
                  <w:vAlign w:val="center"/>
                </w:tcPr>
                <w:p w14:paraId="5D66C5C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预测噪声级</w:t>
                  </w:r>
                  <w:r>
                    <w:rPr>
                      <w:color w:val="000000" w:themeColor="text1"/>
                      <w14:textFill>
                        <w14:solidFill>
                          <w14:schemeClr w14:val="tx1"/>
                        </w14:solidFill>
                      </w14:textFill>
                    </w:rPr>
                    <w:t>（dB）A</w:t>
                  </w:r>
                </w:p>
              </w:tc>
            </w:tr>
            <w:tr w14:paraId="2A50CC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Merge w:val="continue"/>
                  <w:vAlign w:val="center"/>
                </w:tcPr>
                <w:p w14:paraId="28BF14E8">
                  <w:pPr>
                    <w:pStyle w:val="43"/>
                    <w:rPr>
                      <w:color w:val="000000" w:themeColor="text1"/>
                      <w14:textFill>
                        <w14:solidFill>
                          <w14:schemeClr w14:val="tx1"/>
                        </w14:solidFill>
                      </w14:textFill>
                    </w:rPr>
                  </w:pPr>
                </w:p>
              </w:tc>
              <w:tc>
                <w:tcPr>
                  <w:tcW w:w="586" w:type="pct"/>
                  <w:vMerge w:val="continue"/>
                  <w:vAlign w:val="center"/>
                </w:tcPr>
                <w:p w14:paraId="4591DC5A">
                  <w:pPr>
                    <w:pStyle w:val="43"/>
                    <w:rPr>
                      <w:color w:val="000000" w:themeColor="text1"/>
                      <w14:textFill>
                        <w14:solidFill>
                          <w14:schemeClr w14:val="tx1"/>
                        </w14:solidFill>
                      </w14:textFill>
                    </w:rPr>
                  </w:pPr>
                </w:p>
              </w:tc>
              <w:tc>
                <w:tcPr>
                  <w:tcW w:w="444" w:type="pct"/>
                  <w:vMerge w:val="continue"/>
                  <w:vAlign w:val="center"/>
                </w:tcPr>
                <w:p w14:paraId="07BF3AE5">
                  <w:pPr>
                    <w:pStyle w:val="43"/>
                    <w:rPr>
                      <w:color w:val="000000" w:themeColor="text1"/>
                      <w14:textFill>
                        <w14:solidFill>
                          <w14:schemeClr w14:val="tx1"/>
                        </w14:solidFill>
                      </w14:textFill>
                    </w:rPr>
                  </w:pPr>
                </w:p>
              </w:tc>
              <w:tc>
                <w:tcPr>
                  <w:tcW w:w="701" w:type="pct"/>
                  <w:vMerge w:val="continue"/>
                  <w:vAlign w:val="center"/>
                </w:tcPr>
                <w:p w14:paraId="4E4320A2">
                  <w:pPr>
                    <w:pStyle w:val="43"/>
                    <w:rPr>
                      <w:color w:val="000000" w:themeColor="text1"/>
                      <w14:textFill>
                        <w14:solidFill>
                          <w14:schemeClr w14:val="tx1"/>
                        </w14:solidFill>
                      </w14:textFill>
                    </w:rPr>
                  </w:pPr>
                </w:p>
              </w:tc>
              <w:tc>
                <w:tcPr>
                  <w:tcW w:w="486" w:type="pct"/>
                  <w:vAlign w:val="center"/>
                </w:tcPr>
                <w:p w14:paraId="0047BE9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p>
              </w:tc>
              <w:tc>
                <w:tcPr>
                  <w:tcW w:w="486" w:type="pct"/>
                  <w:vAlign w:val="center"/>
                </w:tcPr>
                <w:p w14:paraId="5B679B9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p>
              </w:tc>
              <w:tc>
                <w:tcPr>
                  <w:tcW w:w="487" w:type="pct"/>
                  <w:vAlign w:val="center"/>
                </w:tcPr>
                <w:p w14:paraId="30C8EFE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p>
              </w:tc>
              <w:tc>
                <w:tcPr>
                  <w:tcW w:w="487" w:type="pct"/>
                  <w:vAlign w:val="center"/>
                </w:tcPr>
                <w:p w14:paraId="27A88FC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p>
              </w:tc>
              <w:tc>
                <w:tcPr>
                  <w:tcW w:w="486" w:type="pct"/>
                  <w:vAlign w:val="center"/>
                </w:tcPr>
                <w:p w14:paraId="08A02F0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w:t>
                  </w:r>
                </w:p>
              </w:tc>
              <w:tc>
                <w:tcPr>
                  <w:tcW w:w="561" w:type="pct"/>
                  <w:vAlign w:val="center"/>
                </w:tcPr>
                <w:p w14:paraId="04396E8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w:t>
                  </w:r>
                </w:p>
              </w:tc>
            </w:tr>
            <w:tr w14:paraId="10B5E8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78B437E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86" w:type="pct"/>
                  <w:vAlign w:val="center"/>
                </w:tcPr>
                <w:p w14:paraId="34D25770">
                  <w:pPr>
                    <w:pStyle w:val="43"/>
                    <w:rPr>
                      <w:color w:val="000000" w:themeColor="text1"/>
                      <w14:textFill>
                        <w14:solidFill>
                          <w14:schemeClr w14:val="tx1"/>
                        </w14:solidFill>
                      </w14:textFill>
                    </w:rPr>
                  </w:pPr>
                  <w:r>
                    <w:rPr>
                      <w:color w:val="000000" w:themeColor="text1"/>
                      <w14:textFill>
                        <w14:solidFill>
                          <w14:schemeClr w14:val="tx1"/>
                        </w14:solidFill>
                      </w14:textFill>
                    </w:rPr>
                    <w:t>挖掘机</w:t>
                  </w:r>
                </w:p>
              </w:tc>
              <w:tc>
                <w:tcPr>
                  <w:tcW w:w="444" w:type="pct"/>
                  <w:vAlign w:val="center"/>
                </w:tcPr>
                <w:p w14:paraId="0471438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01" w:type="pct"/>
                  <w:vAlign w:val="center"/>
                </w:tcPr>
                <w:p w14:paraId="08382B5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5</w:t>
                  </w:r>
                </w:p>
              </w:tc>
              <w:tc>
                <w:tcPr>
                  <w:tcW w:w="486" w:type="pct"/>
                  <w:vAlign w:val="center"/>
                </w:tcPr>
                <w:p w14:paraId="6DE49E1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9</w:t>
                  </w:r>
                </w:p>
              </w:tc>
              <w:tc>
                <w:tcPr>
                  <w:tcW w:w="486" w:type="pct"/>
                  <w:vAlign w:val="center"/>
                </w:tcPr>
                <w:p w14:paraId="7692F77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3</w:t>
                  </w:r>
                </w:p>
              </w:tc>
              <w:tc>
                <w:tcPr>
                  <w:tcW w:w="487" w:type="pct"/>
                  <w:vAlign w:val="center"/>
                </w:tcPr>
                <w:p w14:paraId="7F2C286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7</w:t>
                  </w:r>
                </w:p>
              </w:tc>
              <w:tc>
                <w:tcPr>
                  <w:tcW w:w="487" w:type="pct"/>
                  <w:vAlign w:val="center"/>
                </w:tcPr>
                <w:p w14:paraId="5C17F79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3</w:t>
                  </w:r>
                </w:p>
              </w:tc>
              <w:tc>
                <w:tcPr>
                  <w:tcW w:w="486" w:type="pct"/>
                  <w:vAlign w:val="center"/>
                </w:tcPr>
                <w:p w14:paraId="1E81A6B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9</w:t>
                  </w:r>
                </w:p>
              </w:tc>
              <w:tc>
                <w:tcPr>
                  <w:tcW w:w="561" w:type="pct"/>
                  <w:vAlign w:val="center"/>
                </w:tcPr>
                <w:p w14:paraId="6EE6361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3</w:t>
                  </w:r>
                </w:p>
              </w:tc>
            </w:tr>
            <w:tr w14:paraId="06FAD9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2D9B954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86" w:type="pct"/>
                  <w:vAlign w:val="center"/>
                </w:tcPr>
                <w:p w14:paraId="44BA76D8">
                  <w:pPr>
                    <w:pStyle w:val="43"/>
                    <w:rPr>
                      <w:color w:val="000000" w:themeColor="text1"/>
                      <w14:textFill>
                        <w14:solidFill>
                          <w14:schemeClr w14:val="tx1"/>
                        </w14:solidFill>
                      </w14:textFill>
                    </w:rPr>
                  </w:pPr>
                  <w:r>
                    <w:rPr>
                      <w:color w:val="000000" w:themeColor="text1"/>
                      <w14:textFill>
                        <w14:solidFill>
                          <w14:schemeClr w14:val="tx1"/>
                        </w14:solidFill>
                      </w14:textFill>
                    </w:rPr>
                    <w:t>装载机</w:t>
                  </w:r>
                </w:p>
              </w:tc>
              <w:tc>
                <w:tcPr>
                  <w:tcW w:w="444" w:type="pct"/>
                  <w:vAlign w:val="center"/>
                </w:tcPr>
                <w:p w14:paraId="406E233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01" w:type="pct"/>
                  <w:vAlign w:val="center"/>
                </w:tcPr>
                <w:p w14:paraId="5C49102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0</w:t>
                  </w:r>
                </w:p>
              </w:tc>
              <w:tc>
                <w:tcPr>
                  <w:tcW w:w="486" w:type="pct"/>
                  <w:vAlign w:val="center"/>
                </w:tcPr>
                <w:p w14:paraId="79FC891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4</w:t>
                  </w:r>
                </w:p>
              </w:tc>
              <w:tc>
                <w:tcPr>
                  <w:tcW w:w="486" w:type="pct"/>
                  <w:vAlign w:val="center"/>
                </w:tcPr>
                <w:p w14:paraId="6824460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8</w:t>
                  </w:r>
                </w:p>
              </w:tc>
              <w:tc>
                <w:tcPr>
                  <w:tcW w:w="487" w:type="pct"/>
                  <w:vAlign w:val="center"/>
                </w:tcPr>
                <w:p w14:paraId="529F01A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2</w:t>
                  </w:r>
                </w:p>
              </w:tc>
              <w:tc>
                <w:tcPr>
                  <w:tcW w:w="487" w:type="pct"/>
                  <w:vAlign w:val="center"/>
                </w:tcPr>
                <w:p w14:paraId="390F940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8</w:t>
                  </w:r>
                </w:p>
              </w:tc>
              <w:tc>
                <w:tcPr>
                  <w:tcW w:w="486" w:type="pct"/>
                  <w:vAlign w:val="center"/>
                </w:tcPr>
                <w:p w14:paraId="25AF808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w:t>
                  </w:r>
                </w:p>
              </w:tc>
              <w:tc>
                <w:tcPr>
                  <w:tcW w:w="561" w:type="pct"/>
                  <w:vAlign w:val="center"/>
                </w:tcPr>
                <w:p w14:paraId="58E291A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8</w:t>
                  </w:r>
                </w:p>
              </w:tc>
            </w:tr>
            <w:tr w14:paraId="6F61AF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6070830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86" w:type="pct"/>
                  <w:vAlign w:val="center"/>
                </w:tcPr>
                <w:p w14:paraId="575F3B4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自卸车</w:t>
                  </w:r>
                </w:p>
              </w:tc>
              <w:tc>
                <w:tcPr>
                  <w:tcW w:w="444" w:type="pct"/>
                  <w:vAlign w:val="center"/>
                </w:tcPr>
                <w:p w14:paraId="7B729C5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01" w:type="pct"/>
                  <w:vAlign w:val="center"/>
                </w:tcPr>
                <w:p w14:paraId="76E4854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2</w:t>
                  </w:r>
                </w:p>
              </w:tc>
              <w:tc>
                <w:tcPr>
                  <w:tcW w:w="486" w:type="pct"/>
                  <w:vAlign w:val="center"/>
                </w:tcPr>
                <w:p w14:paraId="37D8EBC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6</w:t>
                  </w:r>
                </w:p>
              </w:tc>
              <w:tc>
                <w:tcPr>
                  <w:tcW w:w="486" w:type="pct"/>
                  <w:vAlign w:val="center"/>
                </w:tcPr>
                <w:p w14:paraId="17D8F63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0</w:t>
                  </w:r>
                </w:p>
              </w:tc>
              <w:tc>
                <w:tcPr>
                  <w:tcW w:w="487" w:type="pct"/>
                  <w:vAlign w:val="center"/>
                </w:tcPr>
                <w:p w14:paraId="7969C70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w:t>
                  </w:r>
                </w:p>
              </w:tc>
              <w:tc>
                <w:tcPr>
                  <w:tcW w:w="487" w:type="pct"/>
                  <w:vAlign w:val="center"/>
                </w:tcPr>
                <w:p w14:paraId="6A0498A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c>
                <w:tcPr>
                  <w:tcW w:w="486" w:type="pct"/>
                  <w:vAlign w:val="center"/>
                </w:tcPr>
                <w:p w14:paraId="4D6215E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6</w:t>
                  </w:r>
                </w:p>
              </w:tc>
              <w:tc>
                <w:tcPr>
                  <w:tcW w:w="561" w:type="pct"/>
                  <w:vAlign w:val="center"/>
                </w:tcPr>
                <w:p w14:paraId="46EF8F8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r>
            <w:tr w14:paraId="1E0D38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1189D3E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86" w:type="pct"/>
                  <w:vAlign w:val="center"/>
                </w:tcPr>
                <w:p w14:paraId="6F92D8E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推土机</w:t>
                  </w:r>
                </w:p>
              </w:tc>
              <w:tc>
                <w:tcPr>
                  <w:tcW w:w="444" w:type="pct"/>
                  <w:vAlign w:val="center"/>
                </w:tcPr>
                <w:p w14:paraId="6F98C2A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01" w:type="pct"/>
                  <w:vAlign w:val="center"/>
                </w:tcPr>
                <w:p w14:paraId="52716B3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3</w:t>
                  </w:r>
                </w:p>
              </w:tc>
              <w:tc>
                <w:tcPr>
                  <w:tcW w:w="486" w:type="pct"/>
                  <w:vAlign w:val="center"/>
                </w:tcPr>
                <w:p w14:paraId="642C283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7</w:t>
                  </w:r>
                </w:p>
              </w:tc>
              <w:tc>
                <w:tcPr>
                  <w:tcW w:w="486" w:type="pct"/>
                  <w:vAlign w:val="center"/>
                </w:tcPr>
                <w:p w14:paraId="0D1018D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1</w:t>
                  </w:r>
                </w:p>
              </w:tc>
              <w:tc>
                <w:tcPr>
                  <w:tcW w:w="487" w:type="pct"/>
                  <w:vAlign w:val="center"/>
                </w:tcPr>
                <w:p w14:paraId="3D955C1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5</w:t>
                  </w:r>
                </w:p>
              </w:tc>
              <w:tc>
                <w:tcPr>
                  <w:tcW w:w="487" w:type="pct"/>
                  <w:vAlign w:val="center"/>
                </w:tcPr>
                <w:p w14:paraId="25FB182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1</w:t>
                  </w:r>
                </w:p>
              </w:tc>
              <w:tc>
                <w:tcPr>
                  <w:tcW w:w="486" w:type="pct"/>
                  <w:vAlign w:val="center"/>
                </w:tcPr>
                <w:p w14:paraId="2CDB622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7</w:t>
                  </w:r>
                </w:p>
              </w:tc>
              <w:tc>
                <w:tcPr>
                  <w:tcW w:w="561" w:type="pct"/>
                  <w:vAlign w:val="center"/>
                </w:tcPr>
                <w:p w14:paraId="7751F41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1</w:t>
                  </w:r>
                </w:p>
              </w:tc>
            </w:tr>
            <w:tr w14:paraId="5CCD498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 w:hRule="atLeast"/>
                <w:jc w:val="center"/>
              </w:trPr>
              <w:tc>
                <w:tcPr>
                  <w:tcW w:w="275" w:type="pct"/>
                  <w:vAlign w:val="center"/>
                </w:tcPr>
                <w:p w14:paraId="7C367D46">
                  <w:pPr>
                    <w:pStyle w:val="43"/>
                    <w:rPr>
                      <w:color w:val="000000" w:themeColor="text1"/>
                      <w14:textFill>
                        <w14:solidFill>
                          <w14:schemeClr w14:val="tx1"/>
                        </w14:solidFill>
                      </w14:textFill>
                    </w:rPr>
                  </w:pPr>
                  <w:r>
                    <w:rPr>
                      <w:color w:val="000000" w:themeColor="text1"/>
                      <w14:textFill>
                        <w14:solidFill>
                          <w14:schemeClr w14:val="tx1"/>
                        </w14:solidFill>
                      </w14:textFill>
                    </w:rPr>
                    <w:t>5</w:t>
                  </w:r>
                </w:p>
              </w:tc>
              <w:tc>
                <w:tcPr>
                  <w:tcW w:w="586" w:type="pct"/>
                  <w:vAlign w:val="center"/>
                </w:tcPr>
                <w:p w14:paraId="5170DE5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泵类</w:t>
                  </w:r>
                </w:p>
              </w:tc>
              <w:tc>
                <w:tcPr>
                  <w:tcW w:w="444" w:type="pct"/>
                  <w:vAlign w:val="center"/>
                </w:tcPr>
                <w:p w14:paraId="720D94E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701" w:type="pct"/>
                  <w:vAlign w:val="center"/>
                </w:tcPr>
                <w:p w14:paraId="0E15523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5</w:t>
                  </w:r>
                </w:p>
              </w:tc>
              <w:tc>
                <w:tcPr>
                  <w:tcW w:w="486" w:type="pct"/>
                  <w:vAlign w:val="center"/>
                </w:tcPr>
                <w:p w14:paraId="62FF866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9</w:t>
                  </w:r>
                </w:p>
              </w:tc>
              <w:tc>
                <w:tcPr>
                  <w:tcW w:w="486" w:type="pct"/>
                  <w:vAlign w:val="center"/>
                </w:tcPr>
                <w:p w14:paraId="7FD424B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14:textFill>
                        <w14:solidFill>
                          <w14:schemeClr w14:val="tx1"/>
                        </w14:solidFill>
                      </w14:textFill>
                    </w:rPr>
                    <w:t>3</w:t>
                  </w:r>
                </w:p>
              </w:tc>
              <w:tc>
                <w:tcPr>
                  <w:tcW w:w="487" w:type="pct"/>
                  <w:vAlign w:val="center"/>
                </w:tcPr>
                <w:p w14:paraId="0892422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7</w:t>
                  </w:r>
                </w:p>
              </w:tc>
              <w:tc>
                <w:tcPr>
                  <w:tcW w:w="487" w:type="pct"/>
                  <w:vAlign w:val="center"/>
                </w:tcPr>
                <w:p w14:paraId="6E007D6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3</w:t>
                  </w:r>
                </w:p>
              </w:tc>
              <w:tc>
                <w:tcPr>
                  <w:tcW w:w="486" w:type="pct"/>
                  <w:vAlign w:val="center"/>
                </w:tcPr>
                <w:p w14:paraId="23D7AAD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9</w:t>
                  </w:r>
                </w:p>
              </w:tc>
              <w:tc>
                <w:tcPr>
                  <w:tcW w:w="561" w:type="pct"/>
                  <w:vAlign w:val="center"/>
                </w:tcPr>
                <w:p w14:paraId="23C1CC7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3</w:t>
                  </w:r>
                </w:p>
              </w:tc>
            </w:tr>
          </w:tbl>
          <w:p w14:paraId="4A8A42D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由上表计算结果可知</w:t>
            </w:r>
            <w:r>
              <w:rPr>
                <w:rFonts w:hint="eastAsia"/>
                <w:color w:val="000000" w:themeColor="text1"/>
                <w14:textFill>
                  <w14:solidFill>
                    <w14:schemeClr w14:val="tx1"/>
                  </w14:solidFill>
                </w14:textFill>
              </w:rPr>
              <w:t>，单台机械设备在60m处产生的声级值均能满足《建筑施工噪声排放标准》（GB 12523-2025）昼间标准要求。随着距离加大，均有明显衰减，至200m处噪声贡献值一般在55dB（A）以下。</w:t>
            </w:r>
          </w:p>
          <w:p w14:paraId="35321B0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在</w:t>
            </w:r>
            <w:r>
              <w:rPr>
                <w:color w:val="000000" w:themeColor="text1"/>
                <w14:textFill>
                  <w14:solidFill>
                    <w14:schemeClr w14:val="tx1"/>
                  </w14:solidFill>
                </w14:textFill>
              </w:rPr>
              <w:t>及时采取有效的噪声防治措施</w:t>
            </w:r>
            <w:r>
              <w:rPr>
                <w:rFonts w:hint="eastAsia"/>
                <w:color w:val="000000" w:themeColor="text1"/>
                <w14:textFill>
                  <w14:solidFill>
                    <w14:schemeClr w14:val="tx1"/>
                  </w14:solidFill>
                </w14:textFill>
              </w:rPr>
              <w:t>前提下，项目施工噪声</w:t>
            </w:r>
            <w:r>
              <w:rPr>
                <w:color w:val="000000" w:themeColor="text1"/>
                <w14:textFill>
                  <w14:solidFill>
                    <w14:schemeClr w14:val="tx1"/>
                  </w14:solidFill>
                </w14:textFill>
              </w:rPr>
              <w:t>对周围环境影响较小。</w:t>
            </w:r>
          </w:p>
          <w:p w14:paraId="5E44945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4、施工期</w:t>
            </w:r>
            <w:r>
              <w:rPr>
                <w:rFonts w:hint="eastAsia"/>
                <w:color w:val="000000" w:themeColor="text1"/>
                <w14:textFill>
                  <w14:solidFill>
                    <w14:schemeClr w14:val="tx1"/>
                  </w14:solidFill>
                </w14:textFill>
              </w:rPr>
              <w:t>固体废物影响分析</w:t>
            </w:r>
          </w:p>
          <w:p w14:paraId="07FCC16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项目主要施工固废为施工弃土、职工生活垃圾。</w:t>
            </w:r>
          </w:p>
          <w:p w14:paraId="06944B7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（1）施工弃土</w:t>
            </w:r>
          </w:p>
          <w:p w14:paraId="533ACD1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本项目临时堆土主要为河道滩地处的淤泥，淤泥需要在临时堆放区内晾晒干化。</w:t>
            </w:r>
          </w:p>
          <w:p w14:paraId="699EE2CE">
            <w:pPr>
              <w:pStyle w:val="47"/>
              <w:ind w:firstLine="420"/>
              <w:rPr>
                <w:color w:val="000000" w:themeColor="text1"/>
                <w:szCs w:val="32"/>
                <w14:textFill>
                  <w14:solidFill>
                    <w14:schemeClr w14:val="tx1"/>
                  </w14:solidFill>
                </w14:textFill>
              </w:rPr>
            </w:pPr>
            <w:r>
              <w:rPr>
                <w:rFonts w:hint="eastAsia"/>
                <w:color w:val="000000" w:themeColor="text1"/>
                <w14:textFill>
                  <w14:solidFill>
                    <w14:schemeClr w14:val="tx1"/>
                  </w14:solidFill>
                </w14:textFill>
              </w:rPr>
              <w:t>根据本项目土石方平衡，本项目施工过程产生的余方为14.32</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szCs w:val="32"/>
                <w14:textFill>
                  <w14:solidFill>
                    <w14:schemeClr w14:val="tx1"/>
                  </w14:solidFill>
                </w14:textFill>
              </w:rPr>
              <w:t>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p>
          <w:p w14:paraId="27D1778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（2）职工生活垃圾</w:t>
            </w:r>
          </w:p>
          <w:p w14:paraId="29E389B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施工人员在施工期间将产生一定量的生活垃圾，生活垃圾产生量约为0.1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t/d。生活垃圾若随意堆放，不仅影响施工区环境景观，而且影响施工区环境卫生，夏秋季节易造成蚊、蝇孳生或鼠类繁殖，导致疾病流行，进而威胁施工人员身体健康。因此，需对生活垃圾集中收集后交由环卫部门统一处理。</w:t>
            </w:r>
          </w:p>
          <w:p w14:paraId="4D1ED96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综上所述，本项目施工期固废处置率</w:t>
            </w:r>
            <w:r>
              <w:rPr>
                <w:color w:val="000000" w:themeColor="text1"/>
                <w14:textFill>
                  <w14:solidFill>
                    <w14:schemeClr w14:val="tx1"/>
                  </w14:solidFill>
                </w14:textFill>
              </w:rPr>
              <w:t>100%</w:t>
            </w:r>
            <w:r>
              <w:rPr>
                <w:rFonts w:hint="eastAsia"/>
                <w:color w:val="000000" w:themeColor="text1"/>
                <w14:textFill>
                  <w14:solidFill>
                    <w14:schemeClr w14:val="tx1"/>
                  </w14:solidFill>
                </w14:textFill>
              </w:rPr>
              <w:t>，无随意堆存现象，对周边环境影响较小。</w:t>
            </w:r>
          </w:p>
          <w:p w14:paraId="1F6E378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、施工期生态环境影响分析</w:t>
            </w:r>
          </w:p>
          <w:p w14:paraId="6255ED1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（1）占地对生态环境影响分析</w:t>
            </w:r>
          </w:p>
          <w:p w14:paraId="3AEEAF9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工程临时占地总占地面积为239400m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工程占地将导致其上植物资源永久损失，但相对于项目区资源损失相对较小。本工程临时占地性质主要为水域及水利设施用地。工程临时占地对整个区域的土地资源影响较小，且其影响是暂时的，临时占地仅在施工期改变土地类型，施工结束后通过采取平整、回填、覆植种草等措施进行恢复，恢复之前地类。</w:t>
            </w:r>
          </w:p>
          <w:p w14:paraId="4DAA640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总体而言，本工程造成的植被生物量损失占评价区范围总生物量比例不大，其环境影响在可接受的范围。</w:t>
            </w:r>
          </w:p>
          <w:p w14:paraId="36B82A3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项目周边交通状况良好，施工便道主要利用现有道路，注意施工便道边界的防护，避免对施工边界以外的土地产生扰动，为方便机械设备进场施工，降低机械及车辆对原地貌的扰动，在场地占压位置铺设10mm厚钢板。</w:t>
            </w:r>
          </w:p>
          <w:p w14:paraId="22833E2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本项目在采取有效措施对临时占地进行保护后，本项目施工期临时占地影响较小。</w:t>
            </w:r>
          </w:p>
          <w:p w14:paraId="347C286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）对植被影响分析</w:t>
            </w:r>
          </w:p>
          <w:p w14:paraId="44DC0E6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植被的形成主要受气候、土壤及地形地貌的影响。从项目区植被的分布情况总体调查结果可知，项目区及周边主要植被类型为农田植被及草甸植被。在这些土地上进行建设等工程施工中，要平整场地、开挖地表，造成直接施工区域内地表植被的完全破坏和施工区域一定范围内的不同程度的破坏；施工机械、材料的运输、施工人员践踏、临时占地也将破坏一定区域内的植被生态破坏和造成水土流失。但由于施工在一定范围内进行，建设期的影响持续时间较短，只要在施工各个时段做好各种防护措施，严格管理临时用地，并且在施工完成时，及时做好生态恢复和环境保护工作，控制水土流失，项目施工建设对植被只是产生局部的影响。受影响植物基本为地区常见种类，工程建设不会对区域植物物种构成和区系组成造成显著不利影响。工程评价范围内没有国家重点保护的珍稀濒危植物，不存在工程对珍稀濒危植物的影响问题。</w:t>
            </w:r>
          </w:p>
          <w:p w14:paraId="36EAEC8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）对陆生生态环境的影响分析</w:t>
            </w:r>
          </w:p>
          <w:p w14:paraId="328FE82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根据现场踏勘及有关资料的调查，项目区所在地主要为农田生态系统，项目区域内没有珍稀动物及大型哺乳动物，仅有一些常见鸟类和啮齿类动物少量存在，其生境在当地广泛分布。</w:t>
            </w:r>
          </w:p>
          <w:p w14:paraId="55C991E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临时占地在施工结束后进行植被恢复，该部分植被被破坏，生物量减少，但是，工程结束后，河岸的防洪能力得到提升，改善当地水土流失现状，项目区周围大面积生物量得到恢复，大于本工程占地过程减少的生物量，因此，项目所在区整体生物量及生物多样性得到改善。</w:t>
            </w:r>
          </w:p>
          <w:p w14:paraId="30F0440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利用的块石等原料用机动翻斗车运到施工段附近。人工操作，减少施工机械的使用，采用预制件，减少砂石等原材料的运输和使用，从而可以减少粉尘和施工噪声的产生。对淤泥进行苫盖，减少施工废气对施工区植被生长的影响，减少噪声，可减少对周围动物的惊扰。</w:t>
            </w:r>
          </w:p>
          <w:p w14:paraId="53217BE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工程施工对野生动物的影响表现为：工程施工活动可能干扰工程区内野生动物的正常栖息觅食，施工噪声会对其产生惊扰，施工对陆生动物的影响范围在两侧</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00m范围内，施工活动对陆生野生动物生存的空间影响范围与程度有限，并且随着施工活动的结束这些影响也将消失。因此，本工程对陆生生物的影响很小，并且在施工结束后，这种影响会慢慢消失。</w:t>
            </w:r>
          </w:p>
          <w:p w14:paraId="1F37924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）对水生生物的影响分析</w:t>
            </w:r>
          </w:p>
          <w:p w14:paraId="2F3C6DF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考虑本项目施工过程中土料、物料及一些废水废渣在地表径流的作用下有可能会进入水体中，导致水体短期内悬浮物含量增加，从而对工程附近和下游水体中水生生物产生不利影响。但这些不利影响范围都局限于下游一定长度的水体，影响时段仅为施工期。</w:t>
            </w:r>
          </w:p>
          <w:p w14:paraId="3C54707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①对鱼类的影响</w:t>
            </w:r>
          </w:p>
          <w:p w14:paraId="1BFDFB1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水生态调查结果可知，工程所在河段内未发现鱼类产卵场、索饵场、越冬场分布、洄游通道。工程导致水体短期内悬浮物含量增加，从而对工程附近河流水中水生植物产生不利影响。但这些不利影响范围都局限于下游一定长度的水体，影响时段仅为施工期。施工结束后可增强河岸的稳定性，有利于保护河流周边耕地和水质，并减少水土流失，随着鱼类生境异质性的恢复也使生态系统的水平和垂直结构更完整。从而使整个水生生态系统发育更成熟，其质量、稳定性和服务功能将得到提高，有利阻止或减缓生态环境的恶化。</w:t>
            </w:r>
          </w:p>
          <w:p w14:paraId="3A21E8D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②对浮游生物的影响</w:t>
            </w:r>
          </w:p>
          <w:p w14:paraId="41EF70A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清淤施工点周边水域悬浮物浓度有可能急剧增加，水体透明度下降，浮游植物光合作用受影响，其生长和繁殖活动将减弱，继而导致其生物量下降；当施工段推移后，原施工区短期内底质中营养盐释放，悬浮物沉降，透明度增加，使周边水体生产力提高，浮游植物生物量将增加。浮游动物主要以浮游植物为食，其种群资源量变动趋势将与浮游植物变动趋势基本相近。尽管本工程施工作业对浮游生物产生了一定的不利影响，但这种影响是暂时的、局部的，当施工结束后，水体浑浊将逐渐消失，水质将逐渐恢复，随之而来的便是生物的重新植入，浮游生物的重新建立所需时间较短，本工程施工作业对浮游生物的影响是可以在短时间内消失的。</w:t>
            </w:r>
          </w:p>
          <w:p w14:paraId="19C2897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③对底栖动物的影响</w:t>
            </w:r>
          </w:p>
          <w:p w14:paraId="57218F2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点周边水域悬浮物浓度有可能急剧增加，将造成河流底栖动物的损失，但由于底栖生物的繁殖量尚快，生命周期较短，故自然增殖恢复也较容易，损失对底栖生态环境影响较小。工程施工建设过程中应加强对含油废水及含尘废水的整治，施工场地产生的车辆及机械冲洗废水经收集汇入临时隔油池、沉淀池中处理后回用于作业区洒水降尘。</w:t>
            </w:r>
          </w:p>
          <w:p w14:paraId="3D7D7F9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④对水生植物的影响</w:t>
            </w:r>
          </w:p>
          <w:p w14:paraId="1295AFE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考虑施工过程中土料、物料及一些废水废渣在地表径流的作用下有可能会进入水体中，导致水体短期内悬浮物含量增加，从而对工程附近河流水中水生植物产生不利影响。但这些不利影响范围都局限于下游一定长度的水体，影响时段仅为施工期。施工结束后可增强河岸的稳定性，有利于保护河流周边耕地和水质，并减少水土流失，随着生境异质性的恢复也使生态系统的水平和垂直结构更完整。从而使整个水生生态系统发育更成熟，其质量、稳定性和服务功能将得到提高，有利阻止或减缓生态环境的恶化。</w:t>
            </w:r>
          </w:p>
          <w:p w14:paraId="138B2E0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⑤对水文情势影响</w:t>
            </w:r>
          </w:p>
          <w:p w14:paraId="4A39221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本项目建设河道清淤，所以工程实施对水文情势影响较小。</w:t>
            </w:r>
          </w:p>
          <w:p w14:paraId="2D1DAD7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）水土流失影响分析</w:t>
            </w:r>
          </w:p>
          <w:p w14:paraId="36AF572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水利建设类工程，呈线型分布，工程建设将改变占地区的地貌形态、占用、损坏地表植被，损失一定的植被生物量，影响施工区周围环境的植被覆盖率和数量分布。同时，土壤结构也受到一定的破坏，降低原地表水土保持功能，加剧项目区水土流失的发生，具体表现在以下几方面：</w:t>
            </w:r>
          </w:p>
          <w:p w14:paraId="7FAFC54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①施工占用扰动一定数量土地，使项目区植被覆盖度降低，破坏自然植被保土、保水的生态功能，同时也降低土壤抗蚀能力。</w:t>
            </w:r>
          </w:p>
          <w:p w14:paraId="11C13FB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②施工期间渣土临时堆置，如果不进行防护，遇到强降雨渣面易坍塌，渣土稳定性受到威胁，会产生流失。</w:t>
            </w:r>
          </w:p>
          <w:p w14:paraId="3AA2798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临时占地对地表植被的影响是暂时的，工程结束后，经过采取土地清理、回填、平整和绿化等措施，其不利影响可基本得到减免。因此，工程临时占地的影响是暂时的，通过生态措施可以得到恢复。</w:t>
            </w:r>
          </w:p>
          <w:p w14:paraId="061DDE9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本工程实施后，将保护沿岸大片耕地。如果没有护岸工程的保护，发生洪灾，洪水将淹没地表植被，冲刷土壤，造成水土流失，破坏生态。另外工程建设的草皮护坡将增大流域的绿化面积，改善项目区的生态。</w:t>
            </w:r>
          </w:p>
          <w:p w14:paraId="482AA07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将临时堆放的渣土及时清运，恢复植被，对施工临时占地区进行全面整地，恢复土地原有功能。工程建成运行初期植物处于成活生长期，防风固土能力较差，故存在一定强度的水土流失，土壤侵蚀类型为水蚀，待植物措施逐渐发挥水土保持作用后，工程建设产生的水土流失方得到消除。</w:t>
            </w:r>
          </w:p>
          <w:p w14:paraId="0559D29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）生物多样性影响分析</w:t>
            </w:r>
          </w:p>
          <w:p w14:paraId="44911CF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稳定性包括两种特征，即阻抗和恢复，这是从生态系统对干扰因子反应的意义上定义的。阻抗是生态系统在环境变化或潜在干扰时反抗或阻止变化的能力，它是偏离值的倒数，大的偏离意味着阻抗低。而恢复(或回弹)是生态系统被改变后返回原来状态的能力。因此，对生态系统稳定状况的度量要从恢复的稳定性和阻抗的稳定性两个方面来度量和评价。</w:t>
            </w:r>
          </w:p>
          <w:p w14:paraId="0E102E5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①恢复稳定性：</w:t>
            </w:r>
          </w:p>
          <w:p w14:paraId="1DCE321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恢复稳定性，可以根据植被生态系统在大系统中的地位来度量的。如果其地位高，则其恢复稳定性强，反之则弱。工程建成后，区内各个植被群落类型的面积也相应增多，通过河道清淤工程，对该区域植被类型将产生一定的正面影响，种植草种及植被均为当地物种，区域植物区系组成没有发生根本变化。</w:t>
            </w:r>
          </w:p>
          <w:p w14:paraId="0A658E6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②阻抗稳定性：</w:t>
            </w:r>
          </w:p>
          <w:p w14:paraId="7515CA2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阻抗稳定性是由系统中生物组分异质性的高低决定的。异质性是指一个区域里(景观或生态系统)对一个种或更高级的生物组织的存在起决定作用的资源(或某种性质)在空间或时间上的变异程度(或强度)。由于异质性的组分具有不同的生态位，给动物物种和植物物种的生长、栖息、移动以及抵御内外干扰提供了复杂和微妙的相应的利用关系。另一方面，异质化程度高的生态系统，当某一斑块形成干扰源时，相邻的异质性组分就成为干扰的阻断，从而达到增强生态体系抗御内外来干扰的作用，有利于生态体系生态稳定性的提高。</w:t>
            </w:r>
          </w:p>
          <w:p w14:paraId="278B5E9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生物多样性是生态自然发展的结果，生物多样性保护是生态环境保护的基本要求和目的。项目施工会对原始植被造成损害，进而影响动物觅食、栖息，导致区域动、植物资源减少，使区域生物多样性遭受到威胁，此外，项目施工过程中运输、机械的运行噪声等将影响项目所在区域动物的栖息，甚至导致动物迁移，影响施工区域的生物多样性。</w:t>
            </w:r>
          </w:p>
          <w:p w14:paraId="5F4F246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但本项目针对河道开展清淤工程，施工结束后，通过有计划地开展绿化工程，抑制地表径流的水文效应，消浪促淤、减少水土流失。本项目工程目标是保护河岸生态环境，恢复岸边生态平衡；减缓岸边侵蚀，保护岸边土地和周边居民的安全，提升城镇河岸的地貌景观，提高区域自然环境品质。</w:t>
            </w:r>
          </w:p>
          <w:p w14:paraId="56E6609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因此工程施工期对评价区陆生生态系统异质化程度和阻抗能力都会产生一定的影响，但影响不大。</w:t>
            </w:r>
          </w:p>
          <w:p w14:paraId="5F14715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6、环境风险分析</w:t>
            </w:r>
          </w:p>
          <w:p w14:paraId="4BDB4CF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风险评价技术导则》（HJ169-2018）附录B重点关注的危险物质的临界量，项目原辅材料及施工工艺不涉及酸、碱等危险源，涉及风险物质主要为油类物质，危险废物储存在临时危险废物贮存点，柴油储存在施工区域柴油桶内，柴油桶最大存量为</w:t>
            </w:r>
            <w:r>
              <w:rPr>
                <w:color w:val="000000" w:themeColor="text1"/>
                <w14:textFill>
                  <w14:solidFill>
                    <w14:schemeClr w14:val="tx1"/>
                  </w14:solidFill>
                </w14:textFill>
              </w:rPr>
              <w:t>40</w:t>
            </w:r>
            <w:r>
              <w:rPr>
                <w:rFonts w:hint="eastAsia"/>
                <w:color w:val="000000" w:themeColor="text1"/>
                <w14:textFill>
                  <w14:solidFill>
                    <w14:schemeClr w14:val="tx1"/>
                  </w14:solidFill>
                </w14:textFill>
              </w:rPr>
              <w:t>kg，本项目废矿物油产生量约为</w:t>
            </w:r>
            <w:r>
              <w:rPr>
                <w:color w:val="000000" w:themeColor="text1"/>
                <w14:textFill>
                  <w14:solidFill>
                    <w14:schemeClr w14:val="tx1"/>
                  </w14:solidFill>
                </w14:textFill>
              </w:rPr>
              <w:t>0.002t</w:t>
            </w:r>
            <w:r>
              <w:rPr>
                <w:rFonts w:hint="eastAsia"/>
                <w:color w:val="000000" w:themeColor="text1"/>
                <w14:textFill>
                  <w14:solidFill>
                    <w14:schemeClr w14:val="tx1"/>
                  </w14:solidFill>
                </w14:textFill>
              </w:rPr>
              <w:t>。因此本项目油类物质最大储存量为</w:t>
            </w:r>
            <w:r>
              <w:rPr>
                <w:color w:val="000000" w:themeColor="text1"/>
                <w14:textFill>
                  <w14:solidFill>
                    <w14:schemeClr w14:val="tx1"/>
                  </w14:solidFill>
                </w14:textFill>
              </w:rPr>
              <w:t>0.042</w:t>
            </w:r>
            <w:r>
              <w:rPr>
                <w:rFonts w:hint="eastAsia"/>
                <w:color w:val="000000" w:themeColor="text1"/>
                <w14:textFill>
                  <w14:solidFill>
                    <w14:schemeClr w14:val="tx1"/>
                  </w14:solidFill>
                </w14:textFill>
              </w:rPr>
              <w:t>t。</w:t>
            </w:r>
          </w:p>
          <w:p w14:paraId="4C419F0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（1）环境风险判定</w:t>
            </w:r>
          </w:p>
          <w:p w14:paraId="0C7E219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根据《建设项目环境风险评价技术导则》（HJ169-2018）中附录B危险物质的临界量，以及附录C对危险物质及工艺系统危险性（P），判断本项目危险物质及工艺系统危险性（P）判断环境风险潜势。</w:t>
            </w:r>
          </w:p>
          <w:p w14:paraId="5DDC509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当只涉及一种危险物质时，计算该物质的总量与其临界量比值，即为Q；</w:t>
            </w:r>
          </w:p>
          <w:p w14:paraId="680D62E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当存在多种危险物质时，则按下式计算物质总量与其临界量比值（Q）：</w:t>
            </w:r>
          </w:p>
          <w:p w14:paraId="64996B1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危险物质数量与临界量的比值（Q）计算方法见如下公式：</w:t>
            </w:r>
          </w:p>
          <w:p w14:paraId="5BCA734E">
            <w:pPr>
              <w:pStyle w:val="47"/>
              <w:ind w:firstLine="420"/>
              <w:jc w:val="center"/>
              <w:rPr>
                <w:color w:val="000000" w:themeColor="text1"/>
                <w14:textFill>
                  <w14:solidFill>
                    <w14:schemeClr w14:val="tx1"/>
                  </w14:solidFill>
                </w14:textFill>
              </w:rPr>
            </w:pPr>
            <w:r>
              <w:drawing>
                <wp:inline distT="0" distB="0" distL="0" distR="0">
                  <wp:extent cx="2209800" cy="657225"/>
                  <wp:effectExtent l="0" t="0" r="0" b="9525"/>
                  <wp:docPr id="1532974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74855" name="图片 1"/>
                          <pic:cNvPicPr>
                            <a:picLocks noChangeAspect="1"/>
                          </pic:cNvPicPr>
                        </pic:nvPicPr>
                        <pic:blipFill>
                          <a:blip r:embed="rId13"/>
                          <a:stretch>
                            <a:fillRect/>
                          </a:stretch>
                        </pic:blipFill>
                        <pic:spPr>
                          <a:xfrm>
                            <a:off x="0" y="0"/>
                            <a:ext cx="2209800" cy="657225"/>
                          </a:xfrm>
                          <a:prstGeom prst="rect">
                            <a:avLst/>
                          </a:prstGeom>
                        </pic:spPr>
                      </pic:pic>
                    </a:graphicData>
                  </a:graphic>
                </wp:inline>
              </w:drawing>
            </w:r>
          </w:p>
          <w:p w14:paraId="6CAE9D1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式中：q1、q2、…qn——每种危险物质的最大存在总量，t；</w:t>
            </w:r>
          </w:p>
          <w:p w14:paraId="01CD2A4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Q1、Q2、…Qn——每种危险物质的临界量，t。</w:t>
            </w:r>
          </w:p>
          <w:p w14:paraId="36DB1B1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当Q&lt;1时，该项目环境风险潜势为Ⅰ。当Q≥1时，将Q值划分为：</w:t>
            </w:r>
          </w:p>
          <w:p w14:paraId="0EAB178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（1）1≤Q＜10（2）10≤Q＜100；（3）Q≥100。</w:t>
            </w:r>
          </w:p>
          <w:p w14:paraId="64DB3A0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《建设项目环境风险评价技术导则》（HJ169-2018）附录B重点关注的危险物质的临界量中油类物质临界量为2500t，经计算，本项目Q值为</w:t>
            </w:r>
            <w:r>
              <w:rPr>
                <w:color w:val="000000" w:themeColor="text1"/>
                <w14:textFill>
                  <w14:solidFill>
                    <w14:schemeClr w14:val="tx1"/>
                  </w14:solidFill>
                </w14:textFill>
              </w:rPr>
              <w:t>0.042</w:t>
            </w:r>
            <w:r>
              <w:rPr>
                <w:rFonts w:hint="eastAsia"/>
                <w:color w:val="000000" w:themeColor="text1"/>
                <w14:textFill>
                  <w14:solidFill>
                    <w14:schemeClr w14:val="tx1"/>
                  </w14:solidFill>
                </w14:textFill>
              </w:rPr>
              <w:t>/2500=</w:t>
            </w:r>
            <w:r>
              <w:rPr>
                <w:color w:val="000000" w:themeColor="text1"/>
                <w14:textFill>
                  <w14:solidFill>
                    <w14:schemeClr w14:val="tx1"/>
                  </w14:solidFill>
                </w14:textFill>
              </w:rPr>
              <w:t>0.0000168</w:t>
            </w:r>
            <w:r>
              <w:rPr>
                <w:rFonts w:hint="eastAsia"/>
                <w:color w:val="000000" w:themeColor="text1"/>
                <w14:textFill>
                  <w14:solidFill>
                    <w14:schemeClr w14:val="tx1"/>
                  </w14:solidFill>
                </w14:textFill>
              </w:rPr>
              <w:t>&lt;1，因此本项目施工区域占地内暂存的危险物质不超过临界量，环境风险潜势为Ⅰ。</w:t>
            </w:r>
          </w:p>
          <w:p w14:paraId="34D605B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场地临近河流，临近施工道路，汽车运输过程有发生交通事故的可能，如撞车、侧翻等，一旦发生此类事故，则有可能导致物料泄漏，则泄漏物料有可能进入附近水体，对附近水体造成事故污染影响；此外，在危险废物贮存点储存过程中，包装桶在存放过程有可能因意外而侧翻或破损，或温差过大造成盖子顶开，也可能发生泄漏或引发火灾事故。完善风险防控措施前提下可减少项目运输物料过程及施工过程的风险发生概率。</w:t>
            </w:r>
          </w:p>
        </w:tc>
      </w:tr>
      <w:tr w14:paraId="01754E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2" w:type="pct"/>
            <w:vAlign w:val="center"/>
          </w:tcPr>
          <w:p w14:paraId="2969B287">
            <w:pPr>
              <w:pStyle w:val="47"/>
              <w:spacing w:line="240" w:lineRule="auto"/>
              <w:ind w:firstLine="0" w:firstLineChars="0"/>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运营期生态环境影响</w:t>
            </w:r>
            <w:r>
              <w:rPr>
                <w:rFonts w:hint="eastAsia" w:cs="宋体"/>
                <w:color w:val="000000" w:themeColor="text1"/>
                <w:szCs w:val="21"/>
                <w14:textFill>
                  <w14:solidFill>
                    <w14:schemeClr w14:val="tx1"/>
                  </w14:solidFill>
                </w14:textFill>
              </w:rPr>
              <w:t>分析</w:t>
            </w:r>
          </w:p>
        </w:tc>
        <w:tc>
          <w:tcPr>
            <w:tcW w:w="4578" w:type="pct"/>
          </w:tcPr>
          <w:p w14:paraId="0CFFCF7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w:t>
            </w:r>
            <w:r>
              <w:rPr>
                <w:color w:val="000000" w:themeColor="text1"/>
                <w14:textFill>
                  <w14:solidFill>
                    <w14:schemeClr w14:val="tx1"/>
                  </w14:solidFill>
                </w14:textFill>
              </w:rPr>
              <w:t>运营期</w:t>
            </w:r>
            <w:r>
              <w:rPr>
                <w:rFonts w:hint="eastAsia"/>
                <w:color w:val="000000" w:themeColor="text1"/>
                <w14:textFill>
                  <w14:solidFill>
                    <w14:schemeClr w14:val="tx1"/>
                  </w14:solidFill>
                </w14:textFill>
              </w:rPr>
              <w:t>环境影响因素</w:t>
            </w:r>
          </w:p>
          <w:p w14:paraId="4CC5A6D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r>
              <w:rPr>
                <w:color w:val="000000" w:themeColor="text1"/>
                <w14:textFill>
                  <w14:solidFill>
                    <w14:schemeClr w14:val="tx1"/>
                  </w14:solidFill>
                </w14:textFill>
              </w:rPr>
              <w:t>环境影响因素识别见表</w:t>
            </w:r>
            <w:r>
              <w:rPr>
                <w:rFonts w:hint="eastAsia"/>
                <w:color w:val="000000" w:themeColor="text1"/>
                <w14:textFill>
                  <w14:solidFill>
                    <w14:schemeClr w14:val="tx1"/>
                  </w14:solidFill>
                </w14:textFill>
              </w:rPr>
              <w:t>4-8</w:t>
            </w:r>
            <w:r>
              <w:rPr>
                <w:color w:val="000000" w:themeColor="text1"/>
                <w14:textFill>
                  <w14:solidFill>
                    <w14:schemeClr w14:val="tx1"/>
                  </w14:solidFill>
                </w14:textFill>
              </w:rPr>
              <w:t>。</w:t>
            </w:r>
          </w:p>
          <w:p w14:paraId="559E9E49">
            <w:pPr>
              <w:pStyle w:val="46"/>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4-8运营期</w:t>
            </w:r>
            <w:r>
              <w:rPr>
                <w:color w:val="000000" w:themeColor="text1"/>
                <w14:textFill>
                  <w14:solidFill>
                    <w14:schemeClr w14:val="tx1"/>
                  </w14:solidFill>
                </w14:textFill>
              </w:rPr>
              <w:t>环境影响因素识别</w:t>
            </w:r>
            <w:r>
              <w:rPr>
                <w:rFonts w:hint="eastAsia"/>
                <w:color w:val="000000" w:themeColor="text1"/>
                <w14:textFill>
                  <w14:solidFill>
                    <w14:schemeClr w14:val="tx1"/>
                  </w14:solidFill>
                </w14:textFill>
              </w:rPr>
              <w:t>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1100"/>
              <w:gridCol w:w="2668"/>
              <w:gridCol w:w="782"/>
              <w:gridCol w:w="2493"/>
            </w:tblGrid>
            <w:tr w14:paraId="6445F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1" w:type="pct"/>
                  <w:gridSpan w:val="2"/>
                  <w:vAlign w:val="center"/>
                </w:tcPr>
                <w:p w14:paraId="412B2CF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影响对象</w:t>
                  </w:r>
                </w:p>
              </w:tc>
              <w:tc>
                <w:tcPr>
                  <w:tcW w:w="1741" w:type="pct"/>
                  <w:vAlign w:val="center"/>
                </w:tcPr>
                <w:p w14:paraId="3069B0E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污染源及影响途径</w:t>
                  </w:r>
                </w:p>
              </w:tc>
              <w:tc>
                <w:tcPr>
                  <w:tcW w:w="510" w:type="pct"/>
                  <w:vAlign w:val="center"/>
                </w:tcPr>
                <w:p w14:paraId="61B4D40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污染类型</w:t>
                  </w:r>
                </w:p>
              </w:tc>
              <w:tc>
                <w:tcPr>
                  <w:tcW w:w="1627" w:type="pct"/>
                  <w:vAlign w:val="center"/>
                </w:tcPr>
                <w:p w14:paraId="7136F44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污染因子</w:t>
                  </w:r>
                </w:p>
              </w:tc>
            </w:tr>
            <w:tr w14:paraId="2BEDB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restart"/>
                  <w:vAlign w:val="center"/>
                </w:tcPr>
                <w:p w14:paraId="6A69878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tc>
              <w:tc>
                <w:tcPr>
                  <w:tcW w:w="718" w:type="pct"/>
                  <w:vMerge w:val="restart"/>
                  <w:vAlign w:val="center"/>
                </w:tcPr>
                <w:p w14:paraId="6D817A0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tc>
              <w:tc>
                <w:tcPr>
                  <w:tcW w:w="1741" w:type="pct"/>
                  <w:vAlign w:val="center"/>
                </w:tcPr>
                <w:p w14:paraId="1B32F73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生活污水</w:t>
                  </w:r>
                </w:p>
              </w:tc>
              <w:tc>
                <w:tcPr>
                  <w:tcW w:w="510" w:type="pct"/>
                  <w:vAlign w:val="center"/>
                </w:tcPr>
                <w:p w14:paraId="0D4209D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废水</w:t>
                  </w:r>
                </w:p>
              </w:tc>
              <w:tc>
                <w:tcPr>
                  <w:tcW w:w="1627" w:type="pct"/>
                  <w:vAlign w:val="center"/>
                </w:tcPr>
                <w:p w14:paraId="39812ED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COD、BOD</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、氨氮、SS</w:t>
                  </w:r>
                </w:p>
              </w:tc>
            </w:tr>
            <w:tr w14:paraId="3262F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14:paraId="756E6ECF">
                  <w:pPr>
                    <w:pStyle w:val="43"/>
                    <w:rPr>
                      <w:color w:val="000000" w:themeColor="text1"/>
                      <w14:textFill>
                        <w14:solidFill>
                          <w14:schemeClr w14:val="tx1"/>
                        </w14:solidFill>
                      </w14:textFill>
                    </w:rPr>
                  </w:pPr>
                </w:p>
              </w:tc>
              <w:tc>
                <w:tcPr>
                  <w:tcW w:w="718" w:type="pct"/>
                  <w:vMerge w:val="continue"/>
                  <w:vAlign w:val="center"/>
                </w:tcPr>
                <w:p w14:paraId="289DFB8E">
                  <w:pPr>
                    <w:pStyle w:val="43"/>
                    <w:rPr>
                      <w:color w:val="000000" w:themeColor="text1"/>
                      <w14:textFill>
                        <w14:solidFill>
                          <w14:schemeClr w14:val="tx1"/>
                        </w14:solidFill>
                      </w14:textFill>
                    </w:rPr>
                  </w:pPr>
                </w:p>
              </w:tc>
              <w:tc>
                <w:tcPr>
                  <w:tcW w:w="1741" w:type="pct"/>
                  <w:vAlign w:val="center"/>
                </w:tcPr>
                <w:p w14:paraId="4FC82FE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软水制备及锅炉</w:t>
                  </w:r>
                </w:p>
              </w:tc>
              <w:tc>
                <w:tcPr>
                  <w:tcW w:w="510" w:type="pct"/>
                  <w:vAlign w:val="center"/>
                </w:tcPr>
                <w:p w14:paraId="4DE2AF6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锅炉排污水</w:t>
                  </w:r>
                </w:p>
              </w:tc>
              <w:tc>
                <w:tcPr>
                  <w:tcW w:w="1627" w:type="pct"/>
                  <w:vAlign w:val="center"/>
                </w:tcPr>
                <w:p w14:paraId="0C6FA6E9">
                  <w:pPr>
                    <w:pStyle w:val="43"/>
                    <w:rPr>
                      <w:color w:val="000000" w:themeColor="text1"/>
                      <w14:textFill>
                        <w14:solidFill>
                          <w14:schemeClr w14:val="tx1"/>
                        </w14:solidFill>
                      </w14:textFill>
                    </w:rPr>
                  </w:pPr>
                  <w:r>
                    <w:rPr>
                      <w:color w:val="000000" w:themeColor="text1"/>
                      <w14:textFill>
                        <w14:solidFill>
                          <w14:schemeClr w14:val="tx1"/>
                        </w14:solidFill>
                      </w14:textFill>
                    </w:rPr>
                    <w:t>COD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TDS</w:t>
                  </w:r>
                </w:p>
              </w:tc>
            </w:tr>
            <w:tr w14:paraId="22B50C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403" w:type="pct"/>
                  <w:vMerge w:val="continue"/>
                  <w:vAlign w:val="center"/>
                </w:tcPr>
                <w:p w14:paraId="5AC529E1">
                  <w:pPr>
                    <w:pStyle w:val="43"/>
                    <w:rPr>
                      <w:color w:val="000000" w:themeColor="text1"/>
                      <w14:textFill>
                        <w14:solidFill>
                          <w14:schemeClr w14:val="tx1"/>
                        </w14:solidFill>
                      </w14:textFill>
                    </w:rPr>
                  </w:pPr>
                </w:p>
              </w:tc>
              <w:tc>
                <w:tcPr>
                  <w:tcW w:w="718" w:type="pct"/>
                  <w:vAlign w:val="center"/>
                </w:tcPr>
                <w:p w14:paraId="58E4967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1741" w:type="pct"/>
                  <w:vAlign w:val="center"/>
                </w:tcPr>
                <w:p w14:paraId="546E665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人员活动、车辆、锅炉</w:t>
                  </w:r>
                </w:p>
              </w:tc>
              <w:tc>
                <w:tcPr>
                  <w:tcW w:w="510" w:type="pct"/>
                  <w:vAlign w:val="center"/>
                </w:tcPr>
                <w:p w14:paraId="2A59208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1627" w:type="pct"/>
                  <w:vAlign w:val="center"/>
                </w:tcPr>
                <w:p w14:paraId="3840A2D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等效连续A声级Leq（A）</w:t>
                  </w:r>
                </w:p>
              </w:tc>
            </w:tr>
            <w:tr w14:paraId="1E388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14:paraId="16B5C22B">
                  <w:pPr>
                    <w:pStyle w:val="43"/>
                    <w:rPr>
                      <w:color w:val="000000" w:themeColor="text1"/>
                      <w14:textFill>
                        <w14:solidFill>
                          <w14:schemeClr w14:val="tx1"/>
                        </w14:solidFill>
                      </w14:textFill>
                    </w:rPr>
                  </w:pPr>
                </w:p>
              </w:tc>
              <w:tc>
                <w:tcPr>
                  <w:tcW w:w="718" w:type="pct"/>
                  <w:vAlign w:val="center"/>
                </w:tcPr>
                <w:p w14:paraId="55E69E7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1741" w:type="pct"/>
                  <w:vAlign w:val="center"/>
                </w:tcPr>
                <w:p w14:paraId="0B5B54C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锅炉烟气</w:t>
                  </w:r>
                </w:p>
              </w:tc>
              <w:tc>
                <w:tcPr>
                  <w:tcW w:w="510" w:type="pct"/>
                  <w:vAlign w:val="center"/>
                </w:tcPr>
                <w:p w14:paraId="49D09D6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废气</w:t>
                  </w:r>
                </w:p>
              </w:tc>
              <w:tc>
                <w:tcPr>
                  <w:tcW w:w="1627" w:type="pct"/>
                  <w:vAlign w:val="center"/>
                </w:tcPr>
                <w:p w14:paraId="63325D77">
                  <w:pPr>
                    <w:pStyle w:val="43"/>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颗粒物</w:t>
                  </w: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X</w:t>
                  </w:r>
                  <w:r>
                    <w:rPr>
                      <w:color w:val="000000" w:themeColor="text1"/>
                      <w:szCs w:val="21"/>
                      <w14:textFill>
                        <w14:solidFill>
                          <w14:schemeClr w14:val="tx1"/>
                        </w14:solidFill>
                      </w14:textFill>
                    </w:rPr>
                    <w:t>、烟气黑度</w:t>
                  </w:r>
                </w:p>
              </w:tc>
            </w:tr>
            <w:tr w14:paraId="20C8CF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14:paraId="797F83E5">
                  <w:pPr>
                    <w:pStyle w:val="43"/>
                    <w:rPr>
                      <w:color w:val="000000" w:themeColor="text1"/>
                      <w14:textFill>
                        <w14:solidFill>
                          <w14:schemeClr w14:val="tx1"/>
                        </w14:solidFill>
                      </w14:textFill>
                    </w:rPr>
                  </w:pPr>
                </w:p>
              </w:tc>
              <w:tc>
                <w:tcPr>
                  <w:tcW w:w="718" w:type="pct"/>
                  <w:vMerge w:val="restart"/>
                  <w:vAlign w:val="center"/>
                </w:tcPr>
                <w:p w14:paraId="2BF3E07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1741" w:type="pct"/>
                  <w:vAlign w:val="center"/>
                </w:tcPr>
                <w:p w14:paraId="45F68A2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人员生活</w:t>
                  </w:r>
                </w:p>
              </w:tc>
              <w:tc>
                <w:tcPr>
                  <w:tcW w:w="510" w:type="pct"/>
                  <w:vMerge w:val="restart"/>
                  <w:vAlign w:val="center"/>
                </w:tcPr>
                <w:p w14:paraId="1E1E9CA3">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固体废物</w:t>
                  </w:r>
                </w:p>
              </w:tc>
              <w:tc>
                <w:tcPr>
                  <w:tcW w:w="1627" w:type="pct"/>
                  <w:vAlign w:val="center"/>
                </w:tcPr>
                <w:p w14:paraId="176BE1F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生活垃圾、餐厨垃圾、废油脂</w:t>
                  </w:r>
                </w:p>
              </w:tc>
            </w:tr>
            <w:tr w14:paraId="48FC10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403" w:type="pct"/>
                  <w:vMerge w:val="continue"/>
                  <w:vAlign w:val="center"/>
                </w:tcPr>
                <w:p w14:paraId="4590E6B7">
                  <w:pPr>
                    <w:pStyle w:val="43"/>
                    <w:rPr>
                      <w:color w:val="000000" w:themeColor="text1"/>
                      <w14:textFill>
                        <w14:solidFill>
                          <w14:schemeClr w14:val="tx1"/>
                        </w14:solidFill>
                      </w14:textFill>
                    </w:rPr>
                  </w:pPr>
                </w:p>
              </w:tc>
              <w:tc>
                <w:tcPr>
                  <w:tcW w:w="718" w:type="pct"/>
                  <w:vMerge w:val="continue"/>
                  <w:vAlign w:val="center"/>
                </w:tcPr>
                <w:p w14:paraId="62EFCA34">
                  <w:pPr>
                    <w:pStyle w:val="43"/>
                    <w:rPr>
                      <w:color w:val="000000" w:themeColor="text1"/>
                      <w14:textFill>
                        <w14:solidFill>
                          <w14:schemeClr w14:val="tx1"/>
                        </w14:solidFill>
                      </w14:textFill>
                    </w:rPr>
                  </w:pPr>
                </w:p>
              </w:tc>
              <w:tc>
                <w:tcPr>
                  <w:tcW w:w="1741" w:type="pct"/>
                  <w:vAlign w:val="center"/>
                </w:tcPr>
                <w:p w14:paraId="242D10E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锅炉</w:t>
                  </w:r>
                </w:p>
              </w:tc>
              <w:tc>
                <w:tcPr>
                  <w:tcW w:w="510" w:type="pct"/>
                  <w:vMerge w:val="continue"/>
                  <w:vAlign w:val="center"/>
                </w:tcPr>
                <w:p w14:paraId="6FEEF404">
                  <w:pPr>
                    <w:pStyle w:val="43"/>
                    <w:rPr>
                      <w:color w:val="000000" w:themeColor="text1"/>
                      <w14:textFill>
                        <w14:solidFill>
                          <w14:schemeClr w14:val="tx1"/>
                        </w14:solidFill>
                      </w14:textFill>
                    </w:rPr>
                  </w:pPr>
                </w:p>
              </w:tc>
              <w:tc>
                <w:tcPr>
                  <w:tcW w:w="1627" w:type="pct"/>
                  <w:vAlign w:val="center"/>
                </w:tcPr>
                <w:p w14:paraId="3D1425D4">
                  <w:pPr>
                    <w:pStyle w:val="43"/>
                    <w:rPr>
                      <w:color w:val="000000" w:themeColor="text1"/>
                      <w14:textFill>
                        <w14:solidFill>
                          <w14:schemeClr w14:val="tx1"/>
                        </w14:solidFill>
                      </w14:textFill>
                    </w:rPr>
                  </w:pPr>
                  <w:r>
                    <w:rPr>
                      <w:color w:val="000000" w:themeColor="text1"/>
                      <w14:textFill>
                        <w14:solidFill>
                          <w14:schemeClr w14:val="tx1"/>
                        </w14:solidFill>
                      </w14:textFill>
                    </w:rPr>
                    <w:t>废布袋</w:t>
                  </w:r>
                  <w:r>
                    <w:rPr>
                      <w:rFonts w:hint="eastAsia"/>
                      <w:color w:val="000000" w:themeColor="text1"/>
                      <w14:textFill>
                        <w14:solidFill>
                          <w14:schemeClr w14:val="tx1"/>
                        </w14:solidFill>
                      </w14:textFill>
                    </w:rPr>
                    <w:t>、布袋除尘器收集的粉尘、锅炉炉渣、废离子交换树脂</w:t>
                  </w:r>
                </w:p>
              </w:tc>
            </w:tr>
            <w:tr w14:paraId="00DC2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14:paraId="52C369CB">
                  <w:pPr>
                    <w:pStyle w:val="43"/>
                    <w:rPr>
                      <w:color w:val="000000" w:themeColor="text1"/>
                      <w14:textFill>
                        <w14:solidFill>
                          <w14:schemeClr w14:val="tx1"/>
                        </w14:solidFill>
                      </w14:textFill>
                    </w:rPr>
                  </w:pPr>
                </w:p>
              </w:tc>
              <w:tc>
                <w:tcPr>
                  <w:tcW w:w="718" w:type="pct"/>
                  <w:vAlign w:val="center"/>
                </w:tcPr>
                <w:p w14:paraId="2DBE7CA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1741" w:type="pct"/>
                  <w:vAlign w:val="center"/>
                </w:tcPr>
                <w:p w14:paraId="7FC08EF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10" w:type="pct"/>
                  <w:vAlign w:val="center"/>
                </w:tcPr>
                <w:p w14:paraId="193AAA4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1627" w:type="pct"/>
                  <w:vAlign w:val="center"/>
                </w:tcPr>
                <w:p w14:paraId="7AA4018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土地利用变化、动植物影响、景观、水土流失</w:t>
                  </w:r>
                </w:p>
              </w:tc>
            </w:tr>
          </w:tbl>
          <w:p w14:paraId="19B09A4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w:t>
            </w:r>
            <w:r>
              <w:rPr>
                <w:color w:val="000000" w:themeColor="text1"/>
                <w14:textFill>
                  <w14:solidFill>
                    <w14:schemeClr w14:val="tx1"/>
                  </w14:solidFill>
                </w14:textFill>
              </w:rPr>
              <w:t>运营期环境影响分析</w:t>
            </w:r>
          </w:p>
          <w:p w14:paraId="271A964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废水</w:t>
            </w:r>
          </w:p>
          <w:p w14:paraId="5085A3B1">
            <w:pPr>
              <w:pStyle w:val="47"/>
              <w:ind w:firstLine="420"/>
              <w:rPr>
                <w:szCs w:val="21"/>
              </w:rPr>
            </w:pPr>
            <w:r>
              <w:rPr>
                <w:color w:val="000000" w:themeColor="text1"/>
                <w14:textFill>
                  <w14:solidFill>
                    <w14:schemeClr w14:val="tx1"/>
                  </w14:solidFill>
                </w14:textFill>
              </w:rPr>
              <w:t>本项目生活污水</w:t>
            </w:r>
            <w:r>
              <w:rPr>
                <w:rFonts w:hint="eastAsia"/>
                <w:color w:val="000000" w:themeColor="text1"/>
                <w14:textFill>
                  <w14:solidFill>
                    <w14:schemeClr w14:val="tx1"/>
                  </w14:solidFill>
                </w14:textFill>
              </w:rPr>
              <w:t>（含餐饮废水）</w:t>
            </w:r>
            <w:r>
              <w:rPr>
                <w:color w:val="000000" w:themeColor="text1"/>
                <w14:textFill>
                  <w14:solidFill>
                    <w14:schemeClr w14:val="tx1"/>
                  </w14:solidFill>
                </w14:textFill>
              </w:rPr>
              <w:t>排放量</w:t>
            </w:r>
            <w:r>
              <w:rPr>
                <w:rFonts w:hint="eastAsia"/>
                <w:color w:val="000000" w:themeColor="text1"/>
                <w14:textFill>
                  <w14:solidFill>
                    <w14:schemeClr w14:val="tx1"/>
                  </w14:solidFill>
                </w14:textFill>
              </w:rPr>
              <w:t>112.8t</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41172t</w:t>
            </w:r>
            <w:r>
              <w:rPr>
                <w:color w:val="000000" w:themeColor="text1"/>
                <w14:textFill>
                  <w14:solidFill>
                    <w14:schemeClr w14:val="tx1"/>
                  </w14:solidFill>
                </w14:textFill>
              </w:rPr>
              <w:t>/a，</w:t>
            </w:r>
            <w:r>
              <w:rPr>
                <w:rFonts w:hint="eastAsia"/>
                <w:color w:val="000000" w:themeColor="text1"/>
                <w14:textFill>
                  <w14:solidFill>
                    <w14:schemeClr w14:val="tx1"/>
                  </w14:solidFill>
                </w14:textFill>
              </w:rPr>
              <w:t>生活污水（餐饮废水经隔油池预处理）排放浓度满足</w:t>
            </w:r>
            <w:r>
              <w:rPr>
                <w:color w:val="000000" w:themeColor="text1"/>
                <w14:textFill>
                  <w14:solidFill>
                    <w14:schemeClr w14:val="tx1"/>
                  </w14:solidFill>
                </w14:textFill>
              </w:rPr>
              <w:t>《污水综合排放标准》（GB8978-1996）表4中三级标准</w:t>
            </w:r>
            <w:r>
              <w:rPr>
                <w:rFonts w:hint="eastAsia"/>
                <w:color w:val="000000" w:themeColor="text1"/>
                <w14:textFill>
                  <w14:solidFill>
                    <w14:schemeClr w14:val="tx1"/>
                  </w14:solidFill>
                </w14:textFill>
              </w:rPr>
              <w:t>后</w:t>
            </w:r>
            <w:r>
              <w:rPr>
                <w:rFonts w:hint="eastAsia"/>
                <w:szCs w:val="21"/>
              </w:rPr>
              <w:t>拉运至进入伊春市中心城污水处理厂（伊春市百斯特环保有限公司）处理，处理达标后排入汤旺河。</w:t>
            </w:r>
          </w:p>
          <w:p w14:paraId="5938B78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锅炉排污水及软化处理废水水量为814.528</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。项目锅炉排污水及软化处理废水水质比较清洁，污染物浓度较低，主要成分为CaC</w:t>
            </w:r>
            <w:r>
              <w:rPr>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、MgC</w:t>
            </w:r>
            <w:r>
              <w:rPr>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等可溶性盐类。</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排放源统计调查产排污核算方法和系数手册》中“4430工业锅炉（热力供应）行业系数手册”中产污系数</w:t>
            </w:r>
            <w:r>
              <w:rPr>
                <w:color w:val="000000" w:themeColor="text1"/>
                <w14:textFill>
                  <w14:solidFill>
                    <w14:schemeClr w14:val="tx1"/>
                  </w14:solidFill>
                </w14:textFill>
              </w:rPr>
              <w:t>，燃生物质锅炉（锅外水处理）废水产生系数为0.356吨/吨-原料，COD产生系数为30克/吨-原料，</w:t>
            </w:r>
            <w:r>
              <w:rPr>
                <w:rFonts w:hint="eastAsia"/>
                <w:color w:val="000000" w:themeColor="text1"/>
                <w14:textFill>
                  <w14:solidFill>
                    <w14:schemeClr w14:val="tx1"/>
                  </w14:solidFill>
                </w14:textFill>
              </w:rPr>
              <w:t>则</w:t>
            </w:r>
            <w:r>
              <w:rPr>
                <w:color w:val="000000" w:themeColor="text1"/>
                <w14:textFill>
                  <w14:solidFill>
                    <w14:schemeClr w14:val="tx1"/>
                  </w14:solidFill>
                </w14:textFill>
              </w:rPr>
              <w:t>COD产生量为0.0</w:t>
            </w:r>
            <w:r>
              <w:rPr>
                <w:rFonts w:hint="eastAsia"/>
                <w:color w:val="000000" w:themeColor="text1"/>
                <w14:textFill>
                  <w14:solidFill>
                    <w14:schemeClr w14:val="tx1"/>
                  </w14:solidFill>
                </w14:textFill>
              </w:rPr>
              <w:t>69</w:t>
            </w:r>
            <w:r>
              <w:rPr>
                <w:color w:val="000000" w:themeColor="text1"/>
                <w14:textFill>
                  <w14:solidFill>
                    <w14:schemeClr w14:val="tx1"/>
                  </w14:solidFill>
                </w14:textFill>
              </w:rPr>
              <w:t>t/a</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锅炉废水其他污染物参考《环境影响评价工程师职业资格登记培训系列教材—社会区域类环境影响评价》（中国环境科学出版社）中数据，溶解性总固体（TDS）：1200mg/L</w:t>
            </w:r>
            <w:r>
              <w:rPr>
                <w:rFonts w:hint="eastAsia"/>
                <w:color w:val="000000" w:themeColor="text1"/>
                <w14:textFill>
                  <w14:solidFill>
                    <w14:schemeClr w14:val="tx1"/>
                  </w14:solidFill>
                </w14:textFill>
              </w:rPr>
              <w:t>，产生量为0.98t</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a</w:t>
            </w:r>
            <w:r>
              <w:rPr>
                <w:color w:val="000000" w:themeColor="text1"/>
                <w14:textFill>
                  <w14:solidFill>
                    <w14:schemeClr w14:val="tx1"/>
                  </w14:solidFill>
                </w14:textFill>
              </w:rPr>
              <w:t>。本项目锅炉排污水和软化处理废水用于锅炉除渣、除灰和锅炉间地面洒水降尘，不外排。</w:t>
            </w:r>
          </w:p>
          <w:p w14:paraId="6FE48A3B">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 xml:space="preserve"> 废水污染源源强核算结果及相关参数一览表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90"/>
              <w:gridCol w:w="509"/>
              <w:gridCol w:w="535"/>
              <w:gridCol w:w="247"/>
              <w:gridCol w:w="765"/>
              <w:gridCol w:w="799"/>
              <w:gridCol w:w="608"/>
              <w:gridCol w:w="457"/>
              <w:gridCol w:w="566"/>
              <w:gridCol w:w="247"/>
              <w:gridCol w:w="654"/>
              <w:gridCol w:w="694"/>
              <w:gridCol w:w="511"/>
              <w:gridCol w:w="581"/>
            </w:tblGrid>
            <w:tr w14:paraId="055DDB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71" w:type="dxa"/>
                  <w:vMerge w:val="restart"/>
                  <w:vAlign w:val="center"/>
                </w:tcPr>
                <w:p w14:paraId="2D97E661">
                  <w:pPr>
                    <w:adjustRightInd w:val="0"/>
                    <w:snapToGrid w:val="0"/>
                    <w:jc w:val="center"/>
                    <w:rPr>
                      <w:sz w:val="18"/>
                      <w:szCs w:val="18"/>
                    </w:rPr>
                  </w:pPr>
                  <w:r>
                    <w:rPr>
                      <w:sz w:val="18"/>
                      <w:szCs w:val="18"/>
                    </w:rPr>
                    <w:t>工序/生产线</w:t>
                  </w:r>
                </w:p>
              </w:tc>
              <w:tc>
                <w:tcPr>
                  <w:tcW w:w="490" w:type="dxa"/>
                  <w:vMerge w:val="restart"/>
                  <w:vAlign w:val="center"/>
                </w:tcPr>
                <w:p w14:paraId="376DF546">
                  <w:pPr>
                    <w:adjustRightInd w:val="0"/>
                    <w:snapToGrid w:val="0"/>
                    <w:jc w:val="center"/>
                    <w:rPr>
                      <w:sz w:val="18"/>
                      <w:szCs w:val="18"/>
                    </w:rPr>
                  </w:pPr>
                  <w:r>
                    <w:rPr>
                      <w:sz w:val="18"/>
                      <w:szCs w:val="18"/>
                    </w:rPr>
                    <w:t>污染源</w:t>
                  </w:r>
                </w:p>
              </w:tc>
              <w:tc>
                <w:tcPr>
                  <w:tcW w:w="515" w:type="dxa"/>
                  <w:vMerge w:val="restart"/>
                  <w:vAlign w:val="center"/>
                </w:tcPr>
                <w:p w14:paraId="106756B3">
                  <w:pPr>
                    <w:adjustRightInd w:val="0"/>
                    <w:snapToGrid w:val="0"/>
                    <w:jc w:val="center"/>
                    <w:rPr>
                      <w:sz w:val="18"/>
                      <w:szCs w:val="18"/>
                    </w:rPr>
                  </w:pPr>
                  <w:r>
                    <w:rPr>
                      <w:sz w:val="18"/>
                      <w:szCs w:val="18"/>
                    </w:rPr>
                    <w:t>污染物</w:t>
                  </w:r>
                </w:p>
              </w:tc>
              <w:tc>
                <w:tcPr>
                  <w:tcW w:w="2328" w:type="dxa"/>
                  <w:gridSpan w:val="4"/>
                  <w:vAlign w:val="center"/>
                </w:tcPr>
                <w:p w14:paraId="6775C374">
                  <w:pPr>
                    <w:adjustRightInd w:val="0"/>
                    <w:snapToGrid w:val="0"/>
                    <w:jc w:val="center"/>
                    <w:rPr>
                      <w:sz w:val="18"/>
                      <w:szCs w:val="18"/>
                    </w:rPr>
                  </w:pPr>
                  <w:r>
                    <w:rPr>
                      <w:sz w:val="18"/>
                      <w:szCs w:val="18"/>
                    </w:rPr>
                    <w:t>污染物产生</w:t>
                  </w:r>
                </w:p>
              </w:tc>
              <w:tc>
                <w:tcPr>
                  <w:tcW w:w="984" w:type="dxa"/>
                  <w:gridSpan w:val="2"/>
                  <w:vAlign w:val="center"/>
                </w:tcPr>
                <w:p w14:paraId="2BD81C59">
                  <w:pPr>
                    <w:adjustRightInd w:val="0"/>
                    <w:snapToGrid w:val="0"/>
                    <w:jc w:val="center"/>
                    <w:rPr>
                      <w:sz w:val="18"/>
                      <w:szCs w:val="18"/>
                    </w:rPr>
                  </w:pPr>
                  <w:r>
                    <w:rPr>
                      <w:sz w:val="18"/>
                      <w:szCs w:val="18"/>
                    </w:rPr>
                    <w:t>治理措施</w:t>
                  </w:r>
                </w:p>
              </w:tc>
              <w:tc>
                <w:tcPr>
                  <w:tcW w:w="2025" w:type="dxa"/>
                  <w:gridSpan w:val="4"/>
                  <w:vAlign w:val="center"/>
                </w:tcPr>
                <w:p w14:paraId="1CC448B1">
                  <w:pPr>
                    <w:adjustRightInd w:val="0"/>
                    <w:snapToGrid w:val="0"/>
                    <w:jc w:val="center"/>
                    <w:rPr>
                      <w:sz w:val="18"/>
                      <w:szCs w:val="18"/>
                    </w:rPr>
                  </w:pPr>
                  <w:r>
                    <w:rPr>
                      <w:sz w:val="18"/>
                      <w:szCs w:val="18"/>
                    </w:rPr>
                    <w:t>污染物排放</w:t>
                  </w:r>
                </w:p>
              </w:tc>
              <w:tc>
                <w:tcPr>
                  <w:tcW w:w="558" w:type="dxa"/>
                  <w:vMerge w:val="restart"/>
                  <w:vAlign w:val="center"/>
                </w:tcPr>
                <w:p w14:paraId="31257748">
                  <w:pPr>
                    <w:adjustRightInd w:val="0"/>
                    <w:snapToGrid w:val="0"/>
                    <w:jc w:val="center"/>
                    <w:rPr>
                      <w:sz w:val="18"/>
                      <w:szCs w:val="18"/>
                    </w:rPr>
                  </w:pPr>
                  <w:r>
                    <w:rPr>
                      <w:sz w:val="18"/>
                      <w:szCs w:val="18"/>
                    </w:rPr>
                    <w:t>排放时间（h）</w:t>
                  </w:r>
                </w:p>
              </w:tc>
            </w:tr>
            <w:tr w14:paraId="1BE48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71" w:type="dxa"/>
                  <w:vMerge w:val="continue"/>
                  <w:vAlign w:val="center"/>
                </w:tcPr>
                <w:p w14:paraId="7CC7F3BD">
                  <w:pPr>
                    <w:adjustRightInd w:val="0"/>
                    <w:snapToGrid w:val="0"/>
                    <w:jc w:val="center"/>
                    <w:rPr>
                      <w:sz w:val="18"/>
                      <w:szCs w:val="18"/>
                    </w:rPr>
                  </w:pPr>
                </w:p>
              </w:tc>
              <w:tc>
                <w:tcPr>
                  <w:tcW w:w="490" w:type="dxa"/>
                  <w:vMerge w:val="continue"/>
                  <w:vAlign w:val="center"/>
                </w:tcPr>
                <w:p w14:paraId="1DDE86AF">
                  <w:pPr>
                    <w:adjustRightInd w:val="0"/>
                    <w:snapToGrid w:val="0"/>
                    <w:jc w:val="center"/>
                    <w:rPr>
                      <w:sz w:val="18"/>
                      <w:szCs w:val="18"/>
                    </w:rPr>
                  </w:pPr>
                </w:p>
              </w:tc>
              <w:tc>
                <w:tcPr>
                  <w:tcW w:w="515" w:type="dxa"/>
                  <w:vMerge w:val="continue"/>
                  <w:vAlign w:val="center"/>
                </w:tcPr>
                <w:p w14:paraId="7CE1A623">
                  <w:pPr>
                    <w:adjustRightInd w:val="0"/>
                    <w:snapToGrid w:val="0"/>
                    <w:jc w:val="center"/>
                    <w:rPr>
                      <w:sz w:val="18"/>
                      <w:szCs w:val="18"/>
                    </w:rPr>
                  </w:pPr>
                </w:p>
              </w:tc>
              <w:tc>
                <w:tcPr>
                  <w:tcW w:w="238" w:type="dxa"/>
                  <w:vAlign w:val="center"/>
                </w:tcPr>
                <w:p w14:paraId="77AF8040">
                  <w:pPr>
                    <w:adjustRightInd w:val="0"/>
                    <w:snapToGrid w:val="0"/>
                    <w:jc w:val="center"/>
                    <w:rPr>
                      <w:sz w:val="18"/>
                      <w:szCs w:val="18"/>
                    </w:rPr>
                  </w:pPr>
                  <w:r>
                    <w:rPr>
                      <w:sz w:val="18"/>
                      <w:szCs w:val="18"/>
                    </w:rPr>
                    <w:t>核算方法</w:t>
                  </w:r>
                </w:p>
              </w:tc>
              <w:tc>
                <w:tcPr>
                  <w:tcW w:w="736" w:type="dxa"/>
                  <w:vAlign w:val="center"/>
                </w:tcPr>
                <w:p w14:paraId="22D81B0D">
                  <w:pPr>
                    <w:adjustRightInd w:val="0"/>
                    <w:snapToGrid w:val="0"/>
                    <w:jc w:val="center"/>
                    <w:rPr>
                      <w:sz w:val="18"/>
                      <w:szCs w:val="18"/>
                    </w:rPr>
                  </w:pPr>
                  <w:r>
                    <w:rPr>
                      <w:sz w:val="18"/>
                      <w:szCs w:val="18"/>
                    </w:rPr>
                    <w:t>产生废水量(t/a)</w:t>
                  </w:r>
                </w:p>
              </w:tc>
              <w:tc>
                <w:tcPr>
                  <w:tcW w:w="769" w:type="dxa"/>
                  <w:vAlign w:val="center"/>
                </w:tcPr>
                <w:p w14:paraId="579288AE">
                  <w:pPr>
                    <w:adjustRightInd w:val="0"/>
                    <w:snapToGrid w:val="0"/>
                    <w:jc w:val="center"/>
                    <w:rPr>
                      <w:sz w:val="18"/>
                      <w:szCs w:val="18"/>
                    </w:rPr>
                  </w:pPr>
                  <w:r>
                    <w:rPr>
                      <w:sz w:val="18"/>
                      <w:szCs w:val="18"/>
                    </w:rPr>
                    <w:t>产生浓度(mg/L)</w:t>
                  </w:r>
                </w:p>
              </w:tc>
              <w:tc>
                <w:tcPr>
                  <w:tcW w:w="585" w:type="dxa"/>
                  <w:vAlign w:val="center"/>
                </w:tcPr>
                <w:p w14:paraId="2B925593">
                  <w:pPr>
                    <w:adjustRightInd w:val="0"/>
                    <w:snapToGrid w:val="0"/>
                    <w:jc w:val="center"/>
                    <w:rPr>
                      <w:sz w:val="18"/>
                      <w:szCs w:val="18"/>
                    </w:rPr>
                  </w:pPr>
                  <w:r>
                    <w:rPr>
                      <w:sz w:val="18"/>
                      <w:szCs w:val="18"/>
                    </w:rPr>
                    <w:t>产生量(t/a)</w:t>
                  </w:r>
                </w:p>
              </w:tc>
              <w:tc>
                <w:tcPr>
                  <w:tcW w:w="440" w:type="dxa"/>
                  <w:vAlign w:val="center"/>
                </w:tcPr>
                <w:p w14:paraId="27E9C47E">
                  <w:pPr>
                    <w:adjustRightInd w:val="0"/>
                    <w:snapToGrid w:val="0"/>
                    <w:jc w:val="center"/>
                    <w:rPr>
                      <w:sz w:val="18"/>
                      <w:szCs w:val="18"/>
                    </w:rPr>
                  </w:pPr>
                  <w:r>
                    <w:rPr>
                      <w:sz w:val="18"/>
                      <w:szCs w:val="18"/>
                    </w:rPr>
                    <w:t>工艺</w:t>
                  </w:r>
                </w:p>
              </w:tc>
              <w:tc>
                <w:tcPr>
                  <w:tcW w:w="544" w:type="dxa"/>
                  <w:vAlign w:val="center"/>
                </w:tcPr>
                <w:p w14:paraId="4E23D251">
                  <w:pPr>
                    <w:adjustRightInd w:val="0"/>
                    <w:snapToGrid w:val="0"/>
                    <w:jc w:val="center"/>
                    <w:rPr>
                      <w:sz w:val="18"/>
                      <w:szCs w:val="18"/>
                    </w:rPr>
                  </w:pPr>
                  <w:r>
                    <w:rPr>
                      <w:sz w:val="18"/>
                      <w:szCs w:val="18"/>
                    </w:rPr>
                    <w:t>效率（%）</w:t>
                  </w:r>
                </w:p>
              </w:tc>
              <w:tc>
                <w:tcPr>
                  <w:tcW w:w="238" w:type="dxa"/>
                  <w:vAlign w:val="center"/>
                </w:tcPr>
                <w:p w14:paraId="4F483E46">
                  <w:pPr>
                    <w:adjustRightInd w:val="0"/>
                    <w:snapToGrid w:val="0"/>
                    <w:jc w:val="center"/>
                    <w:rPr>
                      <w:sz w:val="18"/>
                      <w:szCs w:val="18"/>
                    </w:rPr>
                  </w:pPr>
                  <w:r>
                    <w:rPr>
                      <w:sz w:val="18"/>
                      <w:szCs w:val="18"/>
                    </w:rPr>
                    <w:t>核算方法</w:t>
                  </w:r>
                </w:p>
              </w:tc>
              <w:tc>
                <w:tcPr>
                  <w:tcW w:w="629" w:type="dxa"/>
                  <w:vAlign w:val="center"/>
                </w:tcPr>
                <w:p w14:paraId="2189DCE5">
                  <w:pPr>
                    <w:adjustRightInd w:val="0"/>
                    <w:snapToGrid w:val="0"/>
                    <w:jc w:val="center"/>
                    <w:rPr>
                      <w:sz w:val="18"/>
                      <w:szCs w:val="18"/>
                    </w:rPr>
                  </w:pPr>
                  <w:r>
                    <w:rPr>
                      <w:sz w:val="18"/>
                      <w:szCs w:val="18"/>
                    </w:rPr>
                    <w:t>排放废水量(t/a)</w:t>
                  </w:r>
                </w:p>
              </w:tc>
              <w:tc>
                <w:tcPr>
                  <w:tcW w:w="667" w:type="dxa"/>
                  <w:vAlign w:val="center"/>
                </w:tcPr>
                <w:p w14:paraId="40EC1263">
                  <w:pPr>
                    <w:adjustRightInd w:val="0"/>
                    <w:snapToGrid w:val="0"/>
                    <w:jc w:val="center"/>
                    <w:rPr>
                      <w:sz w:val="18"/>
                      <w:szCs w:val="18"/>
                    </w:rPr>
                  </w:pPr>
                  <w:r>
                    <w:rPr>
                      <w:sz w:val="18"/>
                      <w:szCs w:val="18"/>
                    </w:rPr>
                    <w:t>排放浓度(mg/L)</w:t>
                  </w:r>
                </w:p>
              </w:tc>
              <w:tc>
                <w:tcPr>
                  <w:tcW w:w="491" w:type="dxa"/>
                  <w:vAlign w:val="center"/>
                </w:tcPr>
                <w:p w14:paraId="3B8A2799">
                  <w:pPr>
                    <w:adjustRightInd w:val="0"/>
                    <w:snapToGrid w:val="0"/>
                    <w:jc w:val="center"/>
                    <w:rPr>
                      <w:sz w:val="18"/>
                      <w:szCs w:val="18"/>
                    </w:rPr>
                  </w:pPr>
                  <w:r>
                    <w:rPr>
                      <w:sz w:val="18"/>
                      <w:szCs w:val="18"/>
                    </w:rPr>
                    <w:t>排放量(t/a)</w:t>
                  </w:r>
                </w:p>
              </w:tc>
              <w:tc>
                <w:tcPr>
                  <w:tcW w:w="558" w:type="dxa"/>
                  <w:vMerge w:val="continue"/>
                  <w:vAlign w:val="center"/>
                </w:tcPr>
                <w:p w14:paraId="3E1DE4EF">
                  <w:pPr>
                    <w:adjustRightInd w:val="0"/>
                    <w:snapToGrid w:val="0"/>
                    <w:jc w:val="center"/>
                    <w:rPr>
                      <w:sz w:val="18"/>
                      <w:szCs w:val="18"/>
                    </w:rPr>
                  </w:pPr>
                </w:p>
              </w:tc>
            </w:tr>
            <w:tr w14:paraId="58031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12" w:hRule="atLeast"/>
                <w:jc w:val="center"/>
              </w:trPr>
              <w:tc>
                <w:tcPr>
                  <w:tcW w:w="471" w:type="dxa"/>
                  <w:vMerge w:val="restart"/>
                  <w:vAlign w:val="center"/>
                </w:tcPr>
                <w:p w14:paraId="28632B5A">
                  <w:pPr>
                    <w:adjustRightInd w:val="0"/>
                    <w:snapToGrid w:val="0"/>
                    <w:jc w:val="center"/>
                    <w:rPr>
                      <w:sz w:val="18"/>
                      <w:szCs w:val="18"/>
                    </w:rPr>
                  </w:pPr>
                  <w:r>
                    <w:rPr>
                      <w:rFonts w:hint="eastAsia"/>
                      <w:sz w:val="18"/>
                      <w:szCs w:val="18"/>
                    </w:rPr>
                    <w:t>生产废水</w:t>
                  </w:r>
                </w:p>
              </w:tc>
              <w:tc>
                <w:tcPr>
                  <w:tcW w:w="490" w:type="dxa"/>
                  <w:vMerge w:val="restart"/>
                  <w:vAlign w:val="center"/>
                </w:tcPr>
                <w:p w14:paraId="7F82F335">
                  <w:pPr>
                    <w:adjustRightInd w:val="0"/>
                    <w:snapToGrid w:val="0"/>
                    <w:jc w:val="center"/>
                    <w:rPr>
                      <w:sz w:val="18"/>
                      <w:szCs w:val="18"/>
                    </w:rPr>
                  </w:pPr>
                  <w:r>
                    <w:rPr>
                      <w:rFonts w:hint="eastAsia"/>
                      <w:sz w:val="18"/>
                      <w:szCs w:val="18"/>
                    </w:rPr>
                    <w:t>锅炉排污水和软化处理废水</w:t>
                  </w:r>
                </w:p>
              </w:tc>
              <w:tc>
                <w:tcPr>
                  <w:tcW w:w="515" w:type="dxa"/>
                  <w:vAlign w:val="center"/>
                </w:tcPr>
                <w:p w14:paraId="5DB93E73">
                  <w:pPr>
                    <w:adjustRightInd w:val="0"/>
                    <w:snapToGrid w:val="0"/>
                    <w:jc w:val="center"/>
                    <w:rPr>
                      <w:sz w:val="18"/>
                      <w:szCs w:val="18"/>
                    </w:rPr>
                  </w:pPr>
                  <w:r>
                    <w:rPr>
                      <w:sz w:val="18"/>
                      <w:szCs w:val="18"/>
                    </w:rPr>
                    <w:t>COD</w:t>
                  </w:r>
                </w:p>
              </w:tc>
              <w:tc>
                <w:tcPr>
                  <w:tcW w:w="238" w:type="dxa"/>
                  <w:vMerge w:val="restart"/>
                  <w:vAlign w:val="center"/>
                </w:tcPr>
                <w:p w14:paraId="269DA7E8">
                  <w:pPr>
                    <w:adjustRightInd w:val="0"/>
                    <w:snapToGrid w:val="0"/>
                    <w:jc w:val="center"/>
                    <w:rPr>
                      <w:sz w:val="18"/>
                      <w:szCs w:val="18"/>
                    </w:rPr>
                  </w:pPr>
                  <w:r>
                    <w:rPr>
                      <w:rFonts w:hint="eastAsia"/>
                      <w:sz w:val="18"/>
                      <w:szCs w:val="18"/>
                    </w:rPr>
                    <w:t>系数</w:t>
                  </w:r>
                  <w:r>
                    <w:rPr>
                      <w:sz w:val="18"/>
                      <w:szCs w:val="18"/>
                    </w:rPr>
                    <w:t>法</w:t>
                  </w:r>
                </w:p>
              </w:tc>
              <w:tc>
                <w:tcPr>
                  <w:tcW w:w="736" w:type="dxa"/>
                  <w:vMerge w:val="restart"/>
                  <w:vAlign w:val="center"/>
                </w:tcPr>
                <w:p w14:paraId="093F38DD">
                  <w:pPr>
                    <w:adjustRightInd w:val="0"/>
                    <w:snapToGrid w:val="0"/>
                    <w:jc w:val="center"/>
                    <w:rPr>
                      <w:sz w:val="18"/>
                      <w:szCs w:val="18"/>
                    </w:rPr>
                  </w:pPr>
                  <w:r>
                    <w:rPr>
                      <w:rFonts w:hint="eastAsia"/>
                      <w:sz w:val="18"/>
                      <w:szCs w:val="18"/>
                    </w:rPr>
                    <w:t>814.528</w:t>
                  </w:r>
                </w:p>
              </w:tc>
              <w:tc>
                <w:tcPr>
                  <w:tcW w:w="769" w:type="dxa"/>
                  <w:vAlign w:val="center"/>
                </w:tcPr>
                <w:p w14:paraId="597537FF">
                  <w:pPr>
                    <w:adjustRightInd w:val="0"/>
                    <w:snapToGrid w:val="0"/>
                    <w:jc w:val="center"/>
                    <w:rPr>
                      <w:sz w:val="18"/>
                      <w:szCs w:val="18"/>
                    </w:rPr>
                  </w:pPr>
                  <w:r>
                    <w:rPr>
                      <w:sz w:val="18"/>
                      <w:szCs w:val="18"/>
                    </w:rPr>
                    <w:t>8</w:t>
                  </w:r>
                  <w:r>
                    <w:rPr>
                      <w:rFonts w:hint="eastAsia"/>
                      <w:sz w:val="18"/>
                      <w:szCs w:val="18"/>
                    </w:rPr>
                    <w:t>4.71</w:t>
                  </w:r>
                </w:p>
              </w:tc>
              <w:tc>
                <w:tcPr>
                  <w:tcW w:w="585" w:type="dxa"/>
                  <w:vAlign w:val="center"/>
                </w:tcPr>
                <w:p w14:paraId="00F216F2">
                  <w:pPr>
                    <w:adjustRightInd w:val="0"/>
                    <w:snapToGrid w:val="0"/>
                    <w:jc w:val="center"/>
                    <w:rPr>
                      <w:sz w:val="18"/>
                      <w:szCs w:val="18"/>
                    </w:rPr>
                  </w:pPr>
                  <w:r>
                    <w:rPr>
                      <w:sz w:val="18"/>
                      <w:szCs w:val="18"/>
                    </w:rPr>
                    <w:t>0.0</w:t>
                  </w:r>
                  <w:r>
                    <w:rPr>
                      <w:rFonts w:hint="eastAsia"/>
                      <w:sz w:val="18"/>
                      <w:szCs w:val="18"/>
                    </w:rPr>
                    <w:t>69</w:t>
                  </w:r>
                </w:p>
              </w:tc>
              <w:tc>
                <w:tcPr>
                  <w:tcW w:w="440" w:type="dxa"/>
                  <w:vMerge w:val="restart"/>
                  <w:vAlign w:val="center"/>
                </w:tcPr>
                <w:p w14:paraId="6266E534">
                  <w:pPr>
                    <w:adjustRightInd w:val="0"/>
                    <w:snapToGrid w:val="0"/>
                    <w:rPr>
                      <w:sz w:val="18"/>
                      <w:szCs w:val="18"/>
                    </w:rPr>
                  </w:pPr>
                  <w:r>
                    <w:rPr>
                      <w:rFonts w:hint="eastAsia"/>
                      <w:sz w:val="18"/>
                      <w:szCs w:val="18"/>
                    </w:rPr>
                    <w:t>锅炉排污水和软化处理废水用于厂区洒水降尘，不外排</w:t>
                  </w:r>
                </w:p>
              </w:tc>
              <w:tc>
                <w:tcPr>
                  <w:tcW w:w="544" w:type="dxa"/>
                  <w:vAlign w:val="center"/>
                </w:tcPr>
                <w:p w14:paraId="2073EAF0">
                  <w:pPr>
                    <w:adjustRightInd w:val="0"/>
                    <w:snapToGrid w:val="0"/>
                    <w:jc w:val="center"/>
                    <w:rPr>
                      <w:sz w:val="18"/>
                      <w:szCs w:val="18"/>
                    </w:rPr>
                  </w:pPr>
                  <w:r>
                    <w:rPr>
                      <w:sz w:val="18"/>
                      <w:szCs w:val="18"/>
                    </w:rPr>
                    <w:t>/</w:t>
                  </w:r>
                </w:p>
              </w:tc>
              <w:tc>
                <w:tcPr>
                  <w:tcW w:w="238" w:type="dxa"/>
                  <w:vMerge w:val="restart"/>
                  <w:vAlign w:val="center"/>
                </w:tcPr>
                <w:p w14:paraId="1A08BF79">
                  <w:pPr>
                    <w:adjustRightInd w:val="0"/>
                    <w:snapToGrid w:val="0"/>
                    <w:jc w:val="center"/>
                    <w:rPr>
                      <w:sz w:val="18"/>
                      <w:szCs w:val="18"/>
                    </w:rPr>
                  </w:pPr>
                  <w:r>
                    <w:rPr>
                      <w:rFonts w:hint="eastAsia"/>
                      <w:sz w:val="18"/>
                      <w:szCs w:val="18"/>
                    </w:rPr>
                    <w:t>/</w:t>
                  </w:r>
                </w:p>
              </w:tc>
              <w:tc>
                <w:tcPr>
                  <w:tcW w:w="629" w:type="dxa"/>
                  <w:vMerge w:val="restart"/>
                  <w:vAlign w:val="center"/>
                </w:tcPr>
                <w:p w14:paraId="5CA646F8">
                  <w:pPr>
                    <w:adjustRightInd w:val="0"/>
                    <w:snapToGrid w:val="0"/>
                    <w:jc w:val="center"/>
                    <w:rPr>
                      <w:sz w:val="18"/>
                      <w:szCs w:val="18"/>
                    </w:rPr>
                  </w:pPr>
                  <w:r>
                    <w:rPr>
                      <w:sz w:val="18"/>
                      <w:szCs w:val="18"/>
                    </w:rPr>
                    <w:t>/</w:t>
                  </w:r>
                </w:p>
              </w:tc>
              <w:tc>
                <w:tcPr>
                  <w:tcW w:w="667" w:type="dxa"/>
                  <w:vAlign w:val="center"/>
                </w:tcPr>
                <w:p w14:paraId="71FD72E7">
                  <w:pPr>
                    <w:adjustRightInd w:val="0"/>
                    <w:snapToGrid w:val="0"/>
                    <w:jc w:val="center"/>
                    <w:rPr>
                      <w:sz w:val="18"/>
                      <w:szCs w:val="18"/>
                    </w:rPr>
                  </w:pPr>
                  <w:r>
                    <w:rPr>
                      <w:sz w:val="18"/>
                      <w:szCs w:val="18"/>
                    </w:rPr>
                    <w:t>/</w:t>
                  </w:r>
                </w:p>
              </w:tc>
              <w:tc>
                <w:tcPr>
                  <w:tcW w:w="491" w:type="dxa"/>
                  <w:vAlign w:val="center"/>
                </w:tcPr>
                <w:p w14:paraId="232E0DD1">
                  <w:pPr>
                    <w:adjustRightInd w:val="0"/>
                    <w:snapToGrid w:val="0"/>
                    <w:jc w:val="center"/>
                    <w:rPr>
                      <w:sz w:val="18"/>
                      <w:szCs w:val="18"/>
                    </w:rPr>
                  </w:pPr>
                  <w:r>
                    <w:rPr>
                      <w:sz w:val="18"/>
                      <w:szCs w:val="18"/>
                    </w:rPr>
                    <w:t>/</w:t>
                  </w:r>
                </w:p>
              </w:tc>
              <w:tc>
                <w:tcPr>
                  <w:tcW w:w="558" w:type="dxa"/>
                  <w:vMerge w:val="restart"/>
                  <w:vAlign w:val="center"/>
                </w:tcPr>
                <w:p w14:paraId="38D4D52E">
                  <w:pPr>
                    <w:adjustRightInd w:val="0"/>
                    <w:snapToGrid w:val="0"/>
                    <w:jc w:val="center"/>
                    <w:rPr>
                      <w:sz w:val="18"/>
                      <w:szCs w:val="18"/>
                    </w:rPr>
                  </w:pPr>
                  <w:r>
                    <w:rPr>
                      <w:sz w:val="18"/>
                      <w:szCs w:val="18"/>
                    </w:rPr>
                    <w:t>/</w:t>
                  </w:r>
                </w:p>
              </w:tc>
            </w:tr>
            <w:tr w14:paraId="3B6D4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6" w:hRule="atLeast"/>
                <w:jc w:val="center"/>
              </w:trPr>
              <w:tc>
                <w:tcPr>
                  <w:tcW w:w="471" w:type="dxa"/>
                  <w:vMerge w:val="continue"/>
                  <w:vAlign w:val="center"/>
                </w:tcPr>
                <w:p w14:paraId="0AE6D583">
                  <w:pPr>
                    <w:adjustRightInd w:val="0"/>
                    <w:snapToGrid w:val="0"/>
                    <w:jc w:val="center"/>
                    <w:rPr>
                      <w:sz w:val="18"/>
                      <w:szCs w:val="18"/>
                    </w:rPr>
                  </w:pPr>
                </w:p>
              </w:tc>
              <w:tc>
                <w:tcPr>
                  <w:tcW w:w="490" w:type="dxa"/>
                  <w:vMerge w:val="continue"/>
                  <w:vAlign w:val="center"/>
                </w:tcPr>
                <w:p w14:paraId="5499A940">
                  <w:pPr>
                    <w:adjustRightInd w:val="0"/>
                    <w:snapToGrid w:val="0"/>
                    <w:jc w:val="center"/>
                    <w:rPr>
                      <w:sz w:val="18"/>
                      <w:szCs w:val="18"/>
                    </w:rPr>
                  </w:pPr>
                </w:p>
              </w:tc>
              <w:tc>
                <w:tcPr>
                  <w:tcW w:w="515" w:type="dxa"/>
                  <w:vAlign w:val="center"/>
                </w:tcPr>
                <w:p w14:paraId="25FEF1F7">
                  <w:pPr>
                    <w:adjustRightInd w:val="0"/>
                    <w:snapToGrid w:val="0"/>
                    <w:jc w:val="center"/>
                    <w:rPr>
                      <w:sz w:val="18"/>
                      <w:szCs w:val="18"/>
                    </w:rPr>
                  </w:pPr>
                  <w:r>
                    <w:rPr>
                      <w:sz w:val="18"/>
                      <w:szCs w:val="18"/>
                    </w:rPr>
                    <w:t>TDS</w:t>
                  </w:r>
                </w:p>
              </w:tc>
              <w:tc>
                <w:tcPr>
                  <w:tcW w:w="238" w:type="dxa"/>
                  <w:vMerge w:val="continue"/>
                  <w:vAlign w:val="center"/>
                </w:tcPr>
                <w:p w14:paraId="409551EB">
                  <w:pPr>
                    <w:adjustRightInd w:val="0"/>
                    <w:snapToGrid w:val="0"/>
                    <w:jc w:val="center"/>
                    <w:rPr>
                      <w:sz w:val="18"/>
                      <w:szCs w:val="18"/>
                    </w:rPr>
                  </w:pPr>
                </w:p>
              </w:tc>
              <w:tc>
                <w:tcPr>
                  <w:tcW w:w="736" w:type="dxa"/>
                  <w:vMerge w:val="continue"/>
                  <w:vAlign w:val="center"/>
                </w:tcPr>
                <w:p w14:paraId="3B747F42">
                  <w:pPr>
                    <w:adjustRightInd w:val="0"/>
                    <w:snapToGrid w:val="0"/>
                    <w:jc w:val="center"/>
                    <w:rPr>
                      <w:sz w:val="18"/>
                      <w:szCs w:val="18"/>
                    </w:rPr>
                  </w:pPr>
                </w:p>
              </w:tc>
              <w:tc>
                <w:tcPr>
                  <w:tcW w:w="769" w:type="dxa"/>
                  <w:vAlign w:val="center"/>
                </w:tcPr>
                <w:p w14:paraId="7F42ED7A">
                  <w:pPr>
                    <w:adjustRightInd w:val="0"/>
                    <w:snapToGrid w:val="0"/>
                    <w:jc w:val="center"/>
                    <w:rPr>
                      <w:sz w:val="18"/>
                      <w:szCs w:val="18"/>
                    </w:rPr>
                  </w:pPr>
                  <w:r>
                    <w:rPr>
                      <w:sz w:val="18"/>
                      <w:szCs w:val="18"/>
                    </w:rPr>
                    <w:t>1200</w:t>
                  </w:r>
                </w:p>
              </w:tc>
              <w:tc>
                <w:tcPr>
                  <w:tcW w:w="585" w:type="dxa"/>
                  <w:vAlign w:val="center"/>
                </w:tcPr>
                <w:p w14:paraId="459D4DBE">
                  <w:pPr>
                    <w:adjustRightInd w:val="0"/>
                    <w:snapToGrid w:val="0"/>
                    <w:jc w:val="center"/>
                    <w:rPr>
                      <w:sz w:val="18"/>
                      <w:szCs w:val="18"/>
                    </w:rPr>
                  </w:pPr>
                  <w:r>
                    <w:rPr>
                      <w:rFonts w:hint="eastAsia"/>
                      <w:sz w:val="18"/>
                      <w:szCs w:val="18"/>
                    </w:rPr>
                    <w:t>0.98</w:t>
                  </w:r>
                </w:p>
              </w:tc>
              <w:tc>
                <w:tcPr>
                  <w:tcW w:w="440" w:type="dxa"/>
                  <w:vMerge w:val="continue"/>
                  <w:vAlign w:val="center"/>
                </w:tcPr>
                <w:p w14:paraId="3EBC4592">
                  <w:pPr>
                    <w:adjustRightInd w:val="0"/>
                    <w:snapToGrid w:val="0"/>
                    <w:jc w:val="center"/>
                    <w:rPr>
                      <w:sz w:val="18"/>
                      <w:szCs w:val="18"/>
                    </w:rPr>
                  </w:pPr>
                </w:p>
              </w:tc>
              <w:tc>
                <w:tcPr>
                  <w:tcW w:w="544" w:type="dxa"/>
                  <w:vAlign w:val="center"/>
                </w:tcPr>
                <w:p w14:paraId="57C5B9D2">
                  <w:pPr>
                    <w:adjustRightInd w:val="0"/>
                    <w:snapToGrid w:val="0"/>
                    <w:jc w:val="center"/>
                    <w:rPr>
                      <w:sz w:val="18"/>
                      <w:szCs w:val="18"/>
                    </w:rPr>
                  </w:pPr>
                  <w:r>
                    <w:rPr>
                      <w:sz w:val="18"/>
                      <w:szCs w:val="18"/>
                    </w:rPr>
                    <w:t>/</w:t>
                  </w:r>
                </w:p>
              </w:tc>
              <w:tc>
                <w:tcPr>
                  <w:tcW w:w="238" w:type="dxa"/>
                  <w:vMerge w:val="continue"/>
                  <w:vAlign w:val="center"/>
                </w:tcPr>
                <w:p w14:paraId="57768794">
                  <w:pPr>
                    <w:adjustRightInd w:val="0"/>
                    <w:snapToGrid w:val="0"/>
                    <w:jc w:val="center"/>
                    <w:rPr>
                      <w:sz w:val="18"/>
                      <w:szCs w:val="18"/>
                    </w:rPr>
                  </w:pPr>
                </w:p>
              </w:tc>
              <w:tc>
                <w:tcPr>
                  <w:tcW w:w="629" w:type="dxa"/>
                  <w:vMerge w:val="continue"/>
                  <w:vAlign w:val="center"/>
                </w:tcPr>
                <w:p w14:paraId="793C0DE2">
                  <w:pPr>
                    <w:adjustRightInd w:val="0"/>
                    <w:snapToGrid w:val="0"/>
                    <w:jc w:val="center"/>
                    <w:rPr>
                      <w:sz w:val="18"/>
                      <w:szCs w:val="18"/>
                    </w:rPr>
                  </w:pPr>
                </w:p>
              </w:tc>
              <w:tc>
                <w:tcPr>
                  <w:tcW w:w="667" w:type="dxa"/>
                  <w:vAlign w:val="center"/>
                </w:tcPr>
                <w:p w14:paraId="0FED7E22">
                  <w:pPr>
                    <w:adjustRightInd w:val="0"/>
                    <w:snapToGrid w:val="0"/>
                    <w:jc w:val="center"/>
                    <w:rPr>
                      <w:sz w:val="18"/>
                      <w:szCs w:val="18"/>
                    </w:rPr>
                  </w:pPr>
                  <w:r>
                    <w:rPr>
                      <w:sz w:val="18"/>
                      <w:szCs w:val="18"/>
                    </w:rPr>
                    <w:t>/</w:t>
                  </w:r>
                </w:p>
              </w:tc>
              <w:tc>
                <w:tcPr>
                  <w:tcW w:w="491" w:type="dxa"/>
                  <w:vAlign w:val="center"/>
                </w:tcPr>
                <w:p w14:paraId="250C888A">
                  <w:pPr>
                    <w:adjustRightInd w:val="0"/>
                    <w:snapToGrid w:val="0"/>
                    <w:jc w:val="center"/>
                    <w:rPr>
                      <w:sz w:val="18"/>
                      <w:szCs w:val="18"/>
                    </w:rPr>
                  </w:pPr>
                  <w:r>
                    <w:rPr>
                      <w:sz w:val="18"/>
                      <w:szCs w:val="18"/>
                    </w:rPr>
                    <w:t>/</w:t>
                  </w:r>
                </w:p>
              </w:tc>
              <w:tc>
                <w:tcPr>
                  <w:tcW w:w="558" w:type="dxa"/>
                  <w:vMerge w:val="continue"/>
                  <w:vAlign w:val="center"/>
                </w:tcPr>
                <w:p w14:paraId="6CDED3B9">
                  <w:pPr>
                    <w:adjustRightInd w:val="0"/>
                    <w:snapToGrid w:val="0"/>
                    <w:jc w:val="center"/>
                    <w:rPr>
                      <w:sz w:val="18"/>
                      <w:szCs w:val="18"/>
                    </w:rPr>
                  </w:pPr>
                </w:p>
              </w:tc>
            </w:tr>
            <w:tr w14:paraId="2761A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6" w:hRule="atLeast"/>
                <w:jc w:val="center"/>
              </w:trPr>
              <w:tc>
                <w:tcPr>
                  <w:tcW w:w="471" w:type="dxa"/>
                  <w:vMerge w:val="restart"/>
                  <w:vAlign w:val="center"/>
                </w:tcPr>
                <w:p w14:paraId="6A1EDBAC">
                  <w:pPr>
                    <w:adjustRightInd w:val="0"/>
                    <w:snapToGrid w:val="0"/>
                    <w:jc w:val="center"/>
                    <w:rPr>
                      <w:sz w:val="18"/>
                      <w:szCs w:val="18"/>
                    </w:rPr>
                  </w:pPr>
                  <w:r>
                    <w:rPr>
                      <w:sz w:val="18"/>
                      <w:szCs w:val="18"/>
                    </w:rPr>
                    <w:t>生活污水</w:t>
                  </w:r>
                  <w:r>
                    <w:rPr>
                      <w:rFonts w:hint="eastAsia"/>
                      <w:sz w:val="18"/>
                      <w:szCs w:val="18"/>
                    </w:rPr>
                    <w:t>（含餐饮废水</w:t>
                  </w:r>
                  <w:r>
                    <w:rPr>
                      <w:rFonts w:hint="eastAsia"/>
                      <w:bCs/>
                      <w:spacing w:val="-10"/>
                    </w:rPr>
                    <w:t>）</w:t>
                  </w:r>
                </w:p>
              </w:tc>
              <w:tc>
                <w:tcPr>
                  <w:tcW w:w="490" w:type="dxa"/>
                  <w:vMerge w:val="restart"/>
                  <w:vAlign w:val="center"/>
                </w:tcPr>
                <w:p w14:paraId="3CDE36E4">
                  <w:pPr>
                    <w:adjustRightInd w:val="0"/>
                    <w:snapToGrid w:val="0"/>
                    <w:jc w:val="center"/>
                    <w:rPr>
                      <w:sz w:val="18"/>
                      <w:szCs w:val="18"/>
                    </w:rPr>
                  </w:pPr>
                  <w:r>
                    <w:rPr>
                      <w:rFonts w:hint="eastAsia"/>
                      <w:sz w:val="18"/>
                      <w:szCs w:val="18"/>
                    </w:rPr>
                    <w:t>生活</w:t>
                  </w:r>
                </w:p>
              </w:tc>
              <w:tc>
                <w:tcPr>
                  <w:tcW w:w="515" w:type="dxa"/>
                  <w:vAlign w:val="center"/>
                </w:tcPr>
                <w:p w14:paraId="33ECA7C3">
                  <w:pPr>
                    <w:adjustRightInd w:val="0"/>
                    <w:snapToGrid w:val="0"/>
                    <w:jc w:val="center"/>
                    <w:rPr>
                      <w:sz w:val="18"/>
                      <w:szCs w:val="18"/>
                    </w:rPr>
                  </w:pPr>
                  <w:r>
                    <w:rPr>
                      <w:sz w:val="18"/>
                      <w:szCs w:val="18"/>
                    </w:rPr>
                    <w:t>COD</w:t>
                  </w:r>
                </w:p>
              </w:tc>
              <w:tc>
                <w:tcPr>
                  <w:tcW w:w="238" w:type="dxa"/>
                  <w:vMerge w:val="restart"/>
                  <w:vAlign w:val="center"/>
                </w:tcPr>
                <w:p w14:paraId="18ECC300">
                  <w:pPr>
                    <w:adjustRightInd w:val="0"/>
                    <w:snapToGrid w:val="0"/>
                    <w:jc w:val="center"/>
                    <w:rPr>
                      <w:sz w:val="18"/>
                      <w:szCs w:val="18"/>
                    </w:rPr>
                  </w:pPr>
                  <w:r>
                    <w:rPr>
                      <w:rFonts w:hint="eastAsia"/>
                      <w:sz w:val="18"/>
                      <w:szCs w:val="18"/>
                    </w:rPr>
                    <w:t>类比法</w:t>
                  </w:r>
                </w:p>
              </w:tc>
              <w:tc>
                <w:tcPr>
                  <w:tcW w:w="736" w:type="dxa"/>
                  <w:vMerge w:val="restart"/>
                  <w:vAlign w:val="center"/>
                </w:tcPr>
                <w:p w14:paraId="4E01A4B3">
                  <w:pPr>
                    <w:adjustRightInd w:val="0"/>
                    <w:snapToGrid w:val="0"/>
                    <w:jc w:val="center"/>
                    <w:rPr>
                      <w:sz w:val="18"/>
                      <w:szCs w:val="18"/>
                    </w:rPr>
                  </w:pPr>
                  <w:r>
                    <w:rPr>
                      <w:rFonts w:hint="eastAsia"/>
                      <w:sz w:val="18"/>
                      <w:szCs w:val="18"/>
                    </w:rPr>
                    <w:t>41172</w:t>
                  </w:r>
                </w:p>
              </w:tc>
              <w:tc>
                <w:tcPr>
                  <w:tcW w:w="769" w:type="dxa"/>
                  <w:vAlign w:val="center"/>
                </w:tcPr>
                <w:p w14:paraId="30184EBB">
                  <w:pPr>
                    <w:adjustRightInd w:val="0"/>
                    <w:snapToGrid w:val="0"/>
                    <w:jc w:val="center"/>
                    <w:rPr>
                      <w:sz w:val="18"/>
                      <w:szCs w:val="18"/>
                    </w:rPr>
                  </w:pPr>
                  <w:r>
                    <w:rPr>
                      <w:rFonts w:hint="eastAsia"/>
                      <w:sz w:val="18"/>
                      <w:szCs w:val="18"/>
                    </w:rPr>
                    <w:t>300</w:t>
                  </w:r>
                </w:p>
              </w:tc>
              <w:tc>
                <w:tcPr>
                  <w:tcW w:w="585" w:type="dxa"/>
                  <w:vAlign w:val="center"/>
                </w:tcPr>
                <w:p w14:paraId="2F911E65">
                  <w:pPr>
                    <w:adjustRightInd w:val="0"/>
                    <w:snapToGrid w:val="0"/>
                    <w:jc w:val="center"/>
                    <w:rPr>
                      <w:sz w:val="18"/>
                      <w:szCs w:val="18"/>
                    </w:rPr>
                  </w:pPr>
                  <w:r>
                    <w:rPr>
                      <w:rFonts w:hint="eastAsia"/>
                      <w:sz w:val="18"/>
                      <w:szCs w:val="18"/>
                    </w:rPr>
                    <w:t>12.35</w:t>
                  </w:r>
                </w:p>
              </w:tc>
              <w:tc>
                <w:tcPr>
                  <w:tcW w:w="440" w:type="dxa"/>
                  <w:vMerge w:val="restart"/>
                  <w:vAlign w:val="center"/>
                </w:tcPr>
                <w:p w14:paraId="6D47E6F3">
                  <w:pPr>
                    <w:adjustRightInd w:val="0"/>
                    <w:snapToGrid w:val="0"/>
                    <w:jc w:val="center"/>
                    <w:rPr>
                      <w:sz w:val="18"/>
                      <w:szCs w:val="18"/>
                    </w:rPr>
                  </w:pPr>
                  <w:r>
                    <w:rPr>
                      <w:sz w:val="18"/>
                      <w:szCs w:val="18"/>
                    </w:rPr>
                    <w:t>餐饮废水经隔油池预处理后与生活污水一同排入污水管网</w:t>
                  </w:r>
                </w:p>
              </w:tc>
              <w:tc>
                <w:tcPr>
                  <w:tcW w:w="544" w:type="dxa"/>
                  <w:vAlign w:val="center"/>
                </w:tcPr>
                <w:p w14:paraId="7A73E572">
                  <w:pPr>
                    <w:adjustRightInd w:val="0"/>
                    <w:snapToGrid w:val="0"/>
                    <w:jc w:val="center"/>
                    <w:rPr>
                      <w:sz w:val="18"/>
                      <w:szCs w:val="18"/>
                    </w:rPr>
                  </w:pPr>
                  <w:r>
                    <w:rPr>
                      <w:sz w:val="18"/>
                      <w:szCs w:val="18"/>
                    </w:rPr>
                    <w:t>/</w:t>
                  </w:r>
                </w:p>
              </w:tc>
              <w:tc>
                <w:tcPr>
                  <w:tcW w:w="238" w:type="dxa"/>
                  <w:vMerge w:val="restart"/>
                  <w:vAlign w:val="center"/>
                </w:tcPr>
                <w:p w14:paraId="4B363947">
                  <w:pPr>
                    <w:adjustRightInd w:val="0"/>
                    <w:snapToGrid w:val="0"/>
                    <w:jc w:val="center"/>
                    <w:rPr>
                      <w:sz w:val="18"/>
                      <w:szCs w:val="18"/>
                    </w:rPr>
                  </w:pPr>
                  <w:r>
                    <w:rPr>
                      <w:rFonts w:hint="eastAsia"/>
                      <w:sz w:val="18"/>
                      <w:szCs w:val="18"/>
                    </w:rPr>
                    <w:t>类比法</w:t>
                  </w:r>
                </w:p>
              </w:tc>
              <w:tc>
                <w:tcPr>
                  <w:tcW w:w="629" w:type="dxa"/>
                  <w:vMerge w:val="restart"/>
                  <w:vAlign w:val="center"/>
                </w:tcPr>
                <w:p w14:paraId="7A404429">
                  <w:pPr>
                    <w:adjustRightInd w:val="0"/>
                    <w:snapToGrid w:val="0"/>
                    <w:jc w:val="center"/>
                    <w:rPr>
                      <w:sz w:val="18"/>
                      <w:szCs w:val="18"/>
                    </w:rPr>
                  </w:pPr>
                  <w:r>
                    <w:rPr>
                      <w:rFonts w:hint="eastAsia"/>
                      <w:sz w:val="18"/>
                      <w:szCs w:val="18"/>
                    </w:rPr>
                    <w:t>41172</w:t>
                  </w:r>
                </w:p>
              </w:tc>
              <w:tc>
                <w:tcPr>
                  <w:tcW w:w="667" w:type="dxa"/>
                  <w:vAlign w:val="center"/>
                </w:tcPr>
                <w:p w14:paraId="0E83E444">
                  <w:pPr>
                    <w:adjustRightInd w:val="0"/>
                    <w:snapToGrid w:val="0"/>
                    <w:jc w:val="center"/>
                    <w:rPr>
                      <w:sz w:val="18"/>
                      <w:szCs w:val="18"/>
                    </w:rPr>
                  </w:pPr>
                  <w:r>
                    <w:rPr>
                      <w:rFonts w:hint="eastAsia"/>
                      <w:sz w:val="18"/>
                      <w:szCs w:val="18"/>
                    </w:rPr>
                    <w:t>300</w:t>
                  </w:r>
                </w:p>
              </w:tc>
              <w:tc>
                <w:tcPr>
                  <w:tcW w:w="491" w:type="dxa"/>
                  <w:vAlign w:val="center"/>
                </w:tcPr>
                <w:p w14:paraId="74D8B27B">
                  <w:pPr>
                    <w:adjustRightInd w:val="0"/>
                    <w:snapToGrid w:val="0"/>
                    <w:jc w:val="center"/>
                    <w:rPr>
                      <w:sz w:val="18"/>
                      <w:szCs w:val="18"/>
                    </w:rPr>
                  </w:pPr>
                  <w:r>
                    <w:rPr>
                      <w:rFonts w:hint="eastAsia"/>
                      <w:sz w:val="18"/>
                      <w:szCs w:val="18"/>
                    </w:rPr>
                    <w:t>12.35</w:t>
                  </w:r>
                </w:p>
              </w:tc>
              <w:tc>
                <w:tcPr>
                  <w:tcW w:w="558" w:type="dxa"/>
                  <w:vMerge w:val="restart"/>
                  <w:vAlign w:val="center"/>
                </w:tcPr>
                <w:p w14:paraId="38441836">
                  <w:pPr>
                    <w:adjustRightInd w:val="0"/>
                    <w:snapToGrid w:val="0"/>
                    <w:jc w:val="center"/>
                    <w:rPr>
                      <w:sz w:val="18"/>
                      <w:szCs w:val="18"/>
                    </w:rPr>
                  </w:pPr>
                  <w:r>
                    <w:rPr>
                      <w:rFonts w:hint="eastAsia"/>
                      <w:sz w:val="18"/>
                      <w:szCs w:val="18"/>
                    </w:rPr>
                    <w:t>8760</w:t>
                  </w:r>
                </w:p>
              </w:tc>
            </w:tr>
            <w:tr w14:paraId="32394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6" w:hRule="atLeast"/>
                <w:jc w:val="center"/>
              </w:trPr>
              <w:tc>
                <w:tcPr>
                  <w:tcW w:w="471" w:type="dxa"/>
                  <w:vMerge w:val="continue"/>
                  <w:vAlign w:val="center"/>
                </w:tcPr>
                <w:p w14:paraId="6994B4D4">
                  <w:pPr>
                    <w:adjustRightInd w:val="0"/>
                    <w:snapToGrid w:val="0"/>
                    <w:jc w:val="center"/>
                    <w:rPr>
                      <w:sz w:val="18"/>
                      <w:szCs w:val="18"/>
                    </w:rPr>
                  </w:pPr>
                </w:p>
              </w:tc>
              <w:tc>
                <w:tcPr>
                  <w:tcW w:w="490" w:type="dxa"/>
                  <w:vMerge w:val="continue"/>
                  <w:vAlign w:val="center"/>
                </w:tcPr>
                <w:p w14:paraId="08EA11FE">
                  <w:pPr>
                    <w:adjustRightInd w:val="0"/>
                    <w:snapToGrid w:val="0"/>
                    <w:jc w:val="center"/>
                    <w:rPr>
                      <w:sz w:val="18"/>
                      <w:szCs w:val="18"/>
                    </w:rPr>
                  </w:pPr>
                </w:p>
              </w:tc>
              <w:tc>
                <w:tcPr>
                  <w:tcW w:w="515" w:type="dxa"/>
                  <w:vAlign w:val="center"/>
                </w:tcPr>
                <w:p w14:paraId="16C1031C">
                  <w:pPr>
                    <w:adjustRightInd w:val="0"/>
                    <w:snapToGrid w:val="0"/>
                    <w:jc w:val="center"/>
                    <w:rPr>
                      <w:sz w:val="18"/>
                      <w:szCs w:val="18"/>
                    </w:rPr>
                  </w:pPr>
                  <w:r>
                    <w:rPr>
                      <w:rFonts w:hint="eastAsia"/>
                      <w:sz w:val="18"/>
                      <w:szCs w:val="18"/>
                    </w:rPr>
                    <w:t>氨氮</w:t>
                  </w:r>
                </w:p>
              </w:tc>
              <w:tc>
                <w:tcPr>
                  <w:tcW w:w="238" w:type="dxa"/>
                  <w:vMerge w:val="continue"/>
                  <w:vAlign w:val="center"/>
                </w:tcPr>
                <w:p w14:paraId="05A107BE">
                  <w:pPr>
                    <w:adjustRightInd w:val="0"/>
                    <w:snapToGrid w:val="0"/>
                    <w:jc w:val="center"/>
                    <w:rPr>
                      <w:sz w:val="18"/>
                      <w:szCs w:val="18"/>
                    </w:rPr>
                  </w:pPr>
                </w:p>
              </w:tc>
              <w:tc>
                <w:tcPr>
                  <w:tcW w:w="736" w:type="dxa"/>
                  <w:vMerge w:val="continue"/>
                  <w:vAlign w:val="center"/>
                </w:tcPr>
                <w:p w14:paraId="0DB2AAD7">
                  <w:pPr>
                    <w:adjustRightInd w:val="0"/>
                    <w:snapToGrid w:val="0"/>
                    <w:jc w:val="center"/>
                    <w:rPr>
                      <w:sz w:val="18"/>
                      <w:szCs w:val="18"/>
                    </w:rPr>
                  </w:pPr>
                </w:p>
              </w:tc>
              <w:tc>
                <w:tcPr>
                  <w:tcW w:w="769" w:type="dxa"/>
                  <w:vAlign w:val="center"/>
                </w:tcPr>
                <w:p w14:paraId="1A50B108">
                  <w:pPr>
                    <w:adjustRightInd w:val="0"/>
                    <w:snapToGrid w:val="0"/>
                    <w:jc w:val="center"/>
                    <w:rPr>
                      <w:sz w:val="18"/>
                      <w:szCs w:val="18"/>
                    </w:rPr>
                  </w:pPr>
                  <w:r>
                    <w:rPr>
                      <w:rFonts w:hint="eastAsia"/>
                      <w:sz w:val="18"/>
                      <w:szCs w:val="18"/>
                    </w:rPr>
                    <w:t>30</w:t>
                  </w:r>
                </w:p>
              </w:tc>
              <w:tc>
                <w:tcPr>
                  <w:tcW w:w="585" w:type="dxa"/>
                  <w:vAlign w:val="center"/>
                </w:tcPr>
                <w:p w14:paraId="24A438DB">
                  <w:pPr>
                    <w:adjustRightInd w:val="0"/>
                    <w:snapToGrid w:val="0"/>
                    <w:jc w:val="center"/>
                    <w:rPr>
                      <w:sz w:val="18"/>
                      <w:szCs w:val="18"/>
                    </w:rPr>
                  </w:pPr>
                  <w:r>
                    <w:rPr>
                      <w:rFonts w:hint="eastAsia"/>
                      <w:sz w:val="18"/>
                      <w:szCs w:val="18"/>
                    </w:rPr>
                    <w:t>1.24</w:t>
                  </w:r>
                </w:p>
              </w:tc>
              <w:tc>
                <w:tcPr>
                  <w:tcW w:w="440" w:type="dxa"/>
                  <w:vMerge w:val="continue"/>
                  <w:vAlign w:val="center"/>
                </w:tcPr>
                <w:p w14:paraId="4B25DED5">
                  <w:pPr>
                    <w:adjustRightInd w:val="0"/>
                    <w:snapToGrid w:val="0"/>
                    <w:jc w:val="center"/>
                    <w:rPr>
                      <w:sz w:val="18"/>
                      <w:szCs w:val="18"/>
                    </w:rPr>
                  </w:pPr>
                </w:p>
              </w:tc>
              <w:tc>
                <w:tcPr>
                  <w:tcW w:w="544" w:type="dxa"/>
                  <w:vAlign w:val="center"/>
                </w:tcPr>
                <w:p w14:paraId="06E270D7">
                  <w:pPr>
                    <w:adjustRightInd w:val="0"/>
                    <w:snapToGrid w:val="0"/>
                    <w:jc w:val="center"/>
                    <w:rPr>
                      <w:sz w:val="18"/>
                      <w:szCs w:val="18"/>
                    </w:rPr>
                  </w:pPr>
                  <w:r>
                    <w:rPr>
                      <w:sz w:val="18"/>
                      <w:szCs w:val="18"/>
                    </w:rPr>
                    <w:t>/</w:t>
                  </w:r>
                </w:p>
              </w:tc>
              <w:tc>
                <w:tcPr>
                  <w:tcW w:w="238" w:type="dxa"/>
                  <w:vMerge w:val="continue"/>
                  <w:vAlign w:val="center"/>
                </w:tcPr>
                <w:p w14:paraId="380FAB51">
                  <w:pPr>
                    <w:adjustRightInd w:val="0"/>
                    <w:snapToGrid w:val="0"/>
                    <w:jc w:val="center"/>
                    <w:rPr>
                      <w:sz w:val="18"/>
                      <w:szCs w:val="18"/>
                    </w:rPr>
                  </w:pPr>
                </w:p>
              </w:tc>
              <w:tc>
                <w:tcPr>
                  <w:tcW w:w="629" w:type="dxa"/>
                  <w:vMerge w:val="continue"/>
                  <w:vAlign w:val="center"/>
                </w:tcPr>
                <w:p w14:paraId="4C2C19A4">
                  <w:pPr>
                    <w:adjustRightInd w:val="0"/>
                    <w:snapToGrid w:val="0"/>
                    <w:jc w:val="center"/>
                    <w:rPr>
                      <w:sz w:val="18"/>
                      <w:szCs w:val="18"/>
                    </w:rPr>
                  </w:pPr>
                </w:p>
              </w:tc>
              <w:tc>
                <w:tcPr>
                  <w:tcW w:w="667" w:type="dxa"/>
                  <w:vAlign w:val="center"/>
                </w:tcPr>
                <w:p w14:paraId="52E092E7">
                  <w:pPr>
                    <w:adjustRightInd w:val="0"/>
                    <w:snapToGrid w:val="0"/>
                    <w:jc w:val="center"/>
                    <w:rPr>
                      <w:sz w:val="18"/>
                      <w:szCs w:val="18"/>
                    </w:rPr>
                  </w:pPr>
                  <w:r>
                    <w:rPr>
                      <w:rFonts w:hint="eastAsia"/>
                      <w:sz w:val="18"/>
                      <w:szCs w:val="18"/>
                    </w:rPr>
                    <w:t>30</w:t>
                  </w:r>
                </w:p>
              </w:tc>
              <w:tc>
                <w:tcPr>
                  <w:tcW w:w="491" w:type="dxa"/>
                  <w:vAlign w:val="center"/>
                </w:tcPr>
                <w:p w14:paraId="0C707818">
                  <w:pPr>
                    <w:adjustRightInd w:val="0"/>
                    <w:snapToGrid w:val="0"/>
                    <w:jc w:val="center"/>
                    <w:rPr>
                      <w:sz w:val="18"/>
                      <w:szCs w:val="18"/>
                    </w:rPr>
                  </w:pPr>
                  <w:r>
                    <w:rPr>
                      <w:rFonts w:hint="eastAsia"/>
                      <w:sz w:val="18"/>
                      <w:szCs w:val="18"/>
                    </w:rPr>
                    <w:t>1.24</w:t>
                  </w:r>
                </w:p>
              </w:tc>
              <w:tc>
                <w:tcPr>
                  <w:tcW w:w="558" w:type="dxa"/>
                  <w:vMerge w:val="continue"/>
                  <w:vAlign w:val="center"/>
                </w:tcPr>
                <w:p w14:paraId="51BBF1D5">
                  <w:pPr>
                    <w:adjustRightInd w:val="0"/>
                    <w:snapToGrid w:val="0"/>
                    <w:jc w:val="center"/>
                    <w:rPr>
                      <w:sz w:val="18"/>
                      <w:szCs w:val="18"/>
                    </w:rPr>
                  </w:pPr>
                </w:p>
              </w:tc>
            </w:tr>
            <w:tr w14:paraId="7EABEA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66" w:hRule="atLeast"/>
                <w:jc w:val="center"/>
              </w:trPr>
              <w:tc>
                <w:tcPr>
                  <w:tcW w:w="471" w:type="dxa"/>
                  <w:vMerge w:val="continue"/>
                  <w:vAlign w:val="center"/>
                </w:tcPr>
                <w:p w14:paraId="5B30EA3B">
                  <w:pPr>
                    <w:adjustRightInd w:val="0"/>
                    <w:snapToGrid w:val="0"/>
                    <w:jc w:val="center"/>
                    <w:rPr>
                      <w:sz w:val="18"/>
                      <w:szCs w:val="18"/>
                    </w:rPr>
                  </w:pPr>
                </w:p>
              </w:tc>
              <w:tc>
                <w:tcPr>
                  <w:tcW w:w="490" w:type="dxa"/>
                  <w:vMerge w:val="continue"/>
                  <w:vAlign w:val="center"/>
                </w:tcPr>
                <w:p w14:paraId="7E96C57A">
                  <w:pPr>
                    <w:adjustRightInd w:val="0"/>
                    <w:snapToGrid w:val="0"/>
                    <w:jc w:val="center"/>
                    <w:rPr>
                      <w:sz w:val="18"/>
                      <w:szCs w:val="18"/>
                    </w:rPr>
                  </w:pPr>
                </w:p>
              </w:tc>
              <w:tc>
                <w:tcPr>
                  <w:tcW w:w="515" w:type="dxa"/>
                  <w:vAlign w:val="center"/>
                </w:tcPr>
                <w:p w14:paraId="7922D6AC">
                  <w:pPr>
                    <w:adjustRightInd w:val="0"/>
                    <w:snapToGrid w:val="0"/>
                    <w:jc w:val="center"/>
                    <w:rPr>
                      <w:sz w:val="18"/>
                      <w:szCs w:val="18"/>
                    </w:rPr>
                  </w:pPr>
                  <w:r>
                    <w:rPr>
                      <w:rFonts w:hint="eastAsia"/>
                      <w:sz w:val="18"/>
                      <w:szCs w:val="18"/>
                    </w:rPr>
                    <w:t>动植物油</w:t>
                  </w:r>
                </w:p>
              </w:tc>
              <w:tc>
                <w:tcPr>
                  <w:tcW w:w="238" w:type="dxa"/>
                  <w:vMerge w:val="continue"/>
                  <w:vAlign w:val="center"/>
                </w:tcPr>
                <w:p w14:paraId="48928057">
                  <w:pPr>
                    <w:adjustRightInd w:val="0"/>
                    <w:snapToGrid w:val="0"/>
                    <w:jc w:val="center"/>
                    <w:rPr>
                      <w:sz w:val="18"/>
                      <w:szCs w:val="18"/>
                    </w:rPr>
                  </w:pPr>
                </w:p>
              </w:tc>
              <w:tc>
                <w:tcPr>
                  <w:tcW w:w="736" w:type="dxa"/>
                  <w:vMerge w:val="continue"/>
                  <w:vAlign w:val="center"/>
                </w:tcPr>
                <w:p w14:paraId="37526D30">
                  <w:pPr>
                    <w:adjustRightInd w:val="0"/>
                    <w:snapToGrid w:val="0"/>
                    <w:jc w:val="center"/>
                    <w:rPr>
                      <w:sz w:val="18"/>
                      <w:szCs w:val="18"/>
                    </w:rPr>
                  </w:pPr>
                </w:p>
              </w:tc>
              <w:tc>
                <w:tcPr>
                  <w:tcW w:w="769" w:type="dxa"/>
                  <w:vAlign w:val="center"/>
                </w:tcPr>
                <w:p w14:paraId="70338D45">
                  <w:pPr>
                    <w:adjustRightInd w:val="0"/>
                    <w:snapToGrid w:val="0"/>
                    <w:jc w:val="center"/>
                    <w:rPr>
                      <w:sz w:val="18"/>
                      <w:szCs w:val="18"/>
                    </w:rPr>
                  </w:pPr>
                  <w:r>
                    <w:rPr>
                      <w:rFonts w:hint="eastAsia"/>
                      <w:sz w:val="18"/>
                      <w:szCs w:val="18"/>
                    </w:rPr>
                    <w:t>100</w:t>
                  </w:r>
                </w:p>
              </w:tc>
              <w:tc>
                <w:tcPr>
                  <w:tcW w:w="585" w:type="dxa"/>
                  <w:vAlign w:val="center"/>
                </w:tcPr>
                <w:p w14:paraId="04BF912C">
                  <w:pPr>
                    <w:adjustRightInd w:val="0"/>
                    <w:snapToGrid w:val="0"/>
                    <w:jc w:val="center"/>
                    <w:rPr>
                      <w:sz w:val="18"/>
                      <w:szCs w:val="18"/>
                    </w:rPr>
                  </w:pPr>
                  <w:r>
                    <w:rPr>
                      <w:rFonts w:hint="eastAsia"/>
                      <w:sz w:val="18"/>
                      <w:szCs w:val="18"/>
                    </w:rPr>
                    <w:t>4.12</w:t>
                  </w:r>
                </w:p>
              </w:tc>
              <w:tc>
                <w:tcPr>
                  <w:tcW w:w="440" w:type="dxa"/>
                  <w:vMerge w:val="continue"/>
                  <w:vAlign w:val="center"/>
                </w:tcPr>
                <w:p w14:paraId="4430F743">
                  <w:pPr>
                    <w:adjustRightInd w:val="0"/>
                    <w:snapToGrid w:val="0"/>
                    <w:jc w:val="center"/>
                    <w:rPr>
                      <w:sz w:val="18"/>
                      <w:szCs w:val="18"/>
                    </w:rPr>
                  </w:pPr>
                </w:p>
              </w:tc>
              <w:tc>
                <w:tcPr>
                  <w:tcW w:w="544" w:type="dxa"/>
                  <w:vAlign w:val="center"/>
                </w:tcPr>
                <w:p w14:paraId="258A9A9C">
                  <w:pPr>
                    <w:adjustRightInd w:val="0"/>
                    <w:snapToGrid w:val="0"/>
                    <w:jc w:val="center"/>
                    <w:rPr>
                      <w:sz w:val="18"/>
                      <w:szCs w:val="18"/>
                    </w:rPr>
                  </w:pPr>
                  <w:r>
                    <w:rPr>
                      <w:rFonts w:hint="eastAsia"/>
                      <w:sz w:val="18"/>
                      <w:szCs w:val="18"/>
                    </w:rPr>
                    <w:t>90%</w:t>
                  </w:r>
                </w:p>
              </w:tc>
              <w:tc>
                <w:tcPr>
                  <w:tcW w:w="238" w:type="dxa"/>
                  <w:vMerge w:val="continue"/>
                  <w:vAlign w:val="center"/>
                </w:tcPr>
                <w:p w14:paraId="515A2145">
                  <w:pPr>
                    <w:adjustRightInd w:val="0"/>
                    <w:snapToGrid w:val="0"/>
                    <w:jc w:val="center"/>
                    <w:rPr>
                      <w:sz w:val="18"/>
                      <w:szCs w:val="18"/>
                    </w:rPr>
                  </w:pPr>
                </w:p>
              </w:tc>
              <w:tc>
                <w:tcPr>
                  <w:tcW w:w="629" w:type="dxa"/>
                  <w:vMerge w:val="continue"/>
                  <w:vAlign w:val="center"/>
                </w:tcPr>
                <w:p w14:paraId="09BB42AA">
                  <w:pPr>
                    <w:adjustRightInd w:val="0"/>
                    <w:snapToGrid w:val="0"/>
                    <w:jc w:val="center"/>
                    <w:rPr>
                      <w:sz w:val="18"/>
                      <w:szCs w:val="18"/>
                    </w:rPr>
                  </w:pPr>
                </w:p>
              </w:tc>
              <w:tc>
                <w:tcPr>
                  <w:tcW w:w="667" w:type="dxa"/>
                  <w:vAlign w:val="center"/>
                </w:tcPr>
                <w:p w14:paraId="6FF92B21">
                  <w:pPr>
                    <w:adjustRightInd w:val="0"/>
                    <w:snapToGrid w:val="0"/>
                    <w:jc w:val="center"/>
                    <w:rPr>
                      <w:sz w:val="18"/>
                      <w:szCs w:val="18"/>
                    </w:rPr>
                  </w:pPr>
                  <w:r>
                    <w:rPr>
                      <w:rFonts w:hint="eastAsia"/>
                      <w:sz w:val="18"/>
                      <w:szCs w:val="18"/>
                    </w:rPr>
                    <w:t>10</w:t>
                  </w:r>
                </w:p>
              </w:tc>
              <w:tc>
                <w:tcPr>
                  <w:tcW w:w="491" w:type="dxa"/>
                  <w:vAlign w:val="center"/>
                </w:tcPr>
                <w:p w14:paraId="44F873BE">
                  <w:pPr>
                    <w:adjustRightInd w:val="0"/>
                    <w:snapToGrid w:val="0"/>
                    <w:jc w:val="center"/>
                    <w:rPr>
                      <w:sz w:val="18"/>
                      <w:szCs w:val="18"/>
                    </w:rPr>
                  </w:pPr>
                  <w:r>
                    <w:rPr>
                      <w:rFonts w:hint="eastAsia"/>
                      <w:sz w:val="18"/>
                      <w:szCs w:val="18"/>
                    </w:rPr>
                    <w:t>0.41</w:t>
                  </w:r>
                </w:p>
              </w:tc>
              <w:tc>
                <w:tcPr>
                  <w:tcW w:w="558" w:type="dxa"/>
                  <w:vMerge w:val="continue"/>
                  <w:vAlign w:val="center"/>
                </w:tcPr>
                <w:p w14:paraId="0A7D2973">
                  <w:pPr>
                    <w:adjustRightInd w:val="0"/>
                    <w:snapToGrid w:val="0"/>
                    <w:jc w:val="center"/>
                    <w:rPr>
                      <w:sz w:val="18"/>
                      <w:szCs w:val="18"/>
                    </w:rPr>
                  </w:pPr>
                </w:p>
              </w:tc>
            </w:tr>
          </w:tbl>
          <w:p w14:paraId="1D73146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废水类别、污染物及污染治理设施信息详见表4-</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，废水间接排放口基本情况表见表4-</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w:t>
            </w:r>
          </w:p>
          <w:p w14:paraId="62E29BB7">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10</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废水类别、污染物及污染治理设施信息表</w:t>
            </w:r>
          </w:p>
          <w:tbl>
            <w:tblPr>
              <w:tblStyle w:val="19"/>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14"/>
              <w:gridCol w:w="608"/>
              <w:gridCol w:w="779"/>
              <w:gridCol w:w="462"/>
              <w:gridCol w:w="740"/>
              <w:gridCol w:w="702"/>
              <w:gridCol w:w="701"/>
              <w:gridCol w:w="653"/>
              <w:gridCol w:w="411"/>
              <w:gridCol w:w="744"/>
              <w:gridCol w:w="1449"/>
            </w:tblGrid>
            <w:tr w14:paraId="192BD2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32" w:hRule="atLeast"/>
                <w:jc w:val="center"/>
              </w:trPr>
              <w:tc>
                <w:tcPr>
                  <w:tcW w:w="420" w:type="dxa"/>
                  <w:vMerge w:val="restart"/>
                  <w:tcBorders>
                    <w:top w:val="single" w:color="000000" w:sz="12" w:space="0"/>
                    <w:left w:val="nil"/>
                    <w:bottom w:val="single" w:color="000000" w:sz="4" w:space="0"/>
                    <w:right w:val="single" w:color="000000" w:sz="4" w:space="0"/>
                  </w:tcBorders>
                  <w:vAlign w:val="center"/>
                </w:tcPr>
                <w:p w14:paraId="2A7CB5B1">
                  <w:pPr>
                    <w:pStyle w:val="43"/>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73" w:type="dxa"/>
                  <w:vMerge w:val="restart"/>
                  <w:tcBorders>
                    <w:top w:val="single" w:color="000000" w:sz="12" w:space="0"/>
                    <w:left w:val="single" w:color="000000" w:sz="4" w:space="0"/>
                    <w:bottom w:val="single" w:color="000000" w:sz="4" w:space="0"/>
                    <w:right w:val="single" w:color="000000" w:sz="4" w:space="0"/>
                  </w:tcBorders>
                  <w:vAlign w:val="center"/>
                </w:tcPr>
                <w:p w14:paraId="0D530498">
                  <w:pPr>
                    <w:pStyle w:val="43"/>
                    <w:rPr>
                      <w:color w:val="000000" w:themeColor="text1"/>
                      <w14:textFill>
                        <w14:solidFill>
                          <w14:schemeClr w14:val="tx1"/>
                        </w14:solidFill>
                      </w14:textFill>
                    </w:rPr>
                  </w:pPr>
                  <w:r>
                    <w:rPr>
                      <w:color w:val="000000" w:themeColor="text1"/>
                      <w14:textFill>
                        <w14:solidFill>
                          <w14:schemeClr w14:val="tx1"/>
                        </w14:solidFill>
                      </w14:textFill>
                    </w:rPr>
                    <w:t>废水类别</w:t>
                  </w:r>
                </w:p>
              </w:tc>
              <w:tc>
                <w:tcPr>
                  <w:tcW w:w="835" w:type="dxa"/>
                  <w:vMerge w:val="restart"/>
                  <w:tcBorders>
                    <w:top w:val="single" w:color="000000" w:sz="12" w:space="0"/>
                    <w:left w:val="single" w:color="000000" w:sz="4" w:space="0"/>
                    <w:bottom w:val="single" w:color="000000" w:sz="4" w:space="0"/>
                    <w:right w:val="single" w:color="000000" w:sz="4" w:space="0"/>
                  </w:tcBorders>
                  <w:vAlign w:val="center"/>
                </w:tcPr>
                <w:p w14:paraId="44E40506">
                  <w:pPr>
                    <w:pStyle w:val="43"/>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482" w:type="dxa"/>
                  <w:vMerge w:val="restart"/>
                  <w:tcBorders>
                    <w:top w:val="single" w:color="000000" w:sz="12" w:space="0"/>
                    <w:left w:val="single" w:color="000000" w:sz="4" w:space="0"/>
                    <w:bottom w:val="single" w:color="000000" w:sz="4" w:space="0"/>
                    <w:right w:val="single" w:color="000000" w:sz="4" w:space="0"/>
                  </w:tcBorders>
                  <w:vAlign w:val="center"/>
                </w:tcPr>
                <w:p w14:paraId="7AA18DCB">
                  <w:pPr>
                    <w:pStyle w:val="43"/>
                    <w:rPr>
                      <w:color w:val="000000" w:themeColor="text1"/>
                      <w14:textFill>
                        <w14:solidFill>
                          <w14:schemeClr w14:val="tx1"/>
                        </w14:solidFill>
                      </w14:textFill>
                    </w:rPr>
                  </w:pPr>
                  <w:r>
                    <w:rPr>
                      <w:color w:val="000000" w:themeColor="text1"/>
                      <w14:textFill>
                        <w14:solidFill>
                          <w14:schemeClr w14:val="tx1"/>
                        </w14:solidFill>
                      </w14:textFill>
                    </w:rPr>
                    <w:t>排放去向</w:t>
                  </w:r>
                </w:p>
              </w:tc>
              <w:tc>
                <w:tcPr>
                  <w:tcW w:w="790" w:type="dxa"/>
                  <w:vMerge w:val="restart"/>
                  <w:tcBorders>
                    <w:top w:val="single" w:color="000000" w:sz="12" w:space="0"/>
                    <w:left w:val="single" w:color="000000" w:sz="4" w:space="0"/>
                    <w:bottom w:val="single" w:color="000000" w:sz="4" w:space="0"/>
                    <w:right w:val="single" w:color="000000" w:sz="4" w:space="0"/>
                  </w:tcBorders>
                  <w:vAlign w:val="center"/>
                </w:tcPr>
                <w:p w14:paraId="22C9A40D">
                  <w:pPr>
                    <w:pStyle w:val="43"/>
                    <w:rPr>
                      <w:color w:val="000000" w:themeColor="text1"/>
                      <w14:textFill>
                        <w14:solidFill>
                          <w14:schemeClr w14:val="tx1"/>
                        </w14:solidFill>
                      </w14:textFill>
                    </w:rPr>
                  </w:pPr>
                  <w:r>
                    <w:rPr>
                      <w:color w:val="000000" w:themeColor="text1"/>
                      <w14:textFill>
                        <w14:solidFill>
                          <w14:schemeClr w14:val="tx1"/>
                        </w14:solidFill>
                      </w14:textFill>
                    </w:rPr>
                    <w:t>排放规律</w:t>
                  </w:r>
                </w:p>
              </w:tc>
              <w:tc>
                <w:tcPr>
                  <w:tcW w:w="2320" w:type="dxa"/>
                  <w:gridSpan w:val="3"/>
                  <w:tcBorders>
                    <w:top w:val="single" w:color="000000" w:sz="12" w:space="0"/>
                    <w:left w:val="single" w:color="000000" w:sz="4" w:space="0"/>
                    <w:bottom w:val="single" w:color="000000" w:sz="4" w:space="0"/>
                    <w:right w:val="single" w:color="000000" w:sz="4" w:space="0"/>
                  </w:tcBorders>
                  <w:vAlign w:val="center"/>
                </w:tcPr>
                <w:p w14:paraId="2CA75194">
                  <w:pPr>
                    <w:pStyle w:val="43"/>
                    <w:rPr>
                      <w:color w:val="000000" w:themeColor="text1"/>
                      <w14:textFill>
                        <w14:solidFill>
                          <w14:schemeClr w14:val="tx1"/>
                        </w14:solidFill>
                      </w14:textFill>
                    </w:rPr>
                  </w:pPr>
                  <w:r>
                    <w:rPr>
                      <w:color w:val="000000" w:themeColor="text1"/>
                      <w14:textFill>
                        <w14:solidFill>
                          <w14:schemeClr w14:val="tx1"/>
                        </w14:solidFill>
                      </w14:textFill>
                    </w:rPr>
                    <w:t>污染治理设施</w:t>
                  </w:r>
                </w:p>
              </w:tc>
              <w:tc>
                <w:tcPr>
                  <w:tcW w:w="416" w:type="dxa"/>
                  <w:vMerge w:val="restart"/>
                  <w:tcBorders>
                    <w:top w:val="single" w:color="000000" w:sz="12" w:space="0"/>
                    <w:left w:val="single" w:color="000000" w:sz="4" w:space="0"/>
                    <w:bottom w:val="single" w:color="000000" w:sz="4" w:space="0"/>
                    <w:right w:val="single" w:color="000000" w:sz="4" w:space="0"/>
                  </w:tcBorders>
                  <w:vAlign w:val="center"/>
                </w:tcPr>
                <w:p w14:paraId="29F15FDA">
                  <w:pPr>
                    <w:pStyle w:val="43"/>
                    <w:rPr>
                      <w:color w:val="000000" w:themeColor="text1"/>
                      <w14:textFill>
                        <w14:solidFill>
                          <w14:schemeClr w14:val="tx1"/>
                        </w14:solidFill>
                      </w14:textFill>
                    </w:rPr>
                  </w:pPr>
                  <w:r>
                    <w:rPr>
                      <w:color w:val="000000" w:themeColor="text1"/>
                      <w14:textFill>
                        <w14:solidFill>
                          <w14:schemeClr w14:val="tx1"/>
                        </w14:solidFill>
                      </w14:textFill>
                    </w:rPr>
                    <w:t>排放口编号</w:t>
                  </w:r>
                </w:p>
              </w:tc>
              <w:tc>
                <w:tcPr>
                  <w:tcW w:w="850" w:type="dxa"/>
                  <w:vMerge w:val="restart"/>
                  <w:tcBorders>
                    <w:top w:val="single" w:color="000000" w:sz="12" w:space="0"/>
                    <w:left w:val="single" w:color="000000" w:sz="4" w:space="0"/>
                    <w:bottom w:val="single" w:color="000000" w:sz="4" w:space="0"/>
                    <w:right w:val="single" w:color="000000" w:sz="4" w:space="0"/>
                  </w:tcBorders>
                  <w:vAlign w:val="center"/>
                </w:tcPr>
                <w:p w14:paraId="2BF6F3CE">
                  <w:pPr>
                    <w:pStyle w:val="43"/>
                    <w:rPr>
                      <w:color w:val="000000" w:themeColor="text1"/>
                      <w14:textFill>
                        <w14:solidFill>
                          <w14:schemeClr w14:val="tx1"/>
                        </w14:solidFill>
                      </w14:textFill>
                    </w:rPr>
                  </w:pPr>
                  <w:r>
                    <w:rPr>
                      <w:color w:val="000000" w:themeColor="text1"/>
                      <w14:textFill>
                        <w14:solidFill>
                          <w14:schemeClr w14:val="tx1"/>
                        </w14:solidFill>
                      </w14:textFill>
                    </w:rPr>
                    <w:t>排放口设置是否符合要求</w:t>
                  </w:r>
                </w:p>
              </w:tc>
              <w:tc>
                <w:tcPr>
                  <w:tcW w:w="1719" w:type="dxa"/>
                  <w:vMerge w:val="restart"/>
                  <w:tcBorders>
                    <w:top w:val="single" w:color="000000" w:sz="12" w:space="0"/>
                    <w:left w:val="single" w:color="000000" w:sz="4" w:space="0"/>
                    <w:bottom w:val="single" w:color="000000" w:sz="4" w:space="0"/>
                    <w:right w:val="nil"/>
                  </w:tcBorders>
                  <w:vAlign w:val="center"/>
                </w:tcPr>
                <w:p w14:paraId="3BF3F5DC">
                  <w:pPr>
                    <w:pStyle w:val="43"/>
                    <w:rPr>
                      <w:color w:val="000000" w:themeColor="text1"/>
                      <w14:textFill>
                        <w14:solidFill>
                          <w14:schemeClr w14:val="tx1"/>
                        </w14:solidFill>
                      </w14:textFill>
                    </w:rPr>
                  </w:pPr>
                  <w:r>
                    <w:rPr>
                      <w:color w:val="000000" w:themeColor="text1"/>
                      <w14:textFill>
                        <w14:solidFill>
                          <w14:schemeClr w14:val="tx1"/>
                        </w14:solidFill>
                      </w14:textFill>
                    </w:rPr>
                    <w:t>排放口类型</w:t>
                  </w:r>
                </w:p>
              </w:tc>
            </w:tr>
            <w:tr w14:paraId="34CF42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9" w:hRule="atLeast"/>
                <w:jc w:val="center"/>
              </w:trPr>
              <w:tc>
                <w:tcPr>
                  <w:tcW w:w="420" w:type="dxa"/>
                  <w:vMerge w:val="continue"/>
                  <w:tcBorders>
                    <w:top w:val="single" w:color="000000" w:sz="12" w:space="0"/>
                    <w:left w:val="nil"/>
                    <w:bottom w:val="single" w:color="000000" w:sz="4" w:space="0"/>
                    <w:right w:val="single" w:color="000000" w:sz="4" w:space="0"/>
                  </w:tcBorders>
                  <w:vAlign w:val="center"/>
                </w:tcPr>
                <w:p w14:paraId="4135D507">
                  <w:pPr>
                    <w:pStyle w:val="43"/>
                    <w:rPr>
                      <w:color w:val="000000" w:themeColor="text1"/>
                      <w14:textFill>
                        <w14:solidFill>
                          <w14:schemeClr w14:val="tx1"/>
                        </w14:solidFill>
                      </w14:textFill>
                    </w:rPr>
                  </w:pPr>
                </w:p>
              </w:tc>
              <w:tc>
                <w:tcPr>
                  <w:tcW w:w="673" w:type="dxa"/>
                  <w:vMerge w:val="continue"/>
                  <w:tcBorders>
                    <w:top w:val="single" w:color="000000" w:sz="12" w:space="0"/>
                    <w:left w:val="single" w:color="000000" w:sz="4" w:space="0"/>
                    <w:bottom w:val="single" w:color="000000" w:sz="4" w:space="0"/>
                    <w:right w:val="single" w:color="000000" w:sz="4" w:space="0"/>
                  </w:tcBorders>
                  <w:vAlign w:val="center"/>
                </w:tcPr>
                <w:p w14:paraId="493A576B">
                  <w:pPr>
                    <w:pStyle w:val="43"/>
                    <w:rPr>
                      <w:color w:val="000000" w:themeColor="text1"/>
                      <w14:textFill>
                        <w14:solidFill>
                          <w14:schemeClr w14:val="tx1"/>
                        </w14:solidFill>
                      </w14:textFill>
                    </w:rPr>
                  </w:pPr>
                </w:p>
              </w:tc>
              <w:tc>
                <w:tcPr>
                  <w:tcW w:w="835" w:type="dxa"/>
                  <w:vMerge w:val="continue"/>
                  <w:tcBorders>
                    <w:top w:val="single" w:color="000000" w:sz="12" w:space="0"/>
                    <w:left w:val="single" w:color="000000" w:sz="4" w:space="0"/>
                    <w:bottom w:val="single" w:color="000000" w:sz="4" w:space="0"/>
                    <w:right w:val="single" w:color="000000" w:sz="4" w:space="0"/>
                  </w:tcBorders>
                  <w:vAlign w:val="center"/>
                </w:tcPr>
                <w:p w14:paraId="5E387099">
                  <w:pPr>
                    <w:pStyle w:val="43"/>
                    <w:rPr>
                      <w:color w:val="000000" w:themeColor="text1"/>
                      <w14:textFill>
                        <w14:solidFill>
                          <w14:schemeClr w14:val="tx1"/>
                        </w14:solidFill>
                      </w14:textFill>
                    </w:rPr>
                  </w:pPr>
                </w:p>
              </w:tc>
              <w:tc>
                <w:tcPr>
                  <w:tcW w:w="482" w:type="dxa"/>
                  <w:vMerge w:val="continue"/>
                  <w:tcBorders>
                    <w:top w:val="single" w:color="000000" w:sz="12" w:space="0"/>
                    <w:left w:val="single" w:color="000000" w:sz="4" w:space="0"/>
                    <w:bottom w:val="single" w:color="000000" w:sz="4" w:space="0"/>
                    <w:right w:val="single" w:color="000000" w:sz="4" w:space="0"/>
                  </w:tcBorders>
                  <w:vAlign w:val="center"/>
                </w:tcPr>
                <w:p w14:paraId="3644776C">
                  <w:pPr>
                    <w:pStyle w:val="43"/>
                    <w:rPr>
                      <w:color w:val="000000" w:themeColor="text1"/>
                      <w14:textFill>
                        <w14:solidFill>
                          <w14:schemeClr w14:val="tx1"/>
                        </w14:solidFill>
                      </w14:textFill>
                    </w:rPr>
                  </w:pPr>
                </w:p>
              </w:tc>
              <w:tc>
                <w:tcPr>
                  <w:tcW w:w="790" w:type="dxa"/>
                  <w:vMerge w:val="continue"/>
                  <w:tcBorders>
                    <w:top w:val="single" w:color="000000" w:sz="12" w:space="0"/>
                    <w:left w:val="single" w:color="000000" w:sz="4" w:space="0"/>
                    <w:bottom w:val="single" w:color="000000" w:sz="4" w:space="0"/>
                    <w:right w:val="single" w:color="000000" w:sz="4" w:space="0"/>
                  </w:tcBorders>
                  <w:vAlign w:val="center"/>
                </w:tcPr>
                <w:p w14:paraId="7BA63BE7">
                  <w:pPr>
                    <w:pStyle w:val="43"/>
                    <w:rPr>
                      <w:color w:val="000000" w:themeColor="text1"/>
                      <w14:textFill>
                        <w14:solidFill>
                          <w14:schemeClr w14:val="tx1"/>
                        </w14:solidFill>
                      </w14:textFill>
                    </w:rPr>
                  </w:pPr>
                </w:p>
              </w:tc>
              <w:tc>
                <w:tcPr>
                  <w:tcW w:w="795" w:type="dxa"/>
                  <w:tcBorders>
                    <w:top w:val="single" w:color="000000" w:sz="4" w:space="0"/>
                    <w:left w:val="single" w:color="000000" w:sz="4" w:space="0"/>
                    <w:bottom w:val="single" w:color="000000" w:sz="4" w:space="0"/>
                    <w:right w:val="single" w:color="000000" w:sz="4" w:space="0"/>
                  </w:tcBorders>
                  <w:vAlign w:val="center"/>
                </w:tcPr>
                <w:p w14:paraId="33550CAC">
                  <w:pPr>
                    <w:pStyle w:val="43"/>
                    <w:rPr>
                      <w:color w:val="000000" w:themeColor="text1"/>
                      <w14:textFill>
                        <w14:solidFill>
                          <w14:schemeClr w14:val="tx1"/>
                        </w14:solidFill>
                      </w14:textFill>
                    </w:rPr>
                  </w:pPr>
                  <w:r>
                    <w:rPr>
                      <w:color w:val="000000" w:themeColor="text1"/>
                      <w14:textFill>
                        <w14:solidFill>
                          <w14:schemeClr w14:val="tx1"/>
                        </w14:solidFill>
                      </w14:textFill>
                    </w:rPr>
                    <w:t>污染治理设施编号</w:t>
                  </w:r>
                </w:p>
              </w:tc>
              <w:tc>
                <w:tcPr>
                  <w:tcW w:w="794" w:type="dxa"/>
                  <w:tcBorders>
                    <w:top w:val="single" w:color="000000" w:sz="4" w:space="0"/>
                    <w:left w:val="single" w:color="000000" w:sz="4" w:space="0"/>
                    <w:bottom w:val="single" w:color="000000" w:sz="4" w:space="0"/>
                    <w:right w:val="single" w:color="000000" w:sz="4" w:space="0"/>
                  </w:tcBorders>
                  <w:vAlign w:val="center"/>
                </w:tcPr>
                <w:p w14:paraId="60D3F0C8">
                  <w:pPr>
                    <w:pStyle w:val="43"/>
                    <w:rPr>
                      <w:color w:val="000000" w:themeColor="text1"/>
                      <w14:textFill>
                        <w14:solidFill>
                          <w14:schemeClr w14:val="tx1"/>
                        </w14:solidFill>
                      </w14:textFill>
                    </w:rPr>
                  </w:pPr>
                  <w:r>
                    <w:rPr>
                      <w:color w:val="000000" w:themeColor="text1"/>
                      <w14:textFill>
                        <w14:solidFill>
                          <w14:schemeClr w14:val="tx1"/>
                        </w14:solidFill>
                      </w14:textFill>
                    </w:rPr>
                    <w:t>污染治理设施名称</w:t>
                  </w:r>
                </w:p>
              </w:tc>
              <w:tc>
                <w:tcPr>
                  <w:tcW w:w="731" w:type="dxa"/>
                  <w:tcBorders>
                    <w:top w:val="single" w:color="000000" w:sz="4" w:space="0"/>
                    <w:left w:val="single" w:color="000000" w:sz="4" w:space="0"/>
                    <w:bottom w:val="single" w:color="000000" w:sz="4" w:space="0"/>
                    <w:right w:val="single" w:color="000000" w:sz="4" w:space="0"/>
                  </w:tcBorders>
                  <w:vAlign w:val="center"/>
                </w:tcPr>
                <w:p w14:paraId="3DC921BE">
                  <w:pPr>
                    <w:pStyle w:val="43"/>
                    <w:rPr>
                      <w:color w:val="000000" w:themeColor="text1"/>
                      <w14:textFill>
                        <w14:solidFill>
                          <w14:schemeClr w14:val="tx1"/>
                        </w14:solidFill>
                      </w14:textFill>
                    </w:rPr>
                  </w:pPr>
                  <w:r>
                    <w:rPr>
                      <w:color w:val="000000" w:themeColor="text1"/>
                      <w14:textFill>
                        <w14:solidFill>
                          <w14:schemeClr w14:val="tx1"/>
                        </w14:solidFill>
                      </w14:textFill>
                    </w:rPr>
                    <w:t>污染治理设施工艺</w:t>
                  </w:r>
                </w:p>
              </w:tc>
              <w:tc>
                <w:tcPr>
                  <w:tcW w:w="416" w:type="dxa"/>
                  <w:vMerge w:val="continue"/>
                  <w:tcBorders>
                    <w:top w:val="single" w:color="000000" w:sz="12" w:space="0"/>
                    <w:left w:val="single" w:color="000000" w:sz="4" w:space="0"/>
                    <w:bottom w:val="single" w:color="000000" w:sz="4" w:space="0"/>
                    <w:right w:val="single" w:color="000000" w:sz="4" w:space="0"/>
                  </w:tcBorders>
                  <w:vAlign w:val="center"/>
                </w:tcPr>
                <w:p w14:paraId="68203DE1">
                  <w:pPr>
                    <w:pStyle w:val="43"/>
                    <w:rPr>
                      <w:color w:val="000000" w:themeColor="text1"/>
                      <w14:textFill>
                        <w14:solidFill>
                          <w14:schemeClr w14:val="tx1"/>
                        </w14:solidFill>
                      </w14:textFill>
                    </w:rPr>
                  </w:pPr>
                </w:p>
              </w:tc>
              <w:tc>
                <w:tcPr>
                  <w:tcW w:w="850" w:type="dxa"/>
                  <w:vMerge w:val="continue"/>
                  <w:tcBorders>
                    <w:top w:val="single" w:color="000000" w:sz="12" w:space="0"/>
                    <w:left w:val="single" w:color="000000" w:sz="4" w:space="0"/>
                    <w:bottom w:val="single" w:color="000000" w:sz="4" w:space="0"/>
                    <w:right w:val="single" w:color="000000" w:sz="4" w:space="0"/>
                  </w:tcBorders>
                  <w:vAlign w:val="center"/>
                </w:tcPr>
                <w:p w14:paraId="37F2C1FF">
                  <w:pPr>
                    <w:pStyle w:val="43"/>
                    <w:rPr>
                      <w:color w:val="000000" w:themeColor="text1"/>
                      <w14:textFill>
                        <w14:solidFill>
                          <w14:schemeClr w14:val="tx1"/>
                        </w14:solidFill>
                      </w14:textFill>
                    </w:rPr>
                  </w:pPr>
                </w:p>
              </w:tc>
              <w:tc>
                <w:tcPr>
                  <w:tcW w:w="1719" w:type="dxa"/>
                  <w:vMerge w:val="continue"/>
                  <w:tcBorders>
                    <w:top w:val="single" w:color="000000" w:sz="12" w:space="0"/>
                    <w:left w:val="single" w:color="000000" w:sz="4" w:space="0"/>
                    <w:bottom w:val="single" w:color="000000" w:sz="4" w:space="0"/>
                    <w:right w:val="nil"/>
                  </w:tcBorders>
                  <w:vAlign w:val="center"/>
                </w:tcPr>
                <w:p w14:paraId="770924A2">
                  <w:pPr>
                    <w:pStyle w:val="43"/>
                    <w:rPr>
                      <w:color w:val="000000" w:themeColor="text1"/>
                      <w14:textFill>
                        <w14:solidFill>
                          <w14:schemeClr w14:val="tx1"/>
                        </w14:solidFill>
                      </w14:textFill>
                    </w:rPr>
                  </w:pPr>
                </w:p>
              </w:tc>
            </w:tr>
            <w:tr w14:paraId="772B9A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 w:hRule="atLeast"/>
                <w:jc w:val="center"/>
              </w:trPr>
              <w:tc>
                <w:tcPr>
                  <w:tcW w:w="420" w:type="dxa"/>
                  <w:tcBorders>
                    <w:top w:val="single" w:color="000000" w:sz="4" w:space="0"/>
                    <w:left w:val="nil"/>
                    <w:bottom w:val="single" w:color="000000" w:sz="12" w:space="0"/>
                    <w:right w:val="single" w:color="000000" w:sz="4" w:space="0"/>
                  </w:tcBorders>
                  <w:vAlign w:val="center"/>
                </w:tcPr>
                <w:p w14:paraId="0E2D8491">
                  <w:pPr>
                    <w:pStyle w:val="43"/>
                    <w:rPr>
                      <w:color w:val="000000" w:themeColor="text1"/>
                      <w14:textFill>
                        <w14:solidFill>
                          <w14:schemeClr w14:val="tx1"/>
                        </w14:solidFill>
                      </w14:textFill>
                    </w:rPr>
                  </w:pPr>
                  <w:r>
                    <w:rPr>
                      <w:color w:val="000000" w:themeColor="text1"/>
                      <w14:textFill>
                        <w14:solidFill>
                          <w14:schemeClr w14:val="tx1"/>
                        </w14:solidFill>
                      </w14:textFill>
                    </w:rPr>
                    <w:t>1</w:t>
                  </w:r>
                </w:p>
              </w:tc>
              <w:tc>
                <w:tcPr>
                  <w:tcW w:w="673" w:type="dxa"/>
                  <w:tcBorders>
                    <w:top w:val="single" w:color="000000" w:sz="4" w:space="0"/>
                    <w:left w:val="single" w:color="000000" w:sz="4" w:space="0"/>
                    <w:bottom w:val="single" w:color="000000" w:sz="12" w:space="0"/>
                    <w:right w:val="single" w:color="000000" w:sz="4" w:space="0"/>
                  </w:tcBorders>
                  <w:vAlign w:val="center"/>
                </w:tcPr>
                <w:p w14:paraId="0343770F">
                  <w:pPr>
                    <w:pStyle w:val="43"/>
                    <w:rPr>
                      <w:color w:val="000000" w:themeColor="text1"/>
                      <w14:textFill>
                        <w14:solidFill>
                          <w14:schemeClr w14:val="tx1"/>
                        </w14:solidFill>
                      </w14:textFill>
                    </w:rPr>
                  </w:pPr>
                  <w:r>
                    <w:rPr>
                      <w:color w:val="000000" w:themeColor="text1"/>
                      <w14:textFill>
                        <w14:solidFill>
                          <w14:schemeClr w14:val="tx1"/>
                        </w14:solidFill>
                      </w14:textFill>
                    </w:rPr>
                    <w:t>废水</w:t>
                  </w:r>
                </w:p>
              </w:tc>
              <w:tc>
                <w:tcPr>
                  <w:tcW w:w="835" w:type="dxa"/>
                  <w:tcBorders>
                    <w:top w:val="single" w:color="000000" w:sz="4" w:space="0"/>
                    <w:left w:val="single" w:color="000000" w:sz="4" w:space="0"/>
                    <w:bottom w:val="single" w:color="000000" w:sz="12" w:space="0"/>
                    <w:right w:val="single" w:color="000000" w:sz="4" w:space="0"/>
                  </w:tcBorders>
                  <w:vAlign w:val="center"/>
                </w:tcPr>
                <w:p w14:paraId="4E3B3FC2">
                  <w:pPr>
                    <w:pStyle w:val="43"/>
                    <w:rPr>
                      <w:color w:val="000000" w:themeColor="text1"/>
                      <w14:textFill>
                        <w14:solidFill>
                          <w14:schemeClr w14:val="tx1"/>
                        </w14:solidFill>
                      </w14:textFill>
                    </w:rPr>
                  </w:pPr>
                  <w:r>
                    <w:rPr>
                      <w:color w:val="000000" w:themeColor="text1"/>
                      <w14:textFill>
                        <w14:solidFill>
                          <w14:schemeClr w14:val="tx1"/>
                        </w14:solidFill>
                      </w14:textFill>
                    </w:rPr>
                    <w:t>COD</w:t>
                  </w:r>
                </w:p>
                <w:p w14:paraId="5209CFFE">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482" w:type="dxa"/>
                  <w:tcBorders>
                    <w:top w:val="single" w:color="000000" w:sz="4" w:space="0"/>
                    <w:left w:val="single" w:color="000000" w:sz="4" w:space="0"/>
                    <w:bottom w:val="single" w:color="000000" w:sz="12" w:space="0"/>
                    <w:right w:val="single" w:color="000000" w:sz="4" w:space="0"/>
                  </w:tcBorders>
                  <w:vAlign w:val="center"/>
                </w:tcPr>
                <w:p w14:paraId="5D7D1DEF">
                  <w:pPr>
                    <w:pStyle w:val="43"/>
                    <w:rPr>
                      <w:color w:val="000000" w:themeColor="text1"/>
                      <w14:textFill>
                        <w14:solidFill>
                          <w14:schemeClr w14:val="tx1"/>
                        </w14:solidFill>
                      </w14:textFill>
                    </w:rPr>
                  </w:pPr>
                  <w:r>
                    <w:rPr>
                      <w:color w:val="000000" w:themeColor="text1"/>
                      <w14:textFill>
                        <w14:solidFill>
                          <w14:schemeClr w14:val="tx1"/>
                        </w14:solidFill>
                      </w14:textFill>
                    </w:rPr>
                    <w:t>进入</w:t>
                  </w:r>
                  <w:r>
                    <w:rPr>
                      <w:rFonts w:hint="eastAsia"/>
                      <w:color w:val="000000" w:themeColor="text1"/>
                      <w14:textFill>
                        <w14:solidFill>
                          <w14:schemeClr w14:val="tx1"/>
                        </w14:solidFill>
                      </w14:textFill>
                    </w:rPr>
                    <w:t>伊春市中心城污水处理厂</w:t>
                  </w:r>
                </w:p>
              </w:tc>
              <w:tc>
                <w:tcPr>
                  <w:tcW w:w="790" w:type="dxa"/>
                  <w:tcBorders>
                    <w:top w:val="single" w:color="000000" w:sz="4" w:space="0"/>
                    <w:left w:val="single" w:color="000000" w:sz="4" w:space="0"/>
                    <w:bottom w:val="single" w:color="000000" w:sz="12" w:space="0"/>
                    <w:right w:val="single" w:color="000000" w:sz="4" w:space="0"/>
                  </w:tcBorders>
                  <w:vAlign w:val="center"/>
                </w:tcPr>
                <w:p w14:paraId="23F251C9">
                  <w:pPr>
                    <w:pStyle w:val="43"/>
                    <w:rPr>
                      <w:color w:val="000000" w:themeColor="text1"/>
                      <w14:textFill>
                        <w14:solidFill>
                          <w14:schemeClr w14:val="tx1"/>
                        </w14:solidFill>
                      </w14:textFill>
                    </w:rPr>
                  </w:pPr>
                  <w:r>
                    <w:rPr>
                      <w:color w:val="000000" w:themeColor="text1"/>
                      <w14:textFill>
                        <w14:solidFill>
                          <w14:schemeClr w14:val="tx1"/>
                        </w14:solidFill>
                      </w14:textFill>
                    </w:rPr>
                    <w:t>间断排放，排放期间流量不稳定且无规律，但不属于冲击性排放</w:t>
                  </w:r>
                </w:p>
              </w:tc>
              <w:tc>
                <w:tcPr>
                  <w:tcW w:w="795" w:type="dxa"/>
                  <w:tcBorders>
                    <w:top w:val="single" w:color="000000" w:sz="4" w:space="0"/>
                    <w:left w:val="single" w:color="000000" w:sz="4" w:space="0"/>
                    <w:bottom w:val="single" w:color="000000" w:sz="12" w:space="0"/>
                    <w:right w:val="single" w:color="000000" w:sz="4" w:space="0"/>
                  </w:tcBorders>
                  <w:vAlign w:val="center"/>
                </w:tcPr>
                <w:p w14:paraId="22385E71">
                  <w:pPr>
                    <w:pStyle w:val="43"/>
                    <w:rPr>
                      <w:color w:val="000000" w:themeColor="text1"/>
                      <w14:textFill>
                        <w14:solidFill>
                          <w14:schemeClr w14:val="tx1"/>
                        </w14:solidFill>
                      </w14:textFill>
                    </w:rPr>
                  </w:pPr>
                  <w:r>
                    <w:rPr>
                      <w:color w:val="000000" w:themeColor="text1"/>
                      <w14:textFill>
                        <w14:solidFill>
                          <w14:schemeClr w14:val="tx1"/>
                        </w14:solidFill>
                      </w14:textFill>
                    </w:rPr>
                    <w:t>-</w:t>
                  </w:r>
                </w:p>
              </w:tc>
              <w:tc>
                <w:tcPr>
                  <w:tcW w:w="794" w:type="dxa"/>
                  <w:tcBorders>
                    <w:top w:val="single" w:color="000000" w:sz="4" w:space="0"/>
                    <w:left w:val="single" w:color="000000" w:sz="4" w:space="0"/>
                    <w:bottom w:val="single" w:color="000000" w:sz="12" w:space="0"/>
                    <w:right w:val="single" w:color="000000" w:sz="4" w:space="0"/>
                  </w:tcBorders>
                  <w:vAlign w:val="center"/>
                </w:tcPr>
                <w:p w14:paraId="678BE765">
                  <w:pPr>
                    <w:pStyle w:val="43"/>
                    <w:rPr>
                      <w:color w:val="000000" w:themeColor="text1"/>
                      <w14:textFill>
                        <w14:solidFill>
                          <w14:schemeClr w14:val="tx1"/>
                        </w14:solidFill>
                      </w14:textFill>
                    </w:rPr>
                  </w:pPr>
                  <w:r>
                    <w:rPr>
                      <w:color w:val="000000" w:themeColor="text1"/>
                      <w14:textFill>
                        <w14:solidFill>
                          <w14:schemeClr w14:val="tx1"/>
                        </w14:solidFill>
                      </w14:textFill>
                    </w:rPr>
                    <w:t>-</w:t>
                  </w:r>
                </w:p>
              </w:tc>
              <w:tc>
                <w:tcPr>
                  <w:tcW w:w="731" w:type="dxa"/>
                  <w:tcBorders>
                    <w:top w:val="single" w:color="000000" w:sz="4" w:space="0"/>
                    <w:left w:val="single" w:color="000000" w:sz="4" w:space="0"/>
                    <w:bottom w:val="single" w:color="000000" w:sz="12" w:space="0"/>
                    <w:right w:val="single" w:color="000000" w:sz="4" w:space="0"/>
                  </w:tcBorders>
                  <w:vAlign w:val="center"/>
                </w:tcPr>
                <w:p w14:paraId="7D38FF6E">
                  <w:pPr>
                    <w:pStyle w:val="43"/>
                    <w:rPr>
                      <w:color w:val="000000" w:themeColor="text1"/>
                      <w14:textFill>
                        <w14:solidFill>
                          <w14:schemeClr w14:val="tx1"/>
                        </w14:solidFill>
                      </w14:textFill>
                    </w:rPr>
                  </w:pPr>
                  <w:r>
                    <w:rPr>
                      <w:color w:val="000000" w:themeColor="text1"/>
                      <w14:textFill>
                        <w14:solidFill>
                          <w14:schemeClr w14:val="tx1"/>
                        </w14:solidFill>
                      </w14:textFill>
                    </w:rPr>
                    <w:t>-</w:t>
                  </w:r>
                </w:p>
              </w:tc>
              <w:tc>
                <w:tcPr>
                  <w:tcW w:w="416" w:type="dxa"/>
                  <w:tcBorders>
                    <w:top w:val="single" w:color="000000" w:sz="4" w:space="0"/>
                    <w:left w:val="single" w:color="000000" w:sz="4" w:space="0"/>
                    <w:bottom w:val="single" w:color="000000" w:sz="12" w:space="0"/>
                    <w:right w:val="single" w:color="000000" w:sz="4" w:space="0"/>
                  </w:tcBorders>
                  <w:vAlign w:val="center"/>
                </w:tcPr>
                <w:p w14:paraId="0EAC14D4">
                  <w:pPr>
                    <w:pStyle w:val="43"/>
                    <w:rPr>
                      <w:color w:val="000000" w:themeColor="text1"/>
                      <w14:textFill>
                        <w14:solidFill>
                          <w14:schemeClr w14:val="tx1"/>
                        </w14:solidFill>
                      </w14:textFill>
                    </w:rPr>
                  </w:pPr>
                  <w:r>
                    <w:rPr>
                      <w:color w:val="000000" w:themeColor="text1"/>
                      <w14:textFill>
                        <w14:solidFill>
                          <w14:schemeClr w14:val="tx1"/>
                        </w14:solidFill>
                      </w14:textFill>
                    </w:rPr>
                    <w:t>-</w:t>
                  </w:r>
                </w:p>
              </w:tc>
              <w:tc>
                <w:tcPr>
                  <w:tcW w:w="850" w:type="dxa"/>
                  <w:tcBorders>
                    <w:top w:val="single" w:color="000000" w:sz="4" w:space="0"/>
                    <w:left w:val="single" w:color="000000" w:sz="4" w:space="0"/>
                    <w:bottom w:val="single" w:color="000000" w:sz="12" w:space="0"/>
                    <w:right w:val="single" w:color="000000" w:sz="4" w:space="0"/>
                  </w:tcBorders>
                  <w:vAlign w:val="center"/>
                </w:tcPr>
                <w:p w14:paraId="7AA7B1D9">
                  <w:pPr>
                    <w:pStyle w:val="43"/>
                    <w:rPr>
                      <w:color w:val="000000" w:themeColor="text1"/>
                      <w14:textFill>
                        <w14:solidFill>
                          <w14:schemeClr w14:val="tx1"/>
                        </w14:solidFill>
                      </w14:textFill>
                    </w:rPr>
                  </w:pPr>
                  <w:r>
                    <w:rPr>
                      <w:color w:val="000000" w:themeColor="text1"/>
                      <w14:textFill>
                        <w14:solidFill>
                          <w14:schemeClr w14:val="tx1"/>
                        </w14:solidFill>
                      </w14:textFill>
                    </w:rPr>
                    <w:t>是</w:t>
                  </w:r>
                  <w:r>
                    <w:rPr>
                      <w:color w:val="000000" w:themeColor="text1"/>
                      <w14:textFill>
                        <w14:solidFill>
                          <w14:schemeClr w14:val="tx1"/>
                        </w14:solidFill>
                      </w14:textFill>
                    </w:rPr>
                    <w:sym w:font="Wingdings 2" w:char="0052"/>
                  </w:r>
                </w:p>
                <w:p w14:paraId="0E5ED1D0">
                  <w:pPr>
                    <w:pStyle w:val="43"/>
                    <w:rPr>
                      <w:color w:val="000000" w:themeColor="text1"/>
                      <w14:textFill>
                        <w14:solidFill>
                          <w14:schemeClr w14:val="tx1"/>
                        </w14:solidFill>
                      </w14:textFill>
                    </w:rPr>
                  </w:pPr>
                  <w:r>
                    <w:rPr>
                      <w:color w:val="000000" w:themeColor="text1"/>
                      <w14:textFill>
                        <w14:solidFill>
                          <w14:schemeClr w14:val="tx1"/>
                        </w14:solidFill>
                      </w14:textFill>
                    </w:rPr>
                    <w:t>否</w:t>
                  </w:r>
                  <w:r>
                    <w:rPr>
                      <w:color w:val="000000" w:themeColor="text1"/>
                      <w14:textFill>
                        <w14:solidFill>
                          <w14:schemeClr w14:val="tx1"/>
                        </w14:solidFill>
                      </w14:textFill>
                    </w:rPr>
                    <w:sym w:font="Wingdings 2" w:char="00A3"/>
                  </w:r>
                </w:p>
              </w:tc>
              <w:tc>
                <w:tcPr>
                  <w:tcW w:w="1719" w:type="dxa"/>
                  <w:tcBorders>
                    <w:top w:val="single" w:color="000000" w:sz="4" w:space="0"/>
                    <w:left w:val="single" w:color="000000" w:sz="4" w:space="0"/>
                    <w:bottom w:val="single" w:color="000000" w:sz="12" w:space="0"/>
                    <w:right w:val="nil"/>
                  </w:tcBorders>
                  <w:vAlign w:val="center"/>
                </w:tcPr>
                <w:p w14:paraId="66A3D554">
                  <w:pPr>
                    <w:pStyle w:val="43"/>
                    <w:rPr>
                      <w:color w:val="000000" w:themeColor="text1"/>
                      <w14:textFill>
                        <w14:solidFill>
                          <w14:schemeClr w14:val="tx1"/>
                        </w14:solidFill>
                      </w14:textFill>
                    </w:rPr>
                  </w:pPr>
                  <w:r>
                    <w:rPr>
                      <w:color w:val="000000" w:themeColor="text1"/>
                      <w14:textFill>
                        <w14:solidFill>
                          <w14:schemeClr w14:val="tx1"/>
                        </w14:solidFill>
                      </w14:textFill>
                    </w:rPr>
                    <w:sym w:font="Wingdings 2" w:char="0052"/>
                  </w:r>
                  <w:r>
                    <w:rPr>
                      <w:color w:val="000000" w:themeColor="text1"/>
                      <w14:textFill>
                        <w14:solidFill>
                          <w14:schemeClr w14:val="tx1"/>
                        </w14:solidFill>
                      </w14:textFill>
                    </w:rPr>
                    <w:t>企业总排</w:t>
                  </w:r>
                </w:p>
                <w:p w14:paraId="363BDD45">
                  <w:pPr>
                    <w:pStyle w:val="43"/>
                    <w:rPr>
                      <w:color w:val="000000" w:themeColor="text1"/>
                      <w14:textFill>
                        <w14:solidFill>
                          <w14:schemeClr w14:val="tx1"/>
                        </w14:solidFill>
                      </w14:textFill>
                    </w:rPr>
                  </w:pP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雨水总排</w:t>
                  </w:r>
                </w:p>
                <w:p w14:paraId="31A46D2B">
                  <w:pPr>
                    <w:pStyle w:val="43"/>
                    <w:rPr>
                      <w:color w:val="000000" w:themeColor="text1"/>
                      <w14:textFill>
                        <w14:solidFill>
                          <w14:schemeClr w14:val="tx1"/>
                        </w14:solidFill>
                      </w14:textFill>
                    </w:rPr>
                  </w:pP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清净下水排放</w:t>
                  </w:r>
                </w:p>
                <w:p w14:paraId="0BFCE0F1">
                  <w:pPr>
                    <w:pStyle w:val="43"/>
                    <w:rPr>
                      <w:color w:val="000000" w:themeColor="text1"/>
                      <w14:textFill>
                        <w14:solidFill>
                          <w14:schemeClr w14:val="tx1"/>
                        </w14:solidFill>
                      </w14:textFill>
                    </w:rPr>
                  </w:pP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温排水排放</w:t>
                  </w:r>
                </w:p>
                <w:p w14:paraId="7F4E3A9D">
                  <w:pPr>
                    <w:pStyle w:val="43"/>
                    <w:rPr>
                      <w:color w:val="000000" w:themeColor="text1"/>
                      <w14:textFill>
                        <w14:solidFill>
                          <w14:schemeClr w14:val="tx1"/>
                        </w14:solidFill>
                      </w14:textFill>
                    </w:rPr>
                  </w:pPr>
                  <w:r>
                    <w:rPr>
                      <w:color w:val="000000" w:themeColor="text1"/>
                      <w14:textFill>
                        <w14:solidFill>
                          <w14:schemeClr w14:val="tx1"/>
                        </w14:solidFill>
                      </w14:textFill>
                    </w:rPr>
                    <w:sym w:font="Wingdings 2" w:char="00A3"/>
                  </w:r>
                  <w:r>
                    <w:rPr>
                      <w:color w:val="000000" w:themeColor="text1"/>
                      <w14:textFill>
                        <w14:solidFill>
                          <w14:schemeClr w14:val="tx1"/>
                        </w14:solidFill>
                      </w14:textFill>
                    </w:rPr>
                    <w:t>车间或车间处理设施排放</w:t>
                  </w:r>
                </w:p>
              </w:tc>
            </w:tr>
          </w:tbl>
          <w:p w14:paraId="095541EC">
            <w:pPr>
              <w:pStyle w:val="46"/>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11</w:t>
            </w:r>
            <w:r>
              <w:rPr>
                <w:color w:val="000000" w:themeColor="text1"/>
                <w14:textFill>
                  <w14:solidFill>
                    <w14:schemeClr w14:val="tx1"/>
                  </w14:solidFill>
                </w14:textFill>
              </w:rPr>
              <w:t xml:space="preserve"> 废水间接排放口基本情况表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5"/>
              <w:gridCol w:w="785"/>
              <w:gridCol w:w="1251"/>
              <w:gridCol w:w="1161"/>
              <w:gridCol w:w="756"/>
              <w:gridCol w:w="396"/>
              <w:gridCol w:w="576"/>
              <w:gridCol w:w="396"/>
              <w:gridCol w:w="396"/>
              <w:gridCol w:w="655"/>
              <w:gridCol w:w="896"/>
            </w:tblGrid>
            <w:tr w14:paraId="17E0A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dxa"/>
                  <w:vMerge w:val="restart"/>
                  <w:vAlign w:val="center"/>
                </w:tcPr>
                <w:p w14:paraId="26CEA12D">
                  <w:pPr>
                    <w:pStyle w:val="43"/>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81" w:type="dxa"/>
                  <w:vMerge w:val="restart"/>
                  <w:vAlign w:val="center"/>
                </w:tcPr>
                <w:p w14:paraId="6009F5CA">
                  <w:pPr>
                    <w:pStyle w:val="43"/>
                    <w:rPr>
                      <w:color w:val="000000" w:themeColor="text1"/>
                      <w14:textFill>
                        <w14:solidFill>
                          <w14:schemeClr w14:val="tx1"/>
                        </w14:solidFill>
                      </w14:textFill>
                    </w:rPr>
                  </w:pPr>
                  <w:r>
                    <w:rPr>
                      <w:color w:val="000000" w:themeColor="text1"/>
                      <w14:textFill>
                        <w14:solidFill>
                          <w14:schemeClr w14:val="tx1"/>
                        </w14:solidFill>
                      </w14:textFill>
                    </w:rPr>
                    <w:t>排放口编号</w:t>
                  </w:r>
                </w:p>
              </w:tc>
              <w:tc>
                <w:tcPr>
                  <w:tcW w:w="2323" w:type="dxa"/>
                  <w:gridSpan w:val="2"/>
                  <w:vAlign w:val="center"/>
                </w:tcPr>
                <w:p w14:paraId="79273A4B">
                  <w:pPr>
                    <w:pStyle w:val="43"/>
                    <w:rPr>
                      <w:color w:val="000000" w:themeColor="text1"/>
                      <w14:textFill>
                        <w14:solidFill>
                          <w14:schemeClr w14:val="tx1"/>
                        </w14:solidFill>
                      </w14:textFill>
                    </w:rPr>
                  </w:pPr>
                  <w:r>
                    <w:rPr>
                      <w:color w:val="000000" w:themeColor="text1"/>
                      <w14:textFill>
                        <w14:solidFill>
                          <w14:schemeClr w14:val="tx1"/>
                        </w14:solidFill>
                      </w14:textFill>
                    </w:rPr>
                    <w:t>排放口地理坐标</w:t>
                  </w:r>
                </w:p>
              </w:tc>
              <w:tc>
                <w:tcPr>
                  <w:tcW w:w="846" w:type="dxa"/>
                  <w:vMerge w:val="restart"/>
                  <w:vAlign w:val="center"/>
                </w:tcPr>
                <w:p w14:paraId="70F44F5F">
                  <w:pPr>
                    <w:pStyle w:val="43"/>
                    <w:rPr>
                      <w:color w:val="000000" w:themeColor="text1"/>
                      <w14:textFill>
                        <w14:solidFill>
                          <w14:schemeClr w14:val="tx1"/>
                        </w14:solidFill>
                      </w14:textFill>
                    </w:rPr>
                  </w:pPr>
                  <w:r>
                    <w:rPr>
                      <w:color w:val="000000" w:themeColor="text1"/>
                      <w14:textFill>
                        <w14:solidFill>
                          <w14:schemeClr w14:val="tx1"/>
                        </w14:solidFill>
                      </w14:textFill>
                    </w:rPr>
                    <w:t>废水排放量</w:t>
                  </w:r>
                </w:p>
                <w:p w14:paraId="6795E0BA">
                  <w:pPr>
                    <w:pStyle w:val="43"/>
                    <w:rPr>
                      <w:color w:val="000000" w:themeColor="text1"/>
                      <w14:textFill>
                        <w14:solidFill>
                          <w14:schemeClr w14:val="tx1"/>
                        </w14:solidFill>
                      </w14:textFill>
                    </w:rPr>
                  </w:pPr>
                  <w:r>
                    <w:rPr>
                      <w:color w:val="000000" w:themeColor="text1"/>
                      <w14:textFill>
                        <w14:solidFill>
                          <w14:schemeClr w14:val="tx1"/>
                        </w14:solidFill>
                      </w14:textFill>
                    </w:rPr>
                    <w:t>/（t/a）</w:t>
                  </w:r>
                </w:p>
              </w:tc>
              <w:tc>
                <w:tcPr>
                  <w:tcW w:w="426" w:type="dxa"/>
                  <w:vMerge w:val="restart"/>
                  <w:vAlign w:val="center"/>
                </w:tcPr>
                <w:p w14:paraId="7BDB2B17">
                  <w:pPr>
                    <w:pStyle w:val="43"/>
                    <w:rPr>
                      <w:color w:val="000000" w:themeColor="text1"/>
                      <w14:textFill>
                        <w14:solidFill>
                          <w14:schemeClr w14:val="tx1"/>
                        </w14:solidFill>
                      </w14:textFill>
                    </w:rPr>
                  </w:pPr>
                  <w:r>
                    <w:rPr>
                      <w:color w:val="000000" w:themeColor="text1"/>
                      <w14:textFill>
                        <w14:solidFill>
                          <w14:schemeClr w14:val="tx1"/>
                        </w14:solidFill>
                      </w14:textFill>
                    </w:rPr>
                    <w:t>排放去向</w:t>
                  </w:r>
                </w:p>
              </w:tc>
              <w:tc>
                <w:tcPr>
                  <w:tcW w:w="636" w:type="dxa"/>
                  <w:vMerge w:val="restart"/>
                  <w:vAlign w:val="center"/>
                </w:tcPr>
                <w:p w14:paraId="2211044C">
                  <w:pPr>
                    <w:pStyle w:val="43"/>
                    <w:rPr>
                      <w:color w:val="000000" w:themeColor="text1"/>
                      <w14:textFill>
                        <w14:solidFill>
                          <w14:schemeClr w14:val="tx1"/>
                        </w14:solidFill>
                      </w14:textFill>
                    </w:rPr>
                  </w:pPr>
                  <w:r>
                    <w:rPr>
                      <w:color w:val="000000" w:themeColor="text1"/>
                      <w14:textFill>
                        <w14:solidFill>
                          <w14:schemeClr w14:val="tx1"/>
                        </w14:solidFill>
                      </w14:textFill>
                    </w:rPr>
                    <w:t>排放规律</w:t>
                  </w:r>
                </w:p>
              </w:tc>
              <w:tc>
                <w:tcPr>
                  <w:tcW w:w="426" w:type="dxa"/>
                  <w:vMerge w:val="restart"/>
                  <w:vAlign w:val="center"/>
                </w:tcPr>
                <w:p w14:paraId="01DEA3AA">
                  <w:pPr>
                    <w:pStyle w:val="43"/>
                    <w:rPr>
                      <w:color w:val="000000" w:themeColor="text1"/>
                      <w14:textFill>
                        <w14:solidFill>
                          <w14:schemeClr w14:val="tx1"/>
                        </w14:solidFill>
                      </w14:textFill>
                    </w:rPr>
                  </w:pPr>
                  <w:r>
                    <w:rPr>
                      <w:color w:val="000000" w:themeColor="text1"/>
                      <w14:textFill>
                        <w14:solidFill>
                          <w14:schemeClr w14:val="tx1"/>
                        </w14:solidFill>
                      </w14:textFill>
                    </w:rPr>
                    <w:t>间歇排放时段</w:t>
                  </w:r>
                </w:p>
              </w:tc>
              <w:tc>
                <w:tcPr>
                  <w:tcW w:w="2582" w:type="dxa"/>
                  <w:gridSpan w:val="3"/>
                  <w:vAlign w:val="center"/>
                </w:tcPr>
                <w:p w14:paraId="5539723F">
                  <w:pPr>
                    <w:pStyle w:val="43"/>
                    <w:rPr>
                      <w:color w:val="000000" w:themeColor="text1"/>
                      <w14:textFill>
                        <w14:solidFill>
                          <w14:schemeClr w14:val="tx1"/>
                        </w14:solidFill>
                      </w14:textFill>
                    </w:rPr>
                  </w:pPr>
                  <w:r>
                    <w:rPr>
                      <w:color w:val="000000" w:themeColor="text1"/>
                      <w14:textFill>
                        <w14:solidFill>
                          <w14:schemeClr w14:val="tx1"/>
                        </w14:solidFill>
                      </w14:textFill>
                    </w:rPr>
                    <w:t>受纳污水处理厂信息</w:t>
                  </w:r>
                </w:p>
              </w:tc>
            </w:tr>
            <w:tr w14:paraId="4F688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6" w:type="dxa"/>
                  <w:vMerge w:val="continue"/>
                  <w:vAlign w:val="center"/>
                </w:tcPr>
                <w:p w14:paraId="2117FC8B">
                  <w:pPr>
                    <w:pStyle w:val="43"/>
                    <w:rPr>
                      <w:color w:val="000000" w:themeColor="text1"/>
                      <w14:textFill>
                        <w14:solidFill>
                          <w14:schemeClr w14:val="tx1"/>
                        </w14:solidFill>
                      </w14:textFill>
                    </w:rPr>
                  </w:pPr>
                </w:p>
              </w:tc>
              <w:tc>
                <w:tcPr>
                  <w:tcW w:w="881" w:type="dxa"/>
                  <w:vMerge w:val="continue"/>
                  <w:vAlign w:val="center"/>
                </w:tcPr>
                <w:p w14:paraId="30401EFD">
                  <w:pPr>
                    <w:pStyle w:val="43"/>
                    <w:rPr>
                      <w:color w:val="000000" w:themeColor="text1"/>
                      <w14:textFill>
                        <w14:solidFill>
                          <w14:schemeClr w14:val="tx1"/>
                        </w14:solidFill>
                      </w14:textFill>
                    </w:rPr>
                  </w:pPr>
                </w:p>
              </w:tc>
              <w:tc>
                <w:tcPr>
                  <w:tcW w:w="1214" w:type="dxa"/>
                  <w:vAlign w:val="center"/>
                </w:tcPr>
                <w:p w14:paraId="26F1961F">
                  <w:pPr>
                    <w:pStyle w:val="43"/>
                    <w:rPr>
                      <w:color w:val="000000" w:themeColor="text1"/>
                      <w14:textFill>
                        <w14:solidFill>
                          <w14:schemeClr w14:val="tx1"/>
                        </w14:solidFill>
                      </w14:textFill>
                    </w:rPr>
                  </w:pPr>
                  <w:r>
                    <w:rPr>
                      <w:color w:val="000000" w:themeColor="text1"/>
                      <w14:textFill>
                        <w14:solidFill>
                          <w14:schemeClr w14:val="tx1"/>
                        </w14:solidFill>
                      </w14:textFill>
                    </w:rPr>
                    <w:t>经度</w:t>
                  </w:r>
                </w:p>
              </w:tc>
              <w:tc>
                <w:tcPr>
                  <w:tcW w:w="1109" w:type="dxa"/>
                  <w:vAlign w:val="center"/>
                </w:tcPr>
                <w:p w14:paraId="1D18DE4F">
                  <w:pPr>
                    <w:pStyle w:val="43"/>
                    <w:rPr>
                      <w:color w:val="000000" w:themeColor="text1"/>
                      <w14:textFill>
                        <w14:solidFill>
                          <w14:schemeClr w14:val="tx1"/>
                        </w14:solidFill>
                      </w14:textFill>
                    </w:rPr>
                  </w:pPr>
                  <w:r>
                    <w:rPr>
                      <w:color w:val="000000" w:themeColor="text1"/>
                      <w14:textFill>
                        <w14:solidFill>
                          <w14:schemeClr w14:val="tx1"/>
                        </w14:solidFill>
                      </w14:textFill>
                    </w:rPr>
                    <w:t>纬度</w:t>
                  </w:r>
                </w:p>
              </w:tc>
              <w:tc>
                <w:tcPr>
                  <w:tcW w:w="846" w:type="dxa"/>
                  <w:vMerge w:val="continue"/>
                  <w:vAlign w:val="center"/>
                </w:tcPr>
                <w:p w14:paraId="5E153545">
                  <w:pPr>
                    <w:pStyle w:val="43"/>
                    <w:rPr>
                      <w:color w:val="000000" w:themeColor="text1"/>
                      <w14:textFill>
                        <w14:solidFill>
                          <w14:schemeClr w14:val="tx1"/>
                        </w14:solidFill>
                      </w14:textFill>
                    </w:rPr>
                  </w:pPr>
                </w:p>
              </w:tc>
              <w:tc>
                <w:tcPr>
                  <w:tcW w:w="426" w:type="dxa"/>
                  <w:vMerge w:val="continue"/>
                  <w:vAlign w:val="center"/>
                </w:tcPr>
                <w:p w14:paraId="6EA97739">
                  <w:pPr>
                    <w:pStyle w:val="43"/>
                    <w:rPr>
                      <w:color w:val="000000" w:themeColor="text1"/>
                      <w14:textFill>
                        <w14:solidFill>
                          <w14:schemeClr w14:val="tx1"/>
                        </w14:solidFill>
                      </w14:textFill>
                    </w:rPr>
                  </w:pPr>
                </w:p>
              </w:tc>
              <w:tc>
                <w:tcPr>
                  <w:tcW w:w="636" w:type="dxa"/>
                  <w:vMerge w:val="continue"/>
                  <w:vAlign w:val="center"/>
                </w:tcPr>
                <w:p w14:paraId="764FB9C5">
                  <w:pPr>
                    <w:pStyle w:val="43"/>
                    <w:rPr>
                      <w:color w:val="000000" w:themeColor="text1"/>
                      <w14:textFill>
                        <w14:solidFill>
                          <w14:schemeClr w14:val="tx1"/>
                        </w14:solidFill>
                      </w14:textFill>
                    </w:rPr>
                  </w:pPr>
                </w:p>
              </w:tc>
              <w:tc>
                <w:tcPr>
                  <w:tcW w:w="426" w:type="dxa"/>
                  <w:vMerge w:val="continue"/>
                  <w:vAlign w:val="center"/>
                </w:tcPr>
                <w:p w14:paraId="6B96A257">
                  <w:pPr>
                    <w:pStyle w:val="43"/>
                    <w:rPr>
                      <w:color w:val="000000" w:themeColor="text1"/>
                      <w14:textFill>
                        <w14:solidFill>
                          <w14:schemeClr w14:val="tx1"/>
                        </w14:solidFill>
                      </w14:textFill>
                    </w:rPr>
                  </w:pPr>
                </w:p>
              </w:tc>
              <w:tc>
                <w:tcPr>
                  <w:tcW w:w="426" w:type="dxa"/>
                  <w:vAlign w:val="center"/>
                </w:tcPr>
                <w:p w14:paraId="0CDED37A">
                  <w:pPr>
                    <w:pStyle w:val="43"/>
                    <w:rPr>
                      <w:color w:val="000000" w:themeColor="text1"/>
                      <w14:textFill>
                        <w14:solidFill>
                          <w14:schemeClr w14:val="tx1"/>
                        </w14:solidFill>
                      </w14:textFill>
                    </w:rPr>
                  </w:pPr>
                  <w:r>
                    <w:rPr>
                      <w:color w:val="000000" w:themeColor="text1"/>
                      <w14:textFill>
                        <w14:solidFill>
                          <w14:schemeClr w14:val="tx1"/>
                        </w14:solidFill>
                      </w14:textFill>
                    </w:rPr>
                    <w:t>名称</w:t>
                  </w:r>
                </w:p>
              </w:tc>
              <w:tc>
                <w:tcPr>
                  <w:tcW w:w="753" w:type="dxa"/>
                  <w:vAlign w:val="center"/>
                </w:tcPr>
                <w:p w14:paraId="5B63AA23">
                  <w:pPr>
                    <w:pStyle w:val="43"/>
                    <w:rPr>
                      <w:color w:val="000000" w:themeColor="text1"/>
                      <w14:textFill>
                        <w14:solidFill>
                          <w14:schemeClr w14:val="tx1"/>
                        </w14:solidFill>
                      </w14:textFill>
                    </w:rPr>
                  </w:pPr>
                  <w:r>
                    <w:rPr>
                      <w:color w:val="000000" w:themeColor="text1"/>
                      <w14:textFill>
                        <w14:solidFill>
                          <w14:schemeClr w14:val="tx1"/>
                        </w14:solidFill>
                      </w14:textFill>
                    </w:rPr>
                    <w:t>污染物种类</w:t>
                  </w:r>
                </w:p>
              </w:tc>
              <w:tc>
                <w:tcPr>
                  <w:tcW w:w="1403" w:type="dxa"/>
                  <w:vAlign w:val="center"/>
                </w:tcPr>
                <w:p w14:paraId="1982F11C">
                  <w:pPr>
                    <w:pStyle w:val="43"/>
                    <w:rPr>
                      <w:color w:val="000000" w:themeColor="text1"/>
                      <w14:textFill>
                        <w14:solidFill>
                          <w14:schemeClr w14:val="tx1"/>
                        </w14:solidFill>
                      </w14:textFill>
                    </w:rPr>
                  </w:pPr>
                  <w:r>
                    <w:rPr>
                      <w:color w:val="000000" w:themeColor="text1"/>
                      <w14:textFill>
                        <w14:solidFill>
                          <w14:schemeClr w14:val="tx1"/>
                        </w14:solidFill>
                      </w14:textFill>
                    </w:rPr>
                    <w:t>国家或地方污染物排放标准浓度限值/(mg/L）</w:t>
                  </w:r>
                </w:p>
              </w:tc>
            </w:tr>
            <w:tr w14:paraId="7A365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426" w:type="dxa"/>
                  <w:vMerge w:val="restart"/>
                  <w:vAlign w:val="center"/>
                </w:tcPr>
                <w:p w14:paraId="77A97D74">
                  <w:pPr>
                    <w:pStyle w:val="43"/>
                    <w:rPr>
                      <w:color w:val="000000" w:themeColor="text1"/>
                      <w14:textFill>
                        <w14:solidFill>
                          <w14:schemeClr w14:val="tx1"/>
                        </w14:solidFill>
                      </w14:textFill>
                    </w:rPr>
                  </w:pPr>
                  <w:r>
                    <w:rPr>
                      <w:color w:val="000000" w:themeColor="text1"/>
                      <w14:textFill>
                        <w14:solidFill>
                          <w14:schemeClr w14:val="tx1"/>
                        </w14:solidFill>
                      </w14:textFill>
                    </w:rPr>
                    <w:t>1</w:t>
                  </w:r>
                </w:p>
              </w:tc>
              <w:tc>
                <w:tcPr>
                  <w:tcW w:w="881" w:type="dxa"/>
                  <w:vMerge w:val="restart"/>
                  <w:vAlign w:val="center"/>
                </w:tcPr>
                <w:p w14:paraId="3C3EBD68">
                  <w:pPr>
                    <w:pStyle w:val="43"/>
                    <w:rPr>
                      <w:color w:val="000000" w:themeColor="text1"/>
                      <w14:textFill>
                        <w14:solidFill>
                          <w14:schemeClr w14:val="tx1"/>
                        </w14:solidFill>
                      </w14:textFill>
                    </w:rPr>
                  </w:pPr>
                  <w:r>
                    <w:rPr>
                      <w:color w:val="000000" w:themeColor="text1"/>
                      <w14:textFill>
                        <w14:solidFill>
                          <w14:schemeClr w14:val="tx1"/>
                        </w14:solidFill>
                      </w14:textFill>
                    </w:rPr>
                    <w:t>DW001</w:t>
                  </w:r>
                </w:p>
              </w:tc>
              <w:tc>
                <w:tcPr>
                  <w:tcW w:w="1214" w:type="dxa"/>
                  <w:vMerge w:val="restart"/>
                  <w:vAlign w:val="center"/>
                </w:tcPr>
                <w:p w14:paraId="4DF518C5">
                  <w:pPr>
                    <w:pStyle w:val="43"/>
                    <w:rPr>
                      <w:color w:val="000000" w:themeColor="text1"/>
                      <w14:textFill>
                        <w14:solidFill>
                          <w14:schemeClr w14:val="tx1"/>
                        </w14:solidFill>
                      </w14:textFill>
                    </w:rPr>
                  </w:pPr>
                  <w:r>
                    <w:rPr>
                      <w:color w:val="000000" w:themeColor="text1"/>
                      <w14:textFill>
                        <w14:solidFill>
                          <w14:schemeClr w14:val="tx1"/>
                        </w14:solidFill>
                      </w14:textFill>
                    </w:rPr>
                    <w:t>129.03953075</w:t>
                  </w:r>
                </w:p>
              </w:tc>
              <w:tc>
                <w:tcPr>
                  <w:tcW w:w="1109" w:type="dxa"/>
                  <w:vMerge w:val="restart"/>
                  <w:vAlign w:val="center"/>
                </w:tcPr>
                <w:p w14:paraId="4EC41D2D">
                  <w:pPr>
                    <w:pStyle w:val="43"/>
                    <w:rPr>
                      <w:color w:val="000000" w:themeColor="text1"/>
                      <w14:textFill>
                        <w14:solidFill>
                          <w14:schemeClr w14:val="tx1"/>
                        </w14:solidFill>
                      </w14:textFill>
                    </w:rPr>
                  </w:pPr>
                  <w:r>
                    <w:rPr>
                      <w:color w:val="000000" w:themeColor="text1"/>
                      <w14:textFill>
                        <w14:solidFill>
                          <w14:schemeClr w14:val="tx1"/>
                        </w14:solidFill>
                      </w14:textFill>
                    </w:rPr>
                    <w:t>47.79456241</w:t>
                  </w:r>
                </w:p>
              </w:tc>
              <w:tc>
                <w:tcPr>
                  <w:tcW w:w="846" w:type="dxa"/>
                  <w:vMerge w:val="restart"/>
                  <w:vAlign w:val="center"/>
                </w:tcPr>
                <w:p w14:paraId="54A0187E">
                  <w:pPr>
                    <w:pStyle w:val="43"/>
                    <w:rPr>
                      <w:color w:val="000000" w:themeColor="text1"/>
                      <w14:textFill>
                        <w14:solidFill>
                          <w14:schemeClr w14:val="tx1"/>
                        </w14:solidFill>
                      </w14:textFill>
                    </w:rPr>
                  </w:pPr>
                  <w:r>
                    <w:rPr>
                      <w:rFonts w:hint="eastAsia"/>
                      <w:szCs w:val="18"/>
                    </w:rPr>
                    <w:t>41172</w:t>
                  </w:r>
                </w:p>
              </w:tc>
              <w:tc>
                <w:tcPr>
                  <w:tcW w:w="426" w:type="dxa"/>
                  <w:vMerge w:val="restart"/>
                  <w:vAlign w:val="center"/>
                </w:tcPr>
                <w:p w14:paraId="1CD88F1D">
                  <w:pPr>
                    <w:pStyle w:val="43"/>
                    <w:rPr>
                      <w:color w:val="000000" w:themeColor="text1"/>
                      <w14:textFill>
                        <w14:solidFill>
                          <w14:schemeClr w14:val="tx1"/>
                        </w14:solidFill>
                      </w14:textFill>
                    </w:rPr>
                  </w:pPr>
                  <w:r>
                    <w:rPr>
                      <w:color w:val="000000" w:themeColor="text1"/>
                      <w14:textFill>
                        <w14:solidFill>
                          <w14:schemeClr w14:val="tx1"/>
                        </w14:solidFill>
                      </w14:textFill>
                    </w:rPr>
                    <w:t>进入</w:t>
                  </w:r>
                  <w:r>
                    <w:rPr>
                      <w:rFonts w:hint="eastAsia"/>
                      <w:color w:val="000000" w:themeColor="text1"/>
                      <w14:textFill>
                        <w14:solidFill>
                          <w14:schemeClr w14:val="tx1"/>
                        </w14:solidFill>
                      </w14:textFill>
                    </w:rPr>
                    <w:t>伊春市中心城污水处理厂</w:t>
                  </w:r>
                </w:p>
              </w:tc>
              <w:tc>
                <w:tcPr>
                  <w:tcW w:w="636" w:type="dxa"/>
                  <w:vMerge w:val="restart"/>
                  <w:vAlign w:val="center"/>
                </w:tcPr>
                <w:p w14:paraId="3AF7103F">
                  <w:pPr>
                    <w:pStyle w:val="43"/>
                    <w:rPr>
                      <w:color w:val="000000" w:themeColor="text1"/>
                      <w14:textFill>
                        <w14:solidFill>
                          <w14:schemeClr w14:val="tx1"/>
                        </w14:solidFill>
                      </w14:textFill>
                    </w:rPr>
                  </w:pPr>
                  <w:r>
                    <w:rPr>
                      <w:color w:val="000000" w:themeColor="text1"/>
                      <w14:textFill>
                        <w14:solidFill>
                          <w14:schemeClr w14:val="tx1"/>
                        </w14:solidFill>
                      </w14:textFill>
                    </w:rPr>
                    <w:t>间断排放，排放期间流量不稳定且无规律，但不属于冲击性排放</w:t>
                  </w:r>
                </w:p>
              </w:tc>
              <w:tc>
                <w:tcPr>
                  <w:tcW w:w="426" w:type="dxa"/>
                  <w:vMerge w:val="restart"/>
                  <w:vAlign w:val="center"/>
                </w:tcPr>
                <w:p w14:paraId="33370A05">
                  <w:pPr>
                    <w:pStyle w:val="43"/>
                    <w:rPr>
                      <w:color w:val="000000" w:themeColor="text1"/>
                      <w14:textFill>
                        <w14:solidFill>
                          <w14:schemeClr w14:val="tx1"/>
                        </w14:solidFill>
                      </w14:textFill>
                    </w:rPr>
                  </w:pPr>
                  <w:r>
                    <w:rPr>
                      <w:color w:val="000000" w:themeColor="text1"/>
                      <w14:textFill>
                        <w14:solidFill>
                          <w14:schemeClr w14:val="tx1"/>
                        </w14:solidFill>
                      </w14:textFill>
                    </w:rPr>
                    <w:t>/</w:t>
                  </w:r>
                </w:p>
              </w:tc>
              <w:tc>
                <w:tcPr>
                  <w:tcW w:w="426" w:type="dxa"/>
                  <w:vMerge w:val="restart"/>
                  <w:vAlign w:val="center"/>
                </w:tcPr>
                <w:p w14:paraId="6188201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伊春市中心城污水处理厂</w:t>
                  </w:r>
                </w:p>
              </w:tc>
              <w:tc>
                <w:tcPr>
                  <w:tcW w:w="753" w:type="dxa"/>
                  <w:vAlign w:val="center"/>
                </w:tcPr>
                <w:p w14:paraId="3E439D4C">
                  <w:pPr>
                    <w:pStyle w:val="43"/>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1403" w:type="dxa"/>
                  <w:vAlign w:val="center"/>
                </w:tcPr>
                <w:p w14:paraId="42F6340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r>
            <w:tr w14:paraId="26B63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426" w:type="dxa"/>
                  <w:vMerge w:val="continue"/>
                  <w:vAlign w:val="center"/>
                </w:tcPr>
                <w:p w14:paraId="12580311">
                  <w:pPr>
                    <w:pStyle w:val="43"/>
                    <w:rPr>
                      <w:color w:val="000000" w:themeColor="text1"/>
                      <w14:textFill>
                        <w14:solidFill>
                          <w14:schemeClr w14:val="tx1"/>
                        </w14:solidFill>
                      </w14:textFill>
                    </w:rPr>
                  </w:pPr>
                </w:p>
              </w:tc>
              <w:tc>
                <w:tcPr>
                  <w:tcW w:w="881" w:type="dxa"/>
                  <w:vMerge w:val="continue"/>
                  <w:vAlign w:val="center"/>
                </w:tcPr>
                <w:p w14:paraId="557A620A">
                  <w:pPr>
                    <w:pStyle w:val="43"/>
                    <w:rPr>
                      <w:color w:val="000000" w:themeColor="text1"/>
                      <w14:textFill>
                        <w14:solidFill>
                          <w14:schemeClr w14:val="tx1"/>
                        </w14:solidFill>
                      </w14:textFill>
                    </w:rPr>
                  </w:pPr>
                </w:p>
              </w:tc>
              <w:tc>
                <w:tcPr>
                  <w:tcW w:w="1214" w:type="dxa"/>
                  <w:vMerge w:val="continue"/>
                  <w:vAlign w:val="center"/>
                </w:tcPr>
                <w:p w14:paraId="531002AE">
                  <w:pPr>
                    <w:pStyle w:val="43"/>
                    <w:rPr>
                      <w:color w:val="000000" w:themeColor="text1"/>
                      <w14:textFill>
                        <w14:solidFill>
                          <w14:schemeClr w14:val="tx1"/>
                        </w14:solidFill>
                      </w14:textFill>
                    </w:rPr>
                  </w:pPr>
                </w:p>
              </w:tc>
              <w:tc>
                <w:tcPr>
                  <w:tcW w:w="1109" w:type="dxa"/>
                  <w:vMerge w:val="continue"/>
                  <w:vAlign w:val="center"/>
                </w:tcPr>
                <w:p w14:paraId="2843C061">
                  <w:pPr>
                    <w:pStyle w:val="43"/>
                    <w:rPr>
                      <w:color w:val="000000" w:themeColor="text1"/>
                      <w14:textFill>
                        <w14:solidFill>
                          <w14:schemeClr w14:val="tx1"/>
                        </w14:solidFill>
                      </w14:textFill>
                    </w:rPr>
                  </w:pPr>
                </w:p>
              </w:tc>
              <w:tc>
                <w:tcPr>
                  <w:tcW w:w="846" w:type="dxa"/>
                  <w:vMerge w:val="continue"/>
                  <w:vAlign w:val="center"/>
                </w:tcPr>
                <w:p w14:paraId="4A3803AF">
                  <w:pPr>
                    <w:pStyle w:val="43"/>
                    <w:rPr>
                      <w:color w:val="000000" w:themeColor="text1"/>
                      <w14:textFill>
                        <w14:solidFill>
                          <w14:schemeClr w14:val="tx1"/>
                        </w14:solidFill>
                      </w14:textFill>
                    </w:rPr>
                  </w:pPr>
                </w:p>
              </w:tc>
              <w:tc>
                <w:tcPr>
                  <w:tcW w:w="426" w:type="dxa"/>
                  <w:vMerge w:val="continue"/>
                  <w:vAlign w:val="center"/>
                </w:tcPr>
                <w:p w14:paraId="61F21E20">
                  <w:pPr>
                    <w:pStyle w:val="43"/>
                    <w:rPr>
                      <w:color w:val="000000" w:themeColor="text1"/>
                      <w14:textFill>
                        <w14:solidFill>
                          <w14:schemeClr w14:val="tx1"/>
                        </w14:solidFill>
                      </w14:textFill>
                    </w:rPr>
                  </w:pPr>
                </w:p>
              </w:tc>
              <w:tc>
                <w:tcPr>
                  <w:tcW w:w="636" w:type="dxa"/>
                  <w:vMerge w:val="continue"/>
                  <w:vAlign w:val="center"/>
                </w:tcPr>
                <w:p w14:paraId="207A8B64">
                  <w:pPr>
                    <w:pStyle w:val="43"/>
                    <w:rPr>
                      <w:color w:val="000000" w:themeColor="text1"/>
                      <w14:textFill>
                        <w14:solidFill>
                          <w14:schemeClr w14:val="tx1"/>
                        </w14:solidFill>
                      </w14:textFill>
                    </w:rPr>
                  </w:pPr>
                </w:p>
              </w:tc>
              <w:tc>
                <w:tcPr>
                  <w:tcW w:w="426" w:type="dxa"/>
                  <w:vMerge w:val="continue"/>
                  <w:vAlign w:val="center"/>
                </w:tcPr>
                <w:p w14:paraId="18424609">
                  <w:pPr>
                    <w:pStyle w:val="43"/>
                    <w:rPr>
                      <w:color w:val="000000" w:themeColor="text1"/>
                      <w14:textFill>
                        <w14:solidFill>
                          <w14:schemeClr w14:val="tx1"/>
                        </w14:solidFill>
                      </w14:textFill>
                    </w:rPr>
                  </w:pPr>
                </w:p>
              </w:tc>
              <w:tc>
                <w:tcPr>
                  <w:tcW w:w="426" w:type="dxa"/>
                  <w:vMerge w:val="continue"/>
                  <w:vAlign w:val="center"/>
                </w:tcPr>
                <w:p w14:paraId="41857E6B">
                  <w:pPr>
                    <w:pStyle w:val="43"/>
                    <w:rPr>
                      <w:color w:val="000000" w:themeColor="text1"/>
                      <w14:textFill>
                        <w14:solidFill>
                          <w14:schemeClr w14:val="tx1"/>
                        </w14:solidFill>
                      </w14:textFill>
                    </w:rPr>
                  </w:pPr>
                </w:p>
              </w:tc>
              <w:tc>
                <w:tcPr>
                  <w:tcW w:w="753" w:type="dxa"/>
                  <w:vAlign w:val="center"/>
                </w:tcPr>
                <w:p w14:paraId="394F9CB9">
                  <w:pPr>
                    <w:pStyle w:val="43"/>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1403" w:type="dxa"/>
                  <w:vAlign w:val="center"/>
                </w:tcPr>
                <w:p w14:paraId="3E3C347B">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160288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426" w:type="dxa"/>
                  <w:vMerge w:val="continue"/>
                  <w:vAlign w:val="center"/>
                </w:tcPr>
                <w:p w14:paraId="36D996B7">
                  <w:pPr>
                    <w:pStyle w:val="43"/>
                    <w:rPr>
                      <w:color w:val="000000" w:themeColor="text1"/>
                      <w14:textFill>
                        <w14:solidFill>
                          <w14:schemeClr w14:val="tx1"/>
                        </w14:solidFill>
                      </w14:textFill>
                    </w:rPr>
                  </w:pPr>
                </w:p>
              </w:tc>
              <w:tc>
                <w:tcPr>
                  <w:tcW w:w="881" w:type="dxa"/>
                  <w:vMerge w:val="continue"/>
                  <w:vAlign w:val="center"/>
                </w:tcPr>
                <w:p w14:paraId="5477AA3E">
                  <w:pPr>
                    <w:pStyle w:val="43"/>
                    <w:rPr>
                      <w:color w:val="000000" w:themeColor="text1"/>
                      <w14:textFill>
                        <w14:solidFill>
                          <w14:schemeClr w14:val="tx1"/>
                        </w14:solidFill>
                      </w14:textFill>
                    </w:rPr>
                  </w:pPr>
                </w:p>
              </w:tc>
              <w:tc>
                <w:tcPr>
                  <w:tcW w:w="1214" w:type="dxa"/>
                  <w:vMerge w:val="continue"/>
                  <w:vAlign w:val="center"/>
                </w:tcPr>
                <w:p w14:paraId="0DCAFC78">
                  <w:pPr>
                    <w:pStyle w:val="43"/>
                    <w:rPr>
                      <w:color w:val="000000" w:themeColor="text1"/>
                      <w14:textFill>
                        <w14:solidFill>
                          <w14:schemeClr w14:val="tx1"/>
                        </w14:solidFill>
                      </w14:textFill>
                    </w:rPr>
                  </w:pPr>
                </w:p>
              </w:tc>
              <w:tc>
                <w:tcPr>
                  <w:tcW w:w="1109" w:type="dxa"/>
                  <w:vMerge w:val="continue"/>
                  <w:vAlign w:val="center"/>
                </w:tcPr>
                <w:p w14:paraId="3F44494E">
                  <w:pPr>
                    <w:pStyle w:val="43"/>
                    <w:rPr>
                      <w:color w:val="000000" w:themeColor="text1"/>
                      <w14:textFill>
                        <w14:solidFill>
                          <w14:schemeClr w14:val="tx1"/>
                        </w14:solidFill>
                      </w14:textFill>
                    </w:rPr>
                  </w:pPr>
                </w:p>
              </w:tc>
              <w:tc>
                <w:tcPr>
                  <w:tcW w:w="846" w:type="dxa"/>
                  <w:vMerge w:val="continue"/>
                  <w:vAlign w:val="center"/>
                </w:tcPr>
                <w:p w14:paraId="39BD1AA4">
                  <w:pPr>
                    <w:pStyle w:val="43"/>
                    <w:rPr>
                      <w:color w:val="000000" w:themeColor="text1"/>
                      <w14:textFill>
                        <w14:solidFill>
                          <w14:schemeClr w14:val="tx1"/>
                        </w14:solidFill>
                      </w14:textFill>
                    </w:rPr>
                  </w:pPr>
                </w:p>
              </w:tc>
              <w:tc>
                <w:tcPr>
                  <w:tcW w:w="426" w:type="dxa"/>
                  <w:vMerge w:val="continue"/>
                  <w:vAlign w:val="center"/>
                </w:tcPr>
                <w:p w14:paraId="26B3CF3C">
                  <w:pPr>
                    <w:pStyle w:val="43"/>
                    <w:rPr>
                      <w:color w:val="000000" w:themeColor="text1"/>
                      <w14:textFill>
                        <w14:solidFill>
                          <w14:schemeClr w14:val="tx1"/>
                        </w14:solidFill>
                      </w14:textFill>
                    </w:rPr>
                  </w:pPr>
                </w:p>
              </w:tc>
              <w:tc>
                <w:tcPr>
                  <w:tcW w:w="636" w:type="dxa"/>
                  <w:vMerge w:val="continue"/>
                  <w:vAlign w:val="center"/>
                </w:tcPr>
                <w:p w14:paraId="5B21F97A">
                  <w:pPr>
                    <w:pStyle w:val="43"/>
                    <w:rPr>
                      <w:color w:val="000000" w:themeColor="text1"/>
                      <w14:textFill>
                        <w14:solidFill>
                          <w14:schemeClr w14:val="tx1"/>
                        </w14:solidFill>
                      </w14:textFill>
                    </w:rPr>
                  </w:pPr>
                </w:p>
              </w:tc>
              <w:tc>
                <w:tcPr>
                  <w:tcW w:w="426" w:type="dxa"/>
                  <w:vMerge w:val="continue"/>
                  <w:vAlign w:val="center"/>
                </w:tcPr>
                <w:p w14:paraId="416C9E81">
                  <w:pPr>
                    <w:pStyle w:val="43"/>
                    <w:rPr>
                      <w:color w:val="000000" w:themeColor="text1"/>
                      <w14:textFill>
                        <w14:solidFill>
                          <w14:schemeClr w14:val="tx1"/>
                        </w14:solidFill>
                      </w14:textFill>
                    </w:rPr>
                  </w:pPr>
                </w:p>
              </w:tc>
              <w:tc>
                <w:tcPr>
                  <w:tcW w:w="426" w:type="dxa"/>
                  <w:vMerge w:val="continue"/>
                  <w:vAlign w:val="center"/>
                </w:tcPr>
                <w:p w14:paraId="7F0984E4">
                  <w:pPr>
                    <w:pStyle w:val="43"/>
                    <w:rPr>
                      <w:color w:val="000000" w:themeColor="text1"/>
                      <w14:textFill>
                        <w14:solidFill>
                          <w14:schemeClr w14:val="tx1"/>
                        </w14:solidFill>
                      </w14:textFill>
                    </w:rPr>
                  </w:pPr>
                </w:p>
              </w:tc>
              <w:tc>
                <w:tcPr>
                  <w:tcW w:w="753" w:type="dxa"/>
                  <w:vAlign w:val="center"/>
                </w:tcPr>
                <w:p w14:paraId="2B3C0A5A">
                  <w:pPr>
                    <w:pStyle w:val="43"/>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1403" w:type="dxa"/>
                  <w:vAlign w:val="center"/>
                </w:tcPr>
                <w:p w14:paraId="3965EB5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5（8）</w:t>
                  </w:r>
                </w:p>
              </w:tc>
            </w:tr>
            <w:tr w14:paraId="7DDC3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426" w:type="dxa"/>
                  <w:vMerge w:val="continue"/>
                  <w:vAlign w:val="center"/>
                </w:tcPr>
                <w:p w14:paraId="7A3008AE">
                  <w:pPr>
                    <w:pStyle w:val="43"/>
                    <w:rPr>
                      <w:color w:val="000000" w:themeColor="text1"/>
                      <w14:textFill>
                        <w14:solidFill>
                          <w14:schemeClr w14:val="tx1"/>
                        </w14:solidFill>
                      </w14:textFill>
                    </w:rPr>
                  </w:pPr>
                </w:p>
              </w:tc>
              <w:tc>
                <w:tcPr>
                  <w:tcW w:w="881" w:type="dxa"/>
                  <w:vMerge w:val="continue"/>
                  <w:vAlign w:val="center"/>
                </w:tcPr>
                <w:p w14:paraId="1FC9FA97">
                  <w:pPr>
                    <w:pStyle w:val="43"/>
                    <w:rPr>
                      <w:color w:val="000000" w:themeColor="text1"/>
                      <w14:textFill>
                        <w14:solidFill>
                          <w14:schemeClr w14:val="tx1"/>
                        </w14:solidFill>
                      </w14:textFill>
                    </w:rPr>
                  </w:pPr>
                </w:p>
              </w:tc>
              <w:tc>
                <w:tcPr>
                  <w:tcW w:w="1214" w:type="dxa"/>
                  <w:vMerge w:val="continue"/>
                  <w:vAlign w:val="center"/>
                </w:tcPr>
                <w:p w14:paraId="229F449B">
                  <w:pPr>
                    <w:pStyle w:val="43"/>
                    <w:rPr>
                      <w:color w:val="000000" w:themeColor="text1"/>
                      <w14:textFill>
                        <w14:solidFill>
                          <w14:schemeClr w14:val="tx1"/>
                        </w14:solidFill>
                      </w14:textFill>
                    </w:rPr>
                  </w:pPr>
                </w:p>
              </w:tc>
              <w:tc>
                <w:tcPr>
                  <w:tcW w:w="1109" w:type="dxa"/>
                  <w:vMerge w:val="continue"/>
                  <w:vAlign w:val="center"/>
                </w:tcPr>
                <w:p w14:paraId="5317A84D">
                  <w:pPr>
                    <w:pStyle w:val="43"/>
                    <w:rPr>
                      <w:color w:val="000000" w:themeColor="text1"/>
                      <w14:textFill>
                        <w14:solidFill>
                          <w14:schemeClr w14:val="tx1"/>
                        </w14:solidFill>
                      </w14:textFill>
                    </w:rPr>
                  </w:pPr>
                </w:p>
              </w:tc>
              <w:tc>
                <w:tcPr>
                  <w:tcW w:w="846" w:type="dxa"/>
                  <w:vMerge w:val="continue"/>
                  <w:vAlign w:val="center"/>
                </w:tcPr>
                <w:p w14:paraId="4DA08271">
                  <w:pPr>
                    <w:pStyle w:val="43"/>
                    <w:rPr>
                      <w:color w:val="000000" w:themeColor="text1"/>
                      <w14:textFill>
                        <w14:solidFill>
                          <w14:schemeClr w14:val="tx1"/>
                        </w14:solidFill>
                      </w14:textFill>
                    </w:rPr>
                  </w:pPr>
                </w:p>
              </w:tc>
              <w:tc>
                <w:tcPr>
                  <w:tcW w:w="426" w:type="dxa"/>
                  <w:vMerge w:val="continue"/>
                  <w:vAlign w:val="center"/>
                </w:tcPr>
                <w:p w14:paraId="21B8F52E">
                  <w:pPr>
                    <w:pStyle w:val="43"/>
                    <w:rPr>
                      <w:color w:val="000000" w:themeColor="text1"/>
                      <w14:textFill>
                        <w14:solidFill>
                          <w14:schemeClr w14:val="tx1"/>
                        </w14:solidFill>
                      </w14:textFill>
                    </w:rPr>
                  </w:pPr>
                </w:p>
              </w:tc>
              <w:tc>
                <w:tcPr>
                  <w:tcW w:w="636" w:type="dxa"/>
                  <w:vMerge w:val="continue"/>
                  <w:vAlign w:val="center"/>
                </w:tcPr>
                <w:p w14:paraId="4FA2AE2A">
                  <w:pPr>
                    <w:pStyle w:val="43"/>
                    <w:rPr>
                      <w:color w:val="000000" w:themeColor="text1"/>
                      <w14:textFill>
                        <w14:solidFill>
                          <w14:schemeClr w14:val="tx1"/>
                        </w14:solidFill>
                      </w14:textFill>
                    </w:rPr>
                  </w:pPr>
                </w:p>
              </w:tc>
              <w:tc>
                <w:tcPr>
                  <w:tcW w:w="426" w:type="dxa"/>
                  <w:vMerge w:val="continue"/>
                  <w:vAlign w:val="center"/>
                </w:tcPr>
                <w:p w14:paraId="2F0073E6">
                  <w:pPr>
                    <w:pStyle w:val="43"/>
                    <w:rPr>
                      <w:color w:val="000000" w:themeColor="text1"/>
                      <w14:textFill>
                        <w14:solidFill>
                          <w14:schemeClr w14:val="tx1"/>
                        </w14:solidFill>
                      </w14:textFill>
                    </w:rPr>
                  </w:pPr>
                </w:p>
              </w:tc>
              <w:tc>
                <w:tcPr>
                  <w:tcW w:w="426" w:type="dxa"/>
                  <w:vMerge w:val="continue"/>
                  <w:vAlign w:val="center"/>
                </w:tcPr>
                <w:p w14:paraId="3F6B14F3">
                  <w:pPr>
                    <w:pStyle w:val="43"/>
                    <w:rPr>
                      <w:color w:val="000000" w:themeColor="text1"/>
                      <w14:textFill>
                        <w14:solidFill>
                          <w14:schemeClr w14:val="tx1"/>
                        </w14:solidFill>
                      </w14:textFill>
                    </w:rPr>
                  </w:pPr>
                </w:p>
              </w:tc>
              <w:tc>
                <w:tcPr>
                  <w:tcW w:w="753" w:type="dxa"/>
                  <w:vAlign w:val="center"/>
                </w:tcPr>
                <w:p w14:paraId="0A0F7251">
                  <w:pPr>
                    <w:pStyle w:val="43"/>
                    <w:rPr>
                      <w:color w:val="000000" w:themeColor="text1"/>
                      <w14:textFill>
                        <w14:solidFill>
                          <w14:schemeClr w14:val="tx1"/>
                        </w14:solidFill>
                      </w14:textFill>
                    </w:rPr>
                  </w:pPr>
                  <w:r>
                    <w:rPr>
                      <w:color w:val="000000" w:themeColor="text1"/>
                      <w14:textFill>
                        <w14:solidFill>
                          <w14:schemeClr w14:val="tx1"/>
                        </w14:solidFill>
                      </w14:textFill>
                    </w:rPr>
                    <w:t>SS</w:t>
                  </w:r>
                </w:p>
              </w:tc>
              <w:tc>
                <w:tcPr>
                  <w:tcW w:w="1403" w:type="dxa"/>
                  <w:vAlign w:val="center"/>
                </w:tcPr>
                <w:p w14:paraId="0DA13E3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224E95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426" w:type="dxa"/>
                  <w:vMerge w:val="continue"/>
                  <w:vAlign w:val="center"/>
                </w:tcPr>
                <w:p w14:paraId="03CD292F">
                  <w:pPr>
                    <w:pStyle w:val="43"/>
                    <w:rPr>
                      <w:color w:val="000000" w:themeColor="text1"/>
                      <w14:textFill>
                        <w14:solidFill>
                          <w14:schemeClr w14:val="tx1"/>
                        </w14:solidFill>
                      </w14:textFill>
                    </w:rPr>
                  </w:pPr>
                </w:p>
              </w:tc>
              <w:tc>
                <w:tcPr>
                  <w:tcW w:w="881" w:type="dxa"/>
                  <w:vMerge w:val="continue"/>
                  <w:vAlign w:val="center"/>
                </w:tcPr>
                <w:p w14:paraId="70B1B0E2">
                  <w:pPr>
                    <w:pStyle w:val="43"/>
                    <w:rPr>
                      <w:color w:val="000000" w:themeColor="text1"/>
                      <w14:textFill>
                        <w14:solidFill>
                          <w14:schemeClr w14:val="tx1"/>
                        </w14:solidFill>
                      </w14:textFill>
                    </w:rPr>
                  </w:pPr>
                </w:p>
              </w:tc>
              <w:tc>
                <w:tcPr>
                  <w:tcW w:w="1214" w:type="dxa"/>
                  <w:vMerge w:val="continue"/>
                  <w:vAlign w:val="center"/>
                </w:tcPr>
                <w:p w14:paraId="6BDBD2DF">
                  <w:pPr>
                    <w:pStyle w:val="43"/>
                    <w:rPr>
                      <w:color w:val="000000" w:themeColor="text1"/>
                      <w14:textFill>
                        <w14:solidFill>
                          <w14:schemeClr w14:val="tx1"/>
                        </w14:solidFill>
                      </w14:textFill>
                    </w:rPr>
                  </w:pPr>
                </w:p>
              </w:tc>
              <w:tc>
                <w:tcPr>
                  <w:tcW w:w="1109" w:type="dxa"/>
                  <w:vMerge w:val="continue"/>
                  <w:vAlign w:val="center"/>
                </w:tcPr>
                <w:p w14:paraId="6B35B01E">
                  <w:pPr>
                    <w:pStyle w:val="43"/>
                    <w:rPr>
                      <w:color w:val="000000" w:themeColor="text1"/>
                      <w14:textFill>
                        <w14:solidFill>
                          <w14:schemeClr w14:val="tx1"/>
                        </w14:solidFill>
                      </w14:textFill>
                    </w:rPr>
                  </w:pPr>
                </w:p>
              </w:tc>
              <w:tc>
                <w:tcPr>
                  <w:tcW w:w="846" w:type="dxa"/>
                  <w:vMerge w:val="continue"/>
                  <w:vAlign w:val="center"/>
                </w:tcPr>
                <w:p w14:paraId="05B25986">
                  <w:pPr>
                    <w:pStyle w:val="43"/>
                    <w:rPr>
                      <w:color w:val="000000" w:themeColor="text1"/>
                      <w14:textFill>
                        <w14:solidFill>
                          <w14:schemeClr w14:val="tx1"/>
                        </w14:solidFill>
                      </w14:textFill>
                    </w:rPr>
                  </w:pPr>
                </w:p>
              </w:tc>
              <w:tc>
                <w:tcPr>
                  <w:tcW w:w="426" w:type="dxa"/>
                  <w:vMerge w:val="continue"/>
                  <w:vAlign w:val="center"/>
                </w:tcPr>
                <w:p w14:paraId="26212F71">
                  <w:pPr>
                    <w:pStyle w:val="43"/>
                    <w:rPr>
                      <w:color w:val="000000" w:themeColor="text1"/>
                      <w14:textFill>
                        <w14:solidFill>
                          <w14:schemeClr w14:val="tx1"/>
                        </w14:solidFill>
                      </w14:textFill>
                    </w:rPr>
                  </w:pPr>
                </w:p>
              </w:tc>
              <w:tc>
                <w:tcPr>
                  <w:tcW w:w="636" w:type="dxa"/>
                  <w:vMerge w:val="continue"/>
                  <w:vAlign w:val="center"/>
                </w:tcPr>
                <w:p w14:paraId="6225B9A5">
                  <w:pPr>
                    <w:pStyle w:val="43"/>
                    <w:rPr>
                      <w:color w:val="000000" w:themeColor="text1"/>
                      <w14:textFill>
                        <w14:solidFill>
                          <w14:schemeClr w14:val="tx1"/>
                        </w14:solidFill>
                      </w14:textFill>
                    </w:rPr>
                  </w:pPr>
                </w:p>
              </w:tc>
              <w:tc>
                <w:tcPr>
                  <w:tcW w:w="426" w:type="dxa"/>
                  <w:vMerge w:val="continue"/>
                  <w:vAlign w:val="center"/>
                </w:tcPr>
                <w:p w14:paraId="5C4FE69A">
                  <w:pPr>
                    <w:pStyle w:val="43"/>
                    <w:rPr>
                      <w:color w:val="000000" w:themeColor="text1"/>
                      <w14:textFill>
                        <w14:solidFill>
                          <w14:schemeClr w14:val="tx1"/>
                        </w14:solidFill>
                      </w14:textFill>
                    </w:rPr>
                  </w:pPr>
                </w:p>
              </w:tc>
              <w:tc>
                <w:tcPr>
                  <w:tcW w:w="426" w:type="dxa"/>
                  <w:vMerge w:val="continue"/>
                  <w:vAlign w:val="center"/>
                </w:tcPr>
                <w:p w14:paraId="004E7EDC">
                  <w:pPr>
                    <w:pStyle w:val="43"/>
                    <w:rPr>
                      <w:color w:val="000000" w:themeColor="text1"/>
                      <w14:textFill>
                        <w14:solidFill>
                          <w14:schemeClr w14:val="tx1"/>
                        </w14:solidFill>
                      </w14:textFill>
                    </w:rPr>
                  </w:pPr>
                </w:p>
              </w:tc>
              <w:tc>
                <w:tcPr>
                  <w:tcW w:w="753" w:type="dxa"/>
                  <w:vAlign w:val="center"/>
                </w:tcPr>
                <w:p w14:paraId="5E657A63">
                  <w:pPr>
                    <w:pStyle w:val="43"/>
                    <w:rPr>
                      <w:color w:val="000000" w:themeColor="text1"/>
                      <w14:textFill>
                        <w14:solidFill>
                          <w14:schemeClr w14:val="tx1"/>
                        </w14:solidFill>
                      </w14:textFill>
                    </w:rPr>
                  </w:pPr>
                  <w:r>
                    <w:rPr>
                      <w:color w:val="000000" w:themeColor="text1"/>
                      <w14:textFill>
                        <w14:solidFill>
                          <w14:schemeClr w14:val="tx1"/>
                        </w14:solidFill>
                      </w14:textFill>
                    </w:rPr>
                    <w:t>动植物油</w:t>
                  </w:r>
                </w:p>
              </w:tc>
              <w:tc>
                <w:tcPr>
                  <w:tcW w:w="1403" w:type="dxa"/>
                  <w:vAlign w:val="center"/>
                </w:tcPr>
                <w:p w14:paraId="7615183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r w14:paraId="16B09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426" w:type="dxa"/>
                  <w:vMerge w:val="continue"/>
                  <w:vAlign w:val="center"/>
                </w:tcPr>
                <w:p w14:paraId="3BBFA22B">
                  <w:pPr>
                    <w:pStyle w:val="43"/>
                    <w:rPr>
                      <w:color w:val="000000" w:themeColor="text1"/>
                      <w14:textFill>
                        <w14:solidFill>
                          <w14:schemeClr w14:val="tx1"/>
                        </w14:solidFill>
                      </w14:textFill>
                    </w:rPr>
                  </w:pPr>
                </w:p>
              </w:tc>
              <w:tc>
                <w:tcPr>
                  <w:tcW w:w="881" w:type="dxa"/>
                  <w:vMerge w:val="continue"/>
                  <w:vAlign w:val="center"/>
                </w:tcPr>
                <w:p w14:paraId="41BD2C21">
                  <w:pPr>
                    <w:pStyle w:val="43"/>
                    <w:rPr>
                      <w:color w:val="000000" w:themeColor="text1"/>
                      <w14:textFill>
                        <w14:solidFill>
                          <w14:schemeClr w14:val="tx1"/>
                        </w14:solidFill>
                      </w14:textFill>
                    </w:rPr>
                  </w:pPr>
                </w:p>
              </w:tc>
              <w:tc>
                <w:tcPr>
                  <w:tcW w:w="1214" w:type="dxa"/>
                  <w:vMerge w:val="continue"/>
                  <w:vAlign w:val="center"/>
                </w:tcPr>
                <w:p w14:paraId="1152C608">
                  <w:pPr>
                    <w:pStyle w:val="43"/>
                    <w:rPr>
                      <w:color w:val="000000" w:themeColor="text1"/>
                      <w14:textFill>
                        <w14:solidFill>
                          <w14:schemeClr w14:val="tx1"/>
                        </w14:solidFill>
                      </w14:textFill>
                    </w:rPr>
                  </w:pPr>
                </w:p>
              </w:tc>
              <w:tc>
                <w:tcPr>
                  <w:tcW w:w="1109" w:type="dxa"/>
                  <w:vMerge w:val="continue"/>
                  <w:vAlign w:val="center"/>
                </w:tcPr>
                <w:p w14:paraId="2F83E4CB">
                  <w:pPr>
                    <w:pStyle w:val="43"/>
                    <w:rPr>
                      <w:color w:val="000000" w:themeColor="text1"/>
                      <w14:textFill>
                        <w14:solidFill>
                          <w14:schemeClr w14:val="tx1"/>
                        </w14:solidFill>
                      </w14:textFill>
                    </w:rPr>
                  </w:pPr>
                </w:p>
              </w:tc>
              <w:tc>
                <w:tcPr>
                  <w:tcW w:w="846" w:type="dxa"/>
                  <w:vMerge w:val="continue"/>
                  <w:vAlign w:val="center"/>
                </w:tcPr>
                <w:p w14:paraId="71ED08F3">
                  <w:pPr>
                    <w:pStyle w:val="43"/>
                    <w:rPr>
                      <w:color w:val="000000" w:themeColor="text1"/>
                      <w14:textFill>
                        <w14:solidFill>
                          <w14:schemeClr w14:val="tx1"/>
                        </w14:solidFill>
                      </w14:textFill>
                    </w:rPr>
                  </w:pPr>
                </w:p>
              </w:tc>
              <w:tc>
                <w:tcPr>
                  <w:tcW w:w="426" w:type="dxa"/>
                  <w:vMerge w:val="continue"/>
                  <w:vAlign w:val="center"/>
                </w:tcPr>
                <w:p w14:paraId="2D7D3DE0">
                  <w:pPr>
                    <w:pStyle w:val="43"/>
                    <w:rPr>
                      <w:color w:val="000000" w:themeColor="text1"/>
                      <w14:textFill>
                        <w14:solidFill>
                          <w14:schemeClr w14:val="tx1"/>
                        </w14:solidFill>
                      </w14:textFill>
                    </w:rPr>
                  </w:pPr>
                </w:p>
              </w:tc>
              <w:tc>
                <w:tcPr>
                  <w:tcW w:w="636" w:type="dxa"/>
                  <w:vMerge w:val="continue"/>
                  <w:vAlign w:val="center"/>
                </w:tcPr>
                <w:p w14:paraId="38BB8DEC">
                  <w:pPr>
                    <w:pStyle w:val="43"/>
                    <w:rPr>
                      <w:color w:val="000000" w:themeColor="text1"/>
                      <w14:textFill>
                        <w14:solidFill>
                          <w14:schemeClr w14:val="tx1"/>
                        </w14:solidFill>
                      </w14:textFill>
                    </w:rPr>
                  </w:pPr>
                </w:p>
              </w:tc>
              <w:tc>
                <w:tcPr>
                  <w:tcW w:w="426" w:type="dxa"/>
                  <w:vMerge w:val="continue"/>
                  <w:vAlign w:val="center"/>
                </w:tcPr>
                <w:p w14:paraId="0E405E85">
                  <w:pPr>
                    <w:pStyle w:val="43"/>
                    <w:rPr>
                      <w:color w:val="000000" w:themeColor="text1"/>
                      <w14:textFill>
                        <w14:solidFill>
                          <w14:schemeClr w14:val="tx1"/>
                        </w14:solidFill>
                      </w14:textFill>
                    </w:rPr>
                  </w:pPr>
                </w:p>
              </w:tc>
              <w:tc>
                <w:tcPr>
                  <w:tcW w:w="426" w:type="dxa"/>
                  <w:vMerge w:val="continue"/>
                  <w:vAlign w:val="center"/>
                </w:tcPr>
                <w:p w14:paraId="5676C83E">
                  <w:pPr>
                    <w:pStyle w:val="43"/>
                    <w:rPr>
                      <w:color w:val="000000" w:themeColor="text1"/>
                      <w14:textFill>
                        <w14:solidFill>
                          <w14:schemeClr w14:val="tx1"/>
                        </w14:solidFill>
                      </w14:textFill>
                    </w:rPr>
                  </w:pPr>
                </w:p>
              </w:tc>
              <w:tc>
                <w:tcPr>
                  <w:tcW w:w="753" w:type="dxa"/>
                  <w:vAlign w:val="center"/>
                </w:tcPr>
                <w:p w14:paraId="25ECC7A5">
                  <w:pPr>
                    <w:pStyle w:val="43"/>
                    <w:rPr>
                      <w:color w:val="000000" w:themeColor="text1"/>
                      <w14:textFill>
                        <w14:solidFill>
                          <w14:schemeClr w14:val="tx1"/>
                        </w14:solidFill>
                      </w14:textFill>
                    </w:rPr>
                  </w:pPr>
                  <w:r>
                    <w:rPr>
                      <w:color w:val="000000" w:themeColor="text1"/>
                      <w14:textFill>
                        <w14:solidFill>
                          <w14:schemeClr w14:val="tx1"/>
                        </w14:solidFill>
                      </w14:textFill>
                    </w:rPr>
                    <w:t>粪大肠菌群</w:t>
                  </w:r>
                </w:p>
              </w:tc>
              <w:tc>
                <w:tcPr>
                  <w:tcW w:w="1403" w:type="dxa"/>
                  <w:vAlign w:val="center"/>
                </w:tcPr>
                <w:p w14:paraId="07B3C59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10</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（个/L）</w:t>
                  </w:r>
                </w:p>
              </w:tc>
            </w:tr>
          </w:tbl>
          <w:p w14:paraId="7293F0C3">
            <w:pPr>
              <w:pStyle w:val="46"/>
              <w:rPr>
                <w:color w:val="000000" w:themeColor="text1"/>
                <w14:textFill>
                  <w14:solidFill>
                    <w14:schemeClr w14:val="tx1"/>
                  </w14:solidFill>
                </w14:textFill>
              </w:rPr>
            </w:pPr>
            <w:r>
              <w:rPr>
                <w:color w:val="000000" w:themeColor="text1"/>
                <w14:textFill>
                  <w14:solidFill>
                    <w14:schemeClr w14:val="tx1"/>
                  </w14:solidFill>
                </w14:textFill>
              </w:rPr>
              <w:t>表</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12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废水污染排放信息表</w:t>
            </w:r>
          </w:p>
          <w:tbl>
            <w:tblPr>
              <w:tblStyle w:val="19"/>
              <w:tblW w:w="755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5"/>
              <w:gridCol w:w="889"/>
              <w:gridCol w:w="819"/>
              <w:gridCol w:w="1038"/>
              <w:gridCol w:w="1126"/>
              <w:gridCol w:w="1030"/>
              <w:gridCol w:w="1093"/>
              <w:gridCol w:w="1154"/>
            </w:tblGrid>
            <w:tr w14:paraId="3943D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05" w:type="dxa"/>
                </w:tcPr>
                <w:p w14:paraId="3088634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89" w:type="dxa"/>
                </w:tcPr>
                <w:p w14:paraId="7B5546C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排放口编号</w:t>
                  </w:r>
                </w:p>
              </w:tc>
              <w:tc>
                <w:tcPr>
                  <w:tcW w:w="819" w:type="dxa"/>
                </w:tcPr>
                <w:p w14:paraId="11890BA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污染物种类</w:t>
                  </w:r>
                </w:p>
              </w:tc>
              <w:tc>
                <w:tcPr>
                  <w:tcW w:w="1038" w:type="dxa"/>
                </w:tcPr>
                <w:p w14:paraId="5191952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排放浓度（mg/L）</w:t>
                  </w:r>
                </w:p>
              </w:tc>
              <w:tc>
                <w:tcPr>
                  <w:tcW w:w="1126" w:type="dxa"/>
                </w:tcPr>
                <w:p w14:paraId="5913166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新增日排放量（t/d）</w:t>
                  </w:r>
                </w:p>
              </w:tc>
              <w:tc>
                <w:tcPr>
                  <w:tcW w:w="1030" w:type="dxa"/>
                </w:tcPr>
                <w:p w14:paraId="4C4FAAE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全厂日排放量（t/d）</w:t>
                  </w:r>
                </w:p>
              </w:tc>
              <w:tc>
                <w:tcPr>
                  <w:tcW w:w="1093" w:type="dxa"/>
                </w:tcPr>
                <w:p w14:paraId="275C94A6">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新增年排放量（t/a）</w:t>
                  </w:r>
                </w:p>
              </w:tc>
              <w:tc>
                <w:tcPr>
                  <w:tcW w:w="1154" w:type="dxa"/>
                </w:tcPr>
                <w:p w14:paraId="25BF5C4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全厂年排放量（t/a）</w:t>
                  </w:r>
                </w:p>
              </w:tc>
            </w:tr>
            <w:tr w14:paraId="3F3A1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405" w:type="dxa"/>
                  <w:vMerge w:val="restart"/>
                </w:tcPr>
                <w:p w14:paraId="7B97F257">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89" w:type="dxa"/>
                  <w:vMerge w:val="restart"/>
                  <w:vAlign w:val="center"/>
                </w:tcPr>
                <w:p w14:paraId="0F38FEA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DW001</w:t>
                  </w:r>
                </w:p>
              </w:tc>
              <w:tc>
                <w:tcPr>
                  <w:tcW w:w="819" w:type="dxa"/>
                </w:tcPr>
                <w:p w14:paraId="188EEB1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038" w:type="dxa"/>
                </w:tcPr>
                <w:p w14:paraId="3DDEC78C">
                  <w:pPr>
                    <w:pStyle w:val="43"/>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1126" w:type="dxa"/>
                </w:tcPr>
                <w:p w14:paraId="269A240C">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0.034</w:t>
                  </w:r>
                </w:p>
              </w:tc>
              <w:tc>
                <w:tcPr>
                  <w:tcW w:w="1030" w:type="dxa"/>
                </w:tcPr>
                <w:p w14:paraId="0265A03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0.034</w:t>
                  </w:r>
                </w:p>
              </w:tc>
              <w:tc>
                <w:tcPr>
                  <w:tcW w:w="1093" w:type="dxa"/>
                  <w:vAlign w:val="center"/>
                </w:tcPr>
                <w:p w14:paraId="0FBF9514">
                  <w:pPr>
                    <w:pStyle w:val="43"/>
                    <w:rPr>
                      <w:color w:val="000000" w:themeColor="text1"/>
                      <w14:textFill>
                        <w14:solidFill>
                          <w14:schemeClr w14:val="tx1"/>
                        </w14:solidFill>
                      </w14:textFill>
                    </w:rPr>
                  </w:pPr>
                  <w:r>
                    <w:rPr>
                      <w:rFonts w:hint="eastAsia"/>
                      <w:szCs w:val="18"/>
                    </w:rPr>
                    <w:t>12.35</w:t>
                  </w:r>
                </w:p>
              </w:tc>
              <w:tc>
                <w:tcPr>
                  <w:tcW w:w="1154" w:type="dxa"/>
                  <w:vAlign w:val="center"/>
                </w:tcPr>
                <w:p w14:paraId="43C6DDDC">
                  <w:pPr>
                    <w:pStyle w:val="43"/>
                    <w:rPr>
                      <w:color w:val="000000" w:themeColor="text1"/>
                      <w14:textFill>
                        <w14:solidFill>
                          <w14:schemeClr w14:val="tx1"/>
                        </w14:solidFill>
                      </w14:textFill>
                    </w:rPr>
                  </w:pPr>
                  <w:r>
                    <w:rPr>
                      <w:rFonts w:hint="eastAsia"/>
                      <w:szCs w:val="18"/>
                    </w:rPr>
                    <w:t>12.35</w:t>
                  </w:r>
                </w:p>
              </w:tc>
            </w:tr>
            <w:tr w14:paraId="78347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405" w:type="dxa"/>
                  <w:vMerge w:val="continue"/>
                </w:tcPr>
                <w:p w14:paraId="329A6297">
                  <w:pPr>
                    <w:pStyle w:val="43"/>
                    <w:rPr>
                      <w:color w:val="000000" w:themeColor="text1"/>
                      <w14:textFill>
                        <w14:solidFill>
                          <w14:schemeClr w14:val="tx1"/>
                        </w14:solidFill>
                      </w14:textFill>
                    </w:rPr>
                  </w:pPr>
                </w:p>
              </w:tc>
              <w:tc>
                <w:tcPr>
                  <w:tcW w:w="889" w:type="dxa"/>
                  <w:vMerge w:val="continue"/>
                  <w:vAlign w:val="center"/>
                </w:tcPr>
                <w:p w14:paraId="67C5161E">
                  <w:pPr>
                    <w:pStyle w:val="43"/>
                    <w:rPr>
                      <w:color w:val="000000" w:themeColor="text1"/>
                      <w14:textFill>
                        <w14:solidFill>
                          <w14:schemeClr w14:val="tx1"/>
                        </w14:solidFill>
                      </w14:textFill>
                    </w:rPr>
                  </w:pPr>
                </w:p>
              </w:tc>
              <w:tc>
                <w:tcPr>
                  <w:tcW w:w="819" w:type="dxa"/>
                </w:tcPr>
                <w:p w14:paraId="0EEE5FE2">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1038" w:type="dxa"/>
                </w:tcPr>
                <w:p w14:paraId="69E1128D">
                  <w:pPr>
                    <w:pStyle w:val="43"/>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126" w:type="dxa"/>
                </w:tcPr>
                <w:p w14:paraId="7A91A6E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034</w:t>
                  </w:r>
                </w:p>
              </w:tc>
              <w:tc>
                <w:tcPr>
                  <w:tcW w:w="1030" w:type="dxa"/>
                </w:tcPr>
                <w:p w14:paraId="40BDCE08">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034</w:t>
                  </w:r>
                </w:p>
              </w:tc>
              <w:tc>
                <w:tcPr>
                  <w:tcW w:w="1093" w:type="dxa"/>
                  <w:vAlign w:val="center"/>
                </w:tcPr>
                <w:p w14:paraId="4C95CD2A">
                  <w:pPr>
                    <w:pStyle w:val="43"/>
                    <w:rPr>
                      <w:color w:val="000000" w:themeColor="text1"/>
                      <w14:textFill>
                        <w14:solidFill>
                          <w14:schemeClr w14:val="tx1"/>
                        </w14:solidFill>
                      </w14:textFill>
                    </w:rPr>
                  </w:pPr>
                  <w:r>
                    <w:rPr>
                      <w:rFonts w:hint="eastAsia"/>
                      <w:szCs w:val="18"/>
                    </w:rPr>
                    <w:t>1.24</w:t>
                  </w:r>
                </w:p>
              </w:tc>
              <w:tc>
                <w:tcPr>
                  <w:tcW w:w="1154" w:type="dxa"/>
                  <w:vAlign w:val="center"/>
                </w:tcPr>
                <w:p w14:paraId="29ECB04E">
                  <w:pPr>
                    <w:pStyle w:val="43"/>
                    <w:rPr>
                      <w:color w:val="000000" w:themeColor="text1"/>
                      <w14:textFill>
                        <w14:solidFill>
                          <w14:schemeClr w14:val="tx1"/>
                        </w14:solidFill>
                      </w14:textFill>
                    </w:rPr>
                  </w:pPr>
                  <w:r>
                    <w:rPr>
                      <w:rFonts w:hint="eastAsia"/>
                      <w:szCs w:val="18"/>
                    </w:rPr>
                    <w:t>1.24</w:t>
                  </w:r>
                </w:p>
              </w:tc>
            </w:tr>
            <w:tr w14:paraId="68122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1294" w:type="dxa"/>
                  <w:gridSpan w:val="2"/>
                  <w:vMerge w:val="restart"/>
                </w:tcPr>
                <w:p w14:paraId="0FD2A6F0">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全厂排放口合计</w:t>
                  </w:r>
                </w:p>
              </w:tc>
              <w:tc>
                <w:tcPr>
                  <w:tcW w:w="4013" w:type="dxa"/>
                  <w:gridSpan w:val="4"/>
                  <w:vAlign w:val="center"/>
                </w:tcPr>
                <w:p w14:paraId="1F5AFB5D">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COD</w:t>
                  </w:r>
                </w:p>
              </w:tc>
              <w:tc>
                <w:tcPr>
                  <w:tcW w:w="1093" w:type="dxa"/>
                  <w:vAlign w:val="center"/>
                </w:tcPr>
                <w:p w14:paraId="0069DEC7">
                  <w:pPr>
                    <w:pStyle w:val="43"/>
                    <w:rPr>
                      <w:color w:val="000000" w:themeColor="text1"/>
                      <w14:textFill>
                        <w14:solidFill>
                          <w14:schemeClr w14:val="tx1"/>
                        </w14:solidFill>
                      </w14:textFill>
                    </w:rPr>
                  </w:pPr>
                  <w:r>
                    <w:rPr>
                      <w:rFonts w:hint="eastAsia"/>
                      <w:szCs w:val="18"/>
                    </w:rPr>
                    <w:t>12.35</w:t>
                  </w:r>
                </w:p>
              </w:tc>
              <w:tc>
                <w:tcPr>
                  <w:tcW w:w="1154" w:type="dxa"/>
                </w:tcPr>
                <w:p w14:paraId="78943069">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0.011</w:t>
                  </w:r>
                </w:p>
              </w:tc>
            </w:tr>
            <w:tr w14:paraId="56DC6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1294" w:type="dxa"/>
                  <w:gridSpan w:val="2"/>
                  <w:vMerge w:val="continue"/>
                </w:tcPr>
                <w:p w14:paraId="1C840F29">
                  <w:pPr>
                    <w:pStyle w:val="43"/>
                    <w:rPr>
                      <w:color w:val="000000" w:themeColor="text1"/>
                      <w14:textFill>
                        <w14:solidFill>
                          <w14:schemeClr w14:val="tx1"/>
                        </w14:solidFill>
                      </w14:textFill>
                    </w:rPr>
                  </w:pPr>
                </w:p>
              </w:tc>
              <w:tc>
                <w:tcPr>
                  <w:tcW w:w="4013" w:type="dxa"/>
                  <w:gridSpan w:val="4"/>
                  <w:vAlign w:val="center"/>
                </w:tcPr>
                <w:p w14:paraId="11465231">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氨氮</w:t>
                  </w:r>
                </w:p>
              </w:tc>
              <w:tc>
                <w:tcPr>
                  <w:tcW w:w="1093" w:type="dxa"/>
                  <w:vAlign w:val="center"/>
                </w:tcPr>
                <w:p w14:paraId="51CBE16A">
                  <w:pPr>
                    <w:pStyle w:val="43"/>
                    <w:rPr>
                      <w:color w:val="000000" w:themeColor="text1"/>
                      <w14:textFill>
                        <w14:solidFill>
                          <w14:schemeClr w14:val="tx1"/>
                        </w14:solidFill>
                      </w14:textFill>
                    </w:rPr>
                  </w:pPr>
                  <w:r>
                    <w:rPr>
                      <w:rFonts w:hint="eastAsia"/>
                      <w:szCs w:val="18"/>
                    </w:rPr>
                    <w:t>1.24</w:t>
                  </w:r>
                </w:p>
              </w:tc>
              <w:tc>
                <w:tcPr>
                  <w:tcW w:w="1154" w:type="dxa"/>
                </w:tcPr>
                <w:p w14:paraId="15938184">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0.0011</w:t>
                  </w:r>
                </w:p>
              </w:tc>
            </w:tr>
          </w:tbl>
          <w:p w14:paraId="61979ED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依托伊春市中心城污水处理厂可行性分析</w:t>
            </w:r>
          </w:p>
          <w:p w14:paraId="10B5487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地表水环境》（HJ2.3-2018）的内容，其评价范围应符合：应满足其依托污水处理设施环境可行性分析的要求；涉及地表水环境风险的，应覆盖环境风险影响范围所及的水环境保护目标水域。本项目污水水质类型简单，不涉及到地表水环境风险，本次主要对依托污染处理设施环境可行性进行分析。</w:t>
            </w:r>
          </w:p>
          <w:p w14:paraId="1C8C259C">
            <w:pPr>
              <w:adjustRightInd w:val="0"/>
              <w:spacing w:line="360" w:lineRule="auto"/>
              <w:ind w:firstLine="424" w:firstLineChars="202"/>
              <w:rPr>
                <w:color w:val="000000" w:themeColor="text1"/>
                <w14:textFill>
                  <w14:solidFill>
                    <w14:schemeClr w14:val="tx1"/>
                  </w14:solidFill>
                </w14:textFill>
              </w:rPr>
            </w:pPr>
            <w:r>
              <w:rPr>
                <w:rFonts w:hint="eastAsia"/>
                <w:color w:val="000000" w:themeColor="text1"/>
                <w14:textFill>
                  <w14:solidFill>
                    <w14:schemeClr w14:val="tx1"/>
                  </w14:solidFill>
                </w14:textFill>
              </w:rPr>
              <w:t>伊春市中心城污水处理厂坐落于黑龙江省伊春市火车站东北侧、汤旺河西岸，污水处理设计规模为10.0×10</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/d，该项目采用先进的污水处理设备，厂区主体工艺采用CASS处理工艺。出水标准：出水执行《城镇污水处理厂污染物排放标准》一级A标准。现有污水处理规模完全可以接纳本项目的废水排入。</w:t>
            </w:r>
            <w:r>
              <w:rPr>
                <w:color w:val="000000" w:themeColor="text1"/>
                <w14:textFill>
                  <w14:solidFill>
                    <w14:schemeClr w14:val="tx1"/>
                  </w14:solidFill>
                </w14:textFill>
              </w:rPr>
              <w:t>本项目污水排水量较小，且易于处理达标，对污水处理厂的影响较小。因此，项目污水排入</w:t>
            </w:r>
            <w:r>
              <w:rPr>
                <w:rFonts w:hint="eastAsia"/>
                <w:color w:val="000000" w:themeColor="text1"/>
                <w14:textFill>
                  <w14:solidFill>
                    <w14:schemeClr w14:val="tx1"/>
                  </w14:solidFill>
                </w14:textFill>
              </w:rPr>
              <w:t>伊春市中心城污水处理厂</w:t>
            </w:r>
            <w:r>
              <w:rPr>
                <w:color w:val="000000" w:themeColor="text1"/>
                <w14:textFill>
                  <w14:solidFill>
                    <w14:schemeClr w14:val="tx1"/>
                  </w14:solidFill>
                </w14:textFill>
              </w:rPr>
              <w:t>可行。</w:t>
            </w:r>
          </w:p>
          <w:p w14:paraId="65D27254">
            <w:pPr>
              <w:adjustRightInd w:val="0"/>
              <w:spacing w:line="360" w:lineRule="auto"/>
              <w:ind w:firstLine="424" w:firstLineChars="20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根据自行监测的相关要求，单独排向公共污水处理系统的生活污水不要求开展自行监测。</w:t>
            </w:r>
          </w:p>
          <w:p w14:paraId="7E3F894B">
            <w:pPr>
              <w:adjustRightInd w:val="0"/>
              <w:spacing w:line="360" w:lineRule="auto"/>
              <w:ind w:firstLine="424" w:firstLineChars="20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噪声</w:t>
            </w:r>
          </w:p>
          <w:p w14:paraId="3A66F803">
            <w:pPr>
              <w:adjustRightInd w:val="0"/>
              <w:spacing w:line="360" w:lineRule="auto"/>
              <w:ind w:firstLine="424" w:firstLineChars="202"/>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声环境污染源项分析</w:t>
            </w:r>
          </w:p>
          <w:p w14:paraId="1B455ECA">
            <w:pPr>
              <w:adjustRightInd w:val="0"/>
              <w:spacing w:line="360" w:lineRule="auto"/>
              <w:ind w:firstLine="424" w:firstLineChars="202"/>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本项目的噪声主要为</w:t>
            </w:r>
            <w:r>
              <w:rPr>
                <w:rFonts w:hint="eastAsia"/>
                <w:color w:val="000000" w:themeColor="text1"/>
                <w:szCs w:val="21"/>
                <w14:textFill>
                  <w14:solidFill>
                    <w14:schemeClr w14:val="tx1"/>
                  </w14:solidFill>
                </w14:textFill>
              </w:rPr>
              <w:t>锅炉风机、水泵产生的机械噪声</w:t>
            </w:r>
            <w:r>
              <w:rPr>
                <w:color w:val="000000" w:themeColor="text1"/>
                <w:szCs w:val="21"/>
                <w14:textFill>
                  <w14:solidFill>
                    <w14:schemeClr w14:val="tx1"/>
                  </w14:solidFill>
                </w14:textFill>
              </w:rPr>
              <w:t>。设备噪声在</w:t>
            </w:r>
            <w:r>
              <w:rPr>
                <w:rFonts w:hint="eastAsia"/>
                <w:color w:val="000000" w:themeColor="text1"/>
                <w:szCs w:val="21"/>
                <w14:textFill>
                  <w14:solidFill>
                    <w14:schemeClr w14:val="tx1"/>
                  </w14:solidFill>
                </w14:textFill>
              </w:rPr>
              <w:t>8</w:t>
            </w:r>
            <w:r>
              <w:rPr>
                <w:color w:val="000000" w:themeColor="text1"/>
                <w:szCs w:val="21"/>
                <w14:textFill>
                  <w14:solidFill>
                    <w14:schemeClr w14:val="tx1"/>
                  </w14:solidFill>
                </w14:textFill>
              </w:rPr>
              <w:t>0～8</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dB(A)之间。本项目设备产生的噪声源强见下表。</w:t>
            </w:r>
          </w:p>
          <w:p w14:paraId="0D2B3A0F">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13 噪声源强调查清单（</w:t>
            </w:r>
            <w:r>
              <w:rPr>
                <w:color w:val="000000" w:themeColor="text1"/>
                <w14:textFill>
                  <w14:solidFill>
                    <w14:schemeClr w14:val="tx1"/>
                  </w14:solidFill>
                </w14:textFill>
              </w:rPr>
              <w:t>室内声源</w:t>
            </w:r>
            <w:r>
              <w:rPr>
                <w:rFonts w:hint="eastAsia"/>
                <w:color w:val="000000" w:themeColor="text1"/>
                <w14:textFill>
                  <w14:solidFill>
                    <w14:schemeClr w14:val="tx1"/>
                  </w14:solidFill>
                </w14:textFill>
              </w:rPr>
              <w:t>）</w:t>
            </w:r>
          </w:p>
          <w:tbl>
            <w:tblPr>
              <w:tblStyle w:val="19"/>
              <w:tblW w:w="826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8"/>
              <w:gridCol w:w="368"/>
              <w:gridCol w:w="368"/>
              <w:gridCol w:w="673"/>
              <w:gridCol w:w="647"/>
              <w:gridCol w:w="520"/>
              <w:gridCol w:w="368"/>
              <w:gridCol w:w="368"/>
              <w:gridCol w:w="406"/>
              <w:gridCol w:w="377"/>
              <w:gridCol w:w="647"/>
              <w:gridCol w:w="368"/>
              <w:gridCol w:w="647"/>
              <w:gridCol w:w="648"/>
              <w:gridCol w:w="369"/>
              <w:gridCol w:w="521"/>
            </w:tblGrid>
            <w:tr w14:paraId="315B20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Merge w:val="restart"/>
                  <w:vAlign w:val="center"/>
                </w:tcPr>
                <w:p w14:paraId="1BD896B6">
                  <w:pPr>
                    <w:spacing w:line="0" w:lineRule="atLeast"/>
                    <w:jc w:val="center"/>
                    <w:rPr>
                      <w:sz w:val="18"/>
                      <w:szCs w:val="18"/>
                    </w:rPr>
                  </w:pPr>
                  <w:r>
                    <w:rPr>
                      <w:sz w:val="18"/>
                      <w:szCs w:val="18"/>
                    </w:rPr>
                    <w:t>序号</w:t>
                  </w:r>
                </w:p>
              </w:tc>
              <w:tc>
                <w:tcPr>
                  <w:tcW w:w="229" w:type="pct"/>
                  <w:vMerge w:val="restart"/>
                  <w:vAlign w:val="center"/>
                </w:tcPr>
                <w:p w14:paraId="5F1A739F">
                  <w:pPr>
                    <w:spacing w:line="0" w:lineRule="atLeast"/>
                    <w:jc w:val="center"/>
                    <w:rPr>
                      <w:sz w:val="18"/>
                      <w:szCs w:val="18"/>
                    </w:rPr>
                  </w:pPr>
                  <w:r>
                    <w:rPr>
                      <w:sz w:val="18"/>
                      <w:szCs w:val="18"/>
                    </w:rPr>
                    <w:t>建筑物名称</w:t>
                  </w:r>
                </w:p>
              </w:tc>
              <w:tc>
                <w:tcPr>
                  <w:tcW w:w="229" w:type="pct"/>
                  <w:vMerge w:val="restart"/>
                  <w:vAlign w:val="center"/>
                </w:tcPr>
                <w:p w14:paraId="14D27ABF">
                  <w:pPr>
                    <w:spacing w:line="0" w:lineRule="atLeast"/>
                    <w:jc w:val="center"/>
                    <w:rPr>
                      <w:sz w:val="18"/>
                      <w:szCs w:val="18"/>
                    </w:rPr>
                  </w:pPr>
                  <w:r>
                    <w:rPr>
                      <w:sz w:val="18"/>
                      <w:szCs w:val="18"/>
                    </w:rPr>
                    <w:t>声源名称</w:t>
                  </w:r>
                </w:p>
              </w:tc>
              <w:tc>
                <w:tcPr>
                  <w:tcW w:w="457" w:type="pct"/>
                  <w:vMerge w:val="restart"/>
                  <w:vAlign w:val="center"/>
                </w:tcPr>
                <w:p w14:paraId="69BBBF03">
                  <w:pPr>
                    <w:spacing w:line="0" w:lineRule="atLeast"/>
                    <w:jc w:val="center"/>
                    <w:rPr>
                      <w:sz w:val="18"/>
                      <w:szCs w:val="18"/>
                    </w:rPr>
                  </w:pPr>
                  <w:r>
                    <w:rPr>
                      <w:rFonts w:hint="eastAsia"/>
                      <w:sz w:val="18"/>
                      <w:szCs w:val="18"/>
                    </w:rPr>
                    <w:t>设备数量（台）</w:t>
                  </w:r>
                </w:p>
              </w:tc>
              <w:tc>
                <w:tcPr>
                  <w:tcW w:w="437" w:type="pct"/>
                  <w:vMerge w:val="restart"/>
                  <w:vAlign w:val="center"/>
                </w:tcPr>
                <w:p w14:paraId="629BB6D2">
                  <w:pPr>
                    <w:spacing w:line="0" w:lineRule="atLeast"/>
                    <w:jc w:val="center"/>
                    <w:rPr>
                      <w:sz w:val="18"/>
                      <w:szCs w:val="18"/>
                    </w:rPr>
                  </w:pPr>
                  <w:r>
                    <w:rPr>
                      <w:sz w:val="18"/>
                      <w:szCs w:val="18"/>
                    </w:rPr>
                    <w:t>声源源强/dB(A)</w:t>
                  </w:r>
                </w:p>
              </w:tc>
              <w:tc>
                <w:tcPr>
                  <w:tcW w:w="344" w:type="pct"/>
                  <w:vMerge w:val="restart"/>
                  <w:vAlign w:val="center"/>
                </w:tcPr>
                <w:p w14:paraId="0AC1833D">
                  <w:pPr>
                    <w:spacing w:line="0" w:lineRule="atLeast"/>
                    <w:jc w:val="center"/>
                    <w:rPr>
                      <w:sz w:val="18"/>
                      <w:szCs w:val="18"/>
                    </w:rPr>
                  </w:pPr>
                  <w:r>
                    <w:rPr>
                      <w:sz w:val="18"/>
                      <w:szCs w:val="18"/>
                    </w:rPr>
                    <w:t>降噪措施</w:t>
                  </w:r>
                </w:p>
              </w:tc>
              <w:tc>
                <w:tcPr>
                  <w:tcW w:w="718" w:type="pct"/>
                  <w:gridSpan w:val="3"/>
                  <w:vAlign w:val="center"/>
                </w:tcPr>
                <w:p w14:paraId="3CD472AF">
                  <w:pPr>
                    <w:spacing w:line="0" w:lineRule="atLeast"/>
                    <w:jc w:val="center"/>
                    <w:rPr>
                      <w:sz w:val="18"/>
                      <w:szCs w:val="18"/>
                    </w:rPr>
                  </w:pPr>
                  <w:r>
                    <w:rPr>
                      <w:sz w:val="18"/>
                      <w:szCs w:val="18"/>
                    </w:rPr>
                    <w:t>空间相对位置/m</w:t>
                  </w:r>
                </w:p>
              </w:tc>
              <w:tc>
                <w:tcPr>
                  <w:tcW w:w="236" w:type="pct"/>
                  <w:vMerge w:val="restart"/>
                  <w:vAlign w:val="center"/>
                </w:tcPr>
                <w:p w14:paraId="3D406DE7">
                  <w:pPr>
                    <w:spacing w:line="0" w:lineRule="atLeast"/>
                    <w:jc w:val="center"/>
                    <w:rPr>
                      <w:sz w:val="18"/>
                      <w:szCs w:val="18"/>
                    </w:rPr>
                  </w:pPr>
                  <w:r>
                    <w:rPr>
                      <w:sz w:val="18"/>
                      <w:szCs w:val="18"/>
                    </w:rPr>
                    <w:t>距室内边界距离/m</w:t>
                  </w:r>
                </w:p>
              </w:tc>
              <w:tc>
                <w:tcPr>
                  <w:tcW w:w="437" w:type="pct"/>
                  <w:vMerge w:val="restart"/>
                  <w:vAlign w:val="center"/>
                </w:tcPr>
                <w:p w14:paraId="6BC517F3">
                  <w:pPr>
                    <w:spacing w:line="0" w:lineRule="atLeast"/>
                    <w:jc w:val="center"/>
                    <w:rPr>
                      <w:sz w:val="18"/>
                      <w:szCs w:val="18"/>
                    </w:rPr>
                  </w:pPr>
                  <w:r>
                    <w:rPr>
                      <w:sz w:val="18"/>
                      <w:szCs w:val="18"/>
                    </w:rPr>
                    <w:t>室内边界声级/dB(A)</w:t>
                  </w:r>
                </w:p>
              </w:tc>
              <w:tc>
                <w:tcPr>
                  <w:tcW w:w="237" w:type="pct"/>
                  <w:vMerge w:val="restart"/>
                  <w:vAlign w:val="center"/>
                </w:tcPr>
                <w:p w14:paraId="0334A7BD">
                  <w:pPr>
                    <w:spacing w:line="0" w:lineRule="atLeast"/>
                    <w:jc w:val="center"/>
                    <w:rPr>
                      <w:sz w:val="18"/>
                      <w:szCs w:val="18"/>
                    </w:rPr>
                  </w:pPr>
                  <w:r>
                    <w:rPr>
                      <w:sz w:val="18"/>
                      <w:szCs w:val="18"/>
                    </w:rPr>
                    <w:t>运行时段</w:t>
                  </w:r>
                </w:p>
              </w:tc>
              <w:tc>
                <w:tcPr>
                  <w:tcW w:w="437" w:type="pct"/>
                  <w:vMerge w:val="restart"/>
                  <w:vAlign w:val="center"/>
                </w:tcPr>
                <w:p w14:paraId="1613A4DA">
                  <w:pPr>
                    <w:spacing w:line="0" w:lineRule="atLeast"/>
                    <w:jc w:val="center"/>
                    <w:rPr>
                      <w:sz w:val="18"/>
                      <w:szCs w:val="18"/>
                    </w:rPr>
                  </w:pPr>
                  <w:r>
                    <w:rPr>
                      <w:sz w:val="18"/>
                      <w:szCs w:val="18"/>
                    </w:rPr>
                    <w:t>建筑物插入损失/dB(A)</w:t>
                  </w:r>
                </w:p>
              </w:tc>
              <w:tc>
                <w:tcPr>
                  <w:tcW w:w="667" w:type="pct"/>
                  <w:gridSpan w:val="2"/>
                  <w:vAlign w:val="center"/>
                </w:tcPr>
                <w:p w14:paraId="0AA7F29A">
                  <w:pPr>
                    <w:spacing w:line="0" w:lineRule="atLeast"/>
                    <w:jc w:val="center"/>
                    <w:rPr>
                      <w:sz w:val="18"/>
                      <w:szCs w:val="18"/>
                    </w:rPr>
                  </w:pPr>
                  <w:r>
                    <w:rPr>
                      <w:sz w:val="18"/>
                      <w:szCs w:val="18"/>
                    </w:rPr>
                    <w:t>建筑物外噪声</w:t>
                  </w:r>
                </w:p>
              </w:tc>
              <w:tc>
                <w:tcPr>
                  <w:tcW w:w="343" w:type="pct"/>
                  <w:vMerge w:val="restart"/>
                  <w:vAlign w:val="center"/>
                </w:tcPr>
                <w:p w14:paraId="6812B949">
                  <w:pPr>
                    <w:spacing w:line="0" w:lineRule="atLeast"/>
                    <w:jc w:val="center"/>
                    <w:rPr>
                      <w:sz w:val="18"/>
                      <w:szCs w:val="18"/>
                    </w:rPr>
                  </w:pPr>
                  <w:r>
                    <w:rPr>
                      <w:sz w:val="18"/>
                      <w:szCs w:val="18"/>
                    </w:rPr>
                    <w:t>持续时间</w:t>
                  </w:r>
                </w:p>
              </w:tc>
            </w:tr>
            <w:tr w14:paraId="052827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Merge w:val="continue"/>
                  <w:vAlign w:val="center"/>
                </w:tcPr>
                <w:p w14:paraId="0FF40532">
                  <w:pPr>
                    <w:spacing w:line="0" w:lineRule="atLeast"/>
                    <w:jc w:val="center"/>
                    <w:rPr>
                      <w:sz w:val="18"/>
                      <w:szCs w:val="18"/>
                    </w:rPr>
                  </w:pPr>
                </w:p>
              </w:tc>
              <w:tc>
                <w:tcPr>
                  <w:tcW w:w="229" w:type="pct"/>
                  <w:vMerge w:val="continue"/>
                  <w:vAlign w:val="center"/>
                </w:tcPr>
                <w:p w14:paraId="1F77F801">
                  <w:pPr>
                    <w:spacing w:line="0" w:lineRule="atLeast"/>
                    <w:jc w:val="center"/>
                    <w:rPr>
                      <w:sz w:val="18"/>
                      <w:szCs w:val="18"/>
                    </w:rPr>
                  </w:pPr>
                </w:p>
              </w:tc>
              <w:tc>
                <w:tcPr>
                  <w:tcW w:w="229" w:type="pct"/>
                  <w:vMerge w:val="continue"/>
                  <w:vAlign w:val="center"/>
                </w:tcPr>
                <w:p w14:paraId="5871F19D">
                  <w:pPr>
                    <w:spacing w:line="0" w:lineRule="atLeast"/>
                    <w:jc w:val="center"/>
                    <w:rPr>
                      <w:sz w:val="18"/>
                      <w:szCs w:val="18"/>
                    </w:rPr>
                  </w:pPr>
                </w:p>
              </w:tc>
              <w:tc>
                <w:tcPr>
                  <w:tcW w:w="457" w:type="pct"/>
                  <w:vMerge w:val="continue"/>
                  <w:vAlign w:val="center"/>
                </w:tcPr>
                <w:p w14:paraId="264EF72B">
                  <w:pPr>
                    <w:spacing w:line="0" w:lineRule="atLeast"/>
                    <w:jc w:val="center"/>
                    <w:rPr>
                      <w:sz w:val="18"/>
                      <w:szCs w:val="18"/>
                    </w:rPr>
                  </w:pPr>
                </w:p>
              </w:tc>
              <w:tc>
                <w:tcPr>
                  <w:tcW w:w="437" w:type="pct"/>
                  <w:vMerge w:val="continue"/>
                  <w:vAlign w:val="center"/>
                </w:tcPr>
                <w:p w14:paraId="3E6CEC03">
                  <w:pPr>
                    <w:spacing w:line="0" w:lineRule="atLeast"/>
                    <w:jc w:val="center"/>
                    <w:rPr>
                      <w:sz w:val="18"/>
                      <w:szCs w:val="18"/>
                    </w:rPr>
                  </w:pPr>
                </w:p>
              </w:tc>
              <w:tc>
                <w:tcPr>
                  <w:tcW w:w="344" w:type="pct"/>
                  <w:vMerge w:val="continue"/>
                  <w:vAlign w:val="center"/>
                </w:tcPr>
                <w:p w14:paraId="73A6FC30">
                  <w:pPr>
                    <w:spacing w:line="0" w:lineRule="atLeast"/>
                    <w:jc w:val="center"/>
                    <w:rPr>
                      <w:sz w:val="18"/>
                      <w:szCs w:val="18"/>
                    </w:rPr>
                  </w:pPr>
                </w:p>
              </w:tc>
              <w:tc>
                <w:tcPr>
                  <w:tcW w:w="229" w:type="pct"/>
                  <w:vAlign w:val="center"/>
                </w:tcPr>
                <w:p w14:paraId="6825BA1E">
                  <w:pPr>
                    <w:spacing w:line="0" w:lineRule="atLeast"/>
                    <w:jc w:val="center"/>
                    <w:rPr>
                      <w:sz w:val="18"/>
                      <w:szCs w:val="18"/>
                    </w:rPr>
                  </w:pPr>
                  <w:r>
                    <w:rPr>
                      <w:sz w:val="18"/>
                      <w:szCs w:val="18"/>
                    </w:rPr>
                    <w:t>X</w:t>
                  </w:r>
                </w:p>
              </w:tc>
              <w:tc>
                <w:tcPr>
                  <w:tcW w:w="229" w:type="pct"/>
                  <w:vAlign w:val="center"/>
                </w:tcPr>
                <w:p w14:paraId="0A61F455">
                  <w:pPr>
                    <w:spacing w:line="0" w:lineRule="atLeast"/>
                    <w:jc w:val="center"/>
                    <w:rPr>
                      <w:sz w:val="18"/>
                      <w:szCs w:val="18"/>
                    </w:rPr>
                  </w:pPr>
                  <w:r>
                    <w:rPr>
                      <w:sz w:val="18"/>
                      <w:szCs w:val="18"/>
                    </w:rPr>
                    <w:t>Y</w:t>
                  </w:r>
                </w:p>
              </w:tc>
              <w:tc>
                <w:tcPr>
                  <w:tcW w:w="260" w:type="pct"/>
                  <w:vAlign w:val="center"/>
                </w:tcPr>
                <w:p w14:paraId="6AE715C7">
                  <w:pPr>
                    <w:spacing w:line="0" w:lineRule="atLeast"/>
                    <w:jc w:val="center"/>
                    <w:rPr>
                      <w:sz w:val="18"/>
                      <w:szCs w:val="18"/>
                    </w:rPr>
                  </w:pPr>
                  <w:r>
                    <w:rPr>
                      <w:sz w:val="18"/>
                      <w:szCs w:val="18"/>
                    </w:rPr>
                    <w:t>Z</w:t>
                  </w:r>
                </w:p>
              </w:tc>
              <w:tc>
                <w:tcPr>
                  <w:tcW w:w="236" w:type="pct"/>
                  <w:vMerge w:val="continue"/>
                  <w:vAlign w:val="center"/>
                </w:tcPr>
                <w:p w14:paraId="3E3B5646">
                  <w:pPr>
                    <w:spacing w:line="0" w:lineRule="atLeast"/>
                    <w:jc w:val="center"/>
                    <w:rPr>
                      <w:sz w:val="18"/>
                      <w:szCs w:val="18"/>
                    </w:rPr>
                  </w:pPr>
                </w:p>
              </w:tc>
              <w:tc>
                <w:tcPr>
                  <w:tcW w:w="437" w:type="pct"/>
                  <w:vMerge w:val="continue"/>
                  <w:vAlign w:val="center"/>
                </w:tcPr>
                <w:p w14:paraId="05699353">
                  <w:pPr>
                    <w:spacing w:line="0" w:lineRule="atLeast"/>
                    <w:jc w:val="center"/>
                    <w:rPr>
                      <w:sz w:val="18"/>
                      <w:szCs w:val="18"/>
                    </w:rPr>
                  </w:pPr>
                </w:p>
              </w:tc>
              <w:tc>
                <w:tcPr>
                  <w:tcW w:w="237" w:type="pct"/>
                  <w:vMerge w:val="continue"/>
                  <w:vAlign w:val="center"/>
                </w:tcPr>
                <w:p w14:paraId="3E458D1A">
                  <w:pPr>
                    <w:spacing w:line="0" w:lineRule="atLeast"/>
                    <w:jc w:val="center"/>
                    <w:rPr>
                      <w:sz w:val="18"/>
                      <w:szCs w:val="18"/>
                    </w:rPr>
                  </w:pPr>
                </w:p>
              </w:tc>
              <w:tc>
                <w:tcPr>
                  <w:tcW w:w="437" w:type="pct"/>
                  <w:vMerge w:val="continue"/>
                  <w:vAlign w:val="center"/>
                </w:tcPr>
                <w:p w14:paraId="0D42EFE5">
                  <w:pPr>
                    <w:spacing w:line="0" w:lineRule="atLeast"/>
                    <w:jc w:val="center"/>
                    <w:rPr>
                      <w:sz w:val="18"/>
                      <w:szCs w:val="18"/>
                    </w:rPr>
                  </w:pPr>
                </w:p>
              </w:tc>
              <w:tc>
                <w:tcPr>
                  <w:tcW w:w="437" w:type="pct"/>
                  <w:vAlign w:val="center"/>
                </w:tcPr>
                <w:p w14:paraId="5BF9E8AD">
                  <w:pPr>
                    <w:spacing w:line="0" w:lineRule="atLeast"/>
                    <w:jc w:val="center"/>
                    <w:rPr>
                      <w:sz w:val="18"/>
                      <w:szCs w:val="18"/>
                    </w:rPr>
                  </w:pPr>
                  <w:r>
                    <w:rPr>
                      <w:sz w:val="18"/>
                      <w:szCs w:val="18"/>
                    </w:rPr>
                    <w:t>声压级/dB(A)</w:t>
                  </w:r>
                </w:p>
              </w:tc>
              <w:tc>
                <w:tcPr>
                  <w:tcW w:w="230" w:type="pct"/>
                  <w:vAlign w:val="center"/>
                </w:tcPr>
                <w:p w14:paraId="1D600F70">
                  <w:pPr>
                    <w:spacing w:line="0" w:lineRule="atLeast"/>
                    <w:jc w:val="center"/>
                    <w:rPr>
                      <w:sz w:val="18"/>
                      <w:szCs w:val="18"/>
                    </w:rPr>
                  </w:pPr>
                  <w:r>
                    <w:rPr>
                      <w:sz w:val="18"/>
                      <w:szCs w:val="18"/>
                    </w:rPr>
                    <w:t>建筑物外距离</w:t>
                  </w:r>
                </w:p>
              </w:tc>
              <w:tc>
                <w:tcPr>
                  <w:tcW w:w="343" w:type="pct"/>
                  <w:vMerge w:val="continue"/>
                  <w:vAlign w:val="center"/>
                </w:tcPr>
                <w:p w14:paraId="093D0652">
                  <w:pPr>
                    <w:spacing w:line="0" w:lineRule="atLeast"/>
                    <w:jc w:val="center"/>
                    <w:rPr>
                      <w:sz w:val="18"/>
                      <w:szCs w:val="18"/>
                    </w:rPr>
                  </w:pPr>
                </w:p>
              </w:tc>
            </w:tr>
            <w:tr w14:paraId="54A5E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Align w:val="center"/>
                </w:tcPr>
                <w:p w14:paraId="70922710">
                  <w:pPr>
                    <w:spacing w:line="0" w:lineRule="atLeast"/>
                    <w:jc w:val="center"/>
                    <w:rPr>
                      <w:sz w:val="18"/>
                      <w:szCs w:val="18"/>
                    </w:rPr>
                  </w:pPr>
                  <w:r>
                    <w:rPr>
                      <w:sz w:val="18"/>
                      <w:szCs w:val="18"/>
                    </w:rPr>
                    <w:t>1</w:t>
                  </w:r>
                </w:p>
              </w:tc>
              <w:tc>
                <w:tcPr>
                  <w:tcW w:w="229" w:type="pct"/>
                  <w:vMerge w:val="restart"/>
                  <w:vAlign w:val="center"/>
                </w:tcPr>
                <w:p w14:paraId="31F18614">
                  <w:pPr>
                    <w:spacing w:line="0" w:lineRule="atLeast"/>
                    <w:jc w:val="center"/>
                    <w:rPr>
                      <w:sz w:val="18"/>
                      <w:szCs w:val="18"/>
                    </w:rPr>
                  </w:pPr>
                  <w:r>
                    <w:rPr>
                      <w:sz w:val="18"/>
                      <w:szCs w:val="18"/>
                    </w:rPr>
                    <w:t>锅炉房</w:t>
                  </w:r>
                </w:p>
              </w:tc>
              <w:tc>
                <w:tcPr>
                  <w:tcW w:w="229" w:type="pct"/>
                  <w:vAlign w:val="center"/>
                </w:tcPr>
                <w:p w14:paraId="19B16B16">
                  <w:pPr>
                    <w:spacing w:line="0" w:lineRule="atLeast"/>
                    <w:jc w:val="center"/>
                    <w:rPr>
                      <w:sz w:val="18"/>
                      <w:szCs w:val="18"/>
                    </w:rPr>
                  </w:pPr>
                  <w:r>
                    <w:rPr>
                      <w:sz w:val="18"/>
                      <w:szCs w:val="18"/>
                    </w:rPr>
                    <w:t>风机</w:t>
                  </w:r>
                </w:p>
              </w:tc>
              <w:tc>
                <w:tcPr>
                  <w:tcW w:w="457" w:type="pct"/>
                  <w:vAlign w:val="center"/>
                </w:tcPr>
                <w:p w14:paraId="4665D8D9">
                  <w:pPr>
                    <w:spacing w:line="0" w:lineRule="atLeast"/>
                    <w:jc w:val="center"/>
                    <w:rPr>
                      <w:sz w:val="18"/>
                      <w:szCs w:val="18"/>
                    </w:rPr>
                  </w:pPr>
                  <w:r>
                    <w:rPr>
                      <w:rFonts w:hint="eastAsia"/>
                      <w:sz w:val="18"/>
                      <w:szCs w:val="18"/>
                    </w:rPr>
                    <w:t>1</w:t>
                  </w:r>
                </w:p>
              </w:tc>
              <w:tc>
                <w:tcPr>
                  <w:tcW w:w="437" w:type="pct"/>
                  <w:vAlign w:val="center"/>
                </w:tcPr>
                <w:p w14:paraId="4C3CDCF7">
                  <w:pPr>
                    <w:spacing w:line="0" w:lineRule="atLeast"/>
                    <w:jc w:val="center"/>
                    <w:rPr>
                      <w:sz w:val="18"/>
                      <w:szCs w:val="18"/>
                    </w:rPr>
                  </w:pPr>
                  <w:r>
                    <w:rPr>
                      <w:sz w:val="18"/>
                      <w:szCs w:val="18"/>
                    </w:rPr>
                    <w:t>80</w:t>
                  </w:r>
                </w:p>
              </w:tc>
              <w:tc>
                <w:tcPr>
                  <w:tcW w:w="344" w:type="pct"/>
                  <w:vMerge w:val="restart"/>
                  <w:vAlign w:val="center"/>
                </w:tcPr>
                <w:p w14:paraId="55F5CB4B">
                  <w:pPr>
                    <w:spacing w:line="0" w:lineRule="atLeast"/>
                    <w:jc w:val="center"/>
                    <w:rPr>
                      <w:sz w:val="18"/>
                      <w:szCs w:val="18"/>
                    </w:rPr>
                  </w:pPr>
                  <w:r>
                    <w:rPr>
                      <w:sz w:val="18"/>
                      <w:szCs w:val="18"/>
                    </w:rPr>
                    <w:t>厂房隔声、减震</w:t>
                  </w:r>
                </w:p>
              </w:tc>
              <w:tc>
                <w:tcPr>
                  <w:tcW w:w="229" w:type="pct"/>
                  <w:vAlign w:val="center"/>
                </w:tcPr>
                <w:p w14:paraId="5184D4BC">
                  <w:pPr>
                    <w:spacing w:line="0" w:lineRule="atLeast"/>
                    <w:jc w:val="center"/>
                    <w:rPr>
                      <w:sz w:val="18"/>
                      <w:szCs w:val="18"/>
                    </w:rPr>
                  </w:pPr>
                  <w:r>
                    <w:rPr>
                      <w:sz w:val="18"/>
                      <w:szCs w:val="18"/>
                    </w:rPr>
                    <w:t>2</w:t>
                  </w:r>
                </w:p>
              </w:tc>
              <w:tc>
                <w:tcPr>
                  <w:tcW w:w="229" w:type="pct"/>
                  <w:vAlign w:val="center"/>
                </w:tcPr>
                <w:p w14:paraId="6FE21DFD">
                  <w:pPr>
                    <w:spacing w:line="0" w:lineRule="atLeast"/>
                    <w:jc w:val="center"/>
                    <w:rPr>
                      <w:sz w:val="18"/>
                      <w:szCs w:val="18"/>
                    </w:rPr>
                  </w:pPr>
                  <w:r>
                    <w:rPr>
                      <w:sz w:val="18"/>
                      <w:szCs w:val="18"/>
                    </w:rPr>
                    <w:t>2</w:t>
                  </w:r>
                </w:p>
              </w:tc>
              <w:tc>
                <w:tcPr>
                  <w:tcW w:w="260" w:type="pct"/>
                  <w:vAlign w:val="center"/>
                </w:tcPr>
                <w:p w14:paraId="50A5701D">
                  <w:pPr>
                    <w:spacing w:line="0" w:lineRule="atLeast"/>
                    <w:jc w:val="center"/>
                    <w:rPr>
                      <w:sz w:val="18"/>
                      <w:szCs w:val="18"/>
                    </w:rPr>
                  </w:pPr>
                  <w:r>
                    <w:rPr>
                      <w:sz w:val="18"/>
                      <w:szCs w:val="18"/>
                    </w:rPr>
                    <w:t>0.5</w:t>
                  </w:r>
                </w:p>
              </w:tc>
              <w:tc>
                <w:tcPr>
                  <w:tcW w:w="236" w:type="pct"/>
                  <w:vAlign w:val="center"/>
                </w:tcPr>
                <w:p w14:paraId="75CAF674">
                  <w:pPr>
                    <w:spacing w:line="0" w:lineRule="atLeast"/>
                    <w:jc w:val="center"/>
                    <w:rPr>
                      <w:sz w:val="18"/>
                      <w:szCs w:val="18"/>
                    </w:rPr>
                  </w:pPr>
                  <w:r>
                    <w:rPr>
                      <w:sz w:val="18"/>
                      <w:szCs w:val="18"/>
                    </w:rPr>
                    <w:t>2</w:t>
                  </w:r>
                </w:p>
              </w:tc>
              <w:tc>
                <w:tcPr>
                  <w:tcW w:w="437" w:type="pct"/>
                  <w:vAlign w:val="center"/>
                </w:tcPr>
                <w:p w14:paraId="065DABE4">
                  <w:pPr>
                    <w:spacing w:line="0" w:lineRule="atLeast"/>
                    <w:jc w:val="center"/>
                    <w:rPr>
                      <w:sz w:val="18"/>
                      <w:szCs w:val="18"/>
                    </w:rPr>
                  </w:pPr>
                  <w:r>
                    <w:rPr>
                      <w:sz w:val="18"/>
                      <w:szCs w:val="18"/>
                    </w:rPr>
                    <w:t>74</w:t>
                  </w:r>
                </w:p>
              </w:tc>
              <w:tc>
                <w:tcPr>
                  <w:tcW w:w="237" w:type="pct"/>
                  <w:vAlign w:val="center"/>
                </w:tcPr>
                <w:p w14:paraId="52980518">
                  <w:pPr>
                    <w:spacing w:line="0" w:lineRule="atLeast"/>
                    <w:jc w:val="center"/>
                    <w:rPr>
                      <w:sz w:val="18"/>
                      <w:szCs w:val="18"/>
                    </w:rPr>
                  </w:pPr>
                  <w:r>
                    <w:rPr>
                      <w:rFonts w:hint="eastAsia"/>
                      <w:sz w:val="18"/>
                      <w:szCs w:val="18"/>
                    </w:rPr>
                    <w:t>昼夜间</w:t>
                  </w:r>
                </w:p>
              </w:tc>
              <w:tc>
                <w:tcPr>
                  <w:tcW w:w="437" w:type="pct"/>
                  <w:vAlign w:val="center"/>
                </w:tcPr>
                <w:p w14:paraId="2D085D8F">
                  <w:pPr>
                    <w:spacing w:line="0" w:lineRule="atLeast"/>
                    <w:jc w:val="center"/>
                    <w:rPr>
                      <w:sz w:val="18"/>
                      <w:szCs w:val="18"/>
                    </w:rPr>
                  </w:pPr>
                  <w:r>
                    <w:rPr>
                      <w:sz w:val="18"/>
                      <w:szCs w:val="18"/>
                    </w:rPr>
                    <w:t>25</w:t>
                  </w:r>
                </w:p>
              </w:tc>
              <w:tc>
                <w:tcPr>
                  <w:tcW w:w="437" w:type="pct"/>
                  <w:vAlign w:val="center"/>
                </w:tcPr>
                <w:p w14:paraId="34FA09BF">
                  <w:pPr>
                    <w:spacing w:line="0" w:lineRule="atLeast"/>
                    <w:jc w:val="center"/>
                    <w:rPr>
                      <w:sz w:val="18"/>
                      <w:szCs w:val="18"/>
                    </w:rPr>
                  </w:pPr>
                  <w:r>
                    <w:rPr>
                      <w:sz w:val="18"/>
                      <w:szCs w:val="18"/>
                    </w:rPr>
                    <w:t>49</w:t>
                  </w:r>
                </w:p>
              </w:tc>
              <w:tc>
                <w:tcPr>
                  <w:tcW w:w="230" w:type="pct"/>
                  <w:vAlign w:val="center"/>
                </w:tcPr>
                <w:p w14:paraId="7754B335">
                  <w:pPr>
                    <w:spacing w:line="0" w:lineRule="atLeast"/>
                    <w:jc w:val="center"/>
                    <w:rPr>
                      <w:sz w:val="18"/>
                      <w:szCs w:val="18"/>
                    </w:rPr>
                  </w:pPr>
                  <w:r>
                    <w:rPr>
                      <w:sz w:val="18"/>
                      <w:szCs w:val="18"/>
                    </w:rPr>
                    <w:t>1</w:t>
                  </w:r>
                </w:p>
              </w:tc>
              <w:tc>
                <w:tcPr>
                  <w:tcW w:w="343" w:type="pct"/>
                  <w:vAlign w:val="center"/>
                </w:tcPr>
                <w:p w14:paraId="076BFBC2">
                  <w:pPr>
                    <w:spacing w:line="0" w:lineRule="atLeast"/>
                    <w:jc w:val="center"/>
                    <w:rPr>
                      <w:sz w:val="18"/>
                      <w:szCs w:val="18"/>
                    </w:rPr>
                  </w:pPr>
                  <w:bookmarkStart w:id="34" w:name="OLE_LINK63"/>
                  <w:r>
                    <w:rPr>
                      <w:rFonts w:hint="eastAsia"/>
                      <w:sz w:val="18"/>
                      <w:szCs w:val="18"/>
                    </w:rPr>
                    <w:t>2200</w:t>
                  </w:r>
                  <w:bookmarkEnd w:id="34"/>
                </w:p>
              </w:tc>
            </w:tr>
            <w:tr w14:paraId="5B14A6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Align w:val="center"/>
                </w:tcPr>
                <w:p w14:paraId="7C7114CB">
                  <w:pPr>
                    <w:spacing w:line="0" w:lineRule="atLeast"/>
                    <w:jc w:val="center"/>
                    <w:rPr>
                      <w:sz w:val="18"/>
                      <w:szCs w:val="18"/>
                    </w:rPr>
                  </w:pPr>
                  <w:r>
                    <w:rPr>
                      <w:sz w:val="18"/>
                      <w:szCs w:val="18"/>
                    </w:rPr>
                    <w:t>2</w:t>
                  </w:r>
                </w:p>
              </w:tc>
              <w:tc>
                <w:tcPr>
                  <w:tcW w:w="229" w:type="pct"/>
                  <w:vMerge w:val="continue"/>
                  <w:vAlign w:val="center"/>
                </w:tcPr>
                <w:p w14:paraId="1937B0B3">
                  <w:pPr>
                    <w:spacing w:line="0" w:lineRule="atLeast"/>
                    <w:jc w:val="center"/>
                    <w:rPr>
                      <w:sz w:val="18"/>
                      <w:szCs w:val="18"/>
                    </w:rPr>
                  </w:pPr>
                </w:p>
              </w:tc>
              <w:tc>
                <w:tcPr>
                  <w:tcW w:w="229" w:type="pct"/>
                  <w:vAlign w:val="center"/>
                </w:tcPr>
                <w:p w14:paraId="08828DBC">
                  <w:pPr>
                    <w:spacing w:line="0" w:lineRule="atLeast"/>
                    <w:jc w:val="center"/>
                    <w:rPr>
                      <w:sz w:val="18"/>
                      <w:szCs w:val="18"/>
                    </w:rPr>
                  </w:pPr>
                  <w:r>
                    <w:rPr>
                      <w:rFonts w:hint="eastAsia"/>
                      <w:sz w:val="18"/>
                      <w:szCs w:val="18"/>
                    </w:rPr>
                    <w:t>水泵</w:t>
                  </w:r>
                </w:p>
              </w:tc>
              <w:tc>
                <w:tcPr>
                  <w:tcW w:w="457" w:type="pct"/>
                  <w:vAlign w:val="center"/>
                </w:tcPr>
                <w:p w14:paraId="13841C72">
                  <w:pPr>
                    <w:spacing w:line="0" w:lineRule="atLeast"/>
                    <w:jc w:val="center"/>
                    <w:rPr>
                      <w:sz w:val="18"/>
                      <w:szCs w:val="18"/>
                    </w:rPr>
                  </w:pPr>
                  <w:r>
                    <w:rPr>
                      <w:rFonts w:hint="eastAsia"/>
                      <w:sz w:val="18"/>
                      <w:szCs w:val="18"/>
                    </w:rPr>
                    <w:t>1</w:t>
                  </w:r>
                </w:p>
              </w:tc>
              <w:tc>
                <w:tcPr>
                  <w:tcW w:w="437" w:type="pct"/>
                  <w:vAlign w:val="center"/>
                </w:tcPr>
                <w:p w14:paraId="4E440F44">
                  <w:pPr>
                    <w:spacing w:line="0" w:lineRule="atLeast"/>
                    <w:jc w:val="center"/>
                    <w:rPr>
                      <w:sz w:val="18"/>
                      <w:szCs w:val="18"/>
                    </w:rPr>
                  </w:pPr>
                  <w:r>
                    <w:rPr>
                      <w:sz w:val="18"/>
                      <w:szCs w:val="18"/>
                    </w:rPr>
                    <w:t>80</w:t>
                  </w:r>
                </w:p>
              </w:tc>
              <w:tc>
                <w:tcPr>
                  <w:tcW w:w="344" w:type="pct"/>
                  <w:vMerge w:val="continue"/>
                  <w:vAlign w:val="center"/>
                </w:tcPr>
                <w:p w14:paraId="240A72FB">
                  <w:pPr>
                    <w:spacing w:line="0" w:lineRule="atLeast"/>
                    <w:jc w:val="center"/>
                    <w:rPr>
                      <w:sz w:val="18"/>
                      <w:szCs w:val="18"/>
                    </w:rPr>
                  </w:pPr>
                </w:p>
              </w:tc>
              <w:tc>
                <w:tcPr>
                  <w:tcW w:w="229" w:type="pct"/>
                  <w:vAlign w:val="center"/>
                </w:tcPr>
                <w:p w14:paraId="3FE9C167">
                  <w:pPr>
                    <w:spacing w:line="0" w:lineRule="atLeast"/>
                    <w:jc w:val="center"/>
                    <w:rPr>
                      <w:sz w:val="18"/>
                      <w:szCs w:val="18"/>
                    </w:rPr>
                  </w:pPr>
                  <w:r>
                    <w:rPr>
                      <w:sz w:val="18"/>
                      <w:szCs w:val="18"/>
                    </w:rPr>
                    <w:t>4</w:t>
                  </w:r>
                </w:p>
              </w:tc>
              <w:tc>
                <w:tcPr>
                  <w:tcW w:w="229" w:type="pct"/>
                  <w:vAlign w:val="center"/>
                </w:tcPr>
                <w:p w14:paraId="05AD6B6E">
                  <w:pPr>
                    <w:spacing w:line="0" w:lineRule="atLeast"/>
                    <w:jc w:val="center"/>
                    <w:rPr>
                      <w:sz w:val="18"/>
                      <w:szCs w:val="18"/>
                    </w:rPr>
                  </w:pPr>
                  <w:r>
                    <w:rPr>
                      <w:sz w:val="18"/>
                      <w:szCs w:val="18"/>
                    </w:rPr>
                    <w:t>4</w:t>
                  </w:r>
                </w:p>
              </w:tc>
              <w:tc>
                <w:tcPr>
                  <w:tcW w:w="260" w:type="pct"/>
                  <w:vAlign w:val="center"/>
                </w:tcPr>
                <w:p w14:paraId="68FF1AB9">
                  <w:pPr>
                    <w:spacing w:line="0" w:lineRule="atLeast"/>
                    <w:jc w:val="center"/>
                    <w:rPr>
                      <w:sz w:val="18"/>
                      <w:szCs w:val="18"/>
                    </w:rPr>
                  </w:pPr>
                  <w:r>
                    <w:rPr>
                      <w:sz w:val="18"/>
                      <w:szCs w:val="18"/>
                    </w:rPr>
                    <w:t>0.5</w:t>
                  </w:r>
                </w:p>
              </w:tc>
              <w:tc>
                <w:tcPr>
                  <w:tcW w:w="236" w:type="pct"/>
                  <w:vAlign w:val="center"/>
                </w:tcPr>
                <w:p w14:paraId="1DB11B27">
                  <w:pPr>
                    <w:spacing w:line="0" w:lineRule="atLeast"/>
                    <w:jc w:val="center"/>
                    <w:rPr>
                      <w:sz w:val="18"/>
                      <w:szCs w:val="18"/>
                    </w:rPr>
                  </w:pPr>
                  <w:r>
                    <w:rPr>
                      <w:sz w:val="18"/>
                      <w:szCs w:val="18"/>
                    </w:rPr>
                    <w:t>4</w:t>
                  </w:r>
                </w:p>
              </w:tc>
              <w:tc>
                <w:tcPr>
                  <w:tcW w:w="437" w:type="pct"/>
                  <w:vAlign w:val="center"/>
                </w:tcPr>
                <w:p w14:paraId="2E6B68E2">
                  <w:pPr>
                    <w:spacing w:line="0" w:lineRule="atLeast"/>
                    <w:jc w:val="center"/>
                    <w:rPr>
                      <w:sz w:val="18"/>
                      <w:szCs w:val="18"/>
                    </w:rPr>
                  </w:pPr>
                  <w:r>
                    <w:rPr>
                      <w:sz w:val="18"/>
                      <w:szCs w:val="18"/>
                    </w:rPr>
                    <w:t>68</w:t>
                  </w:r>
                </w:p>
              </w:tc>
              <w:tc>
                <w:tcPr>
                  <w:tcW w:w="237" w:type="pct"/>
                  <w:vAlign w:val="center"/>
                </w:tcPr>
                <w:p w14:paraId="69A3650A">
                  <w:pPr>
                    <w:spacing w:line="0" w:lineRule="atLeast"/>
                    <w:jc w:val="center"/>
                    <w:rPr>
                      <w:sz w:val="18"/>
                      <w:szCs w:val="18"/>
                    </w:rPr>
                  </w:pPr>
                  <w:r>
                    <w:rPr>
                      <w:rFonts w:hint="eastAsia"/>
                      <w:sz w:val="18"/>
                      <w:szCs w:val="18"/>
                    </w:rPr>
                    <w:t>昼夜间</w:t>
                  </w:r>
                </w:p>
              </w:tc>
              <w:tc>
                <w:tcPr>
                  <w:tcW w:w="437" w:type="pct"/>
                  <w:vAlign w:val="center"/>
                </w:tcPr>
                <w:p w14:paraId="3C6820A7">
                  <w:pPr>
                    <w:spacing w:line="0" w:lineRule="atLeast"/>
                    <w:jc w:val="center"/>
                    <w:rPr>
                      <w:sz w:val="18"/>
                      <w:szCs w:val="18"/>
                    </w:rPr>
                  </w:pPr>
                  <w:r>
                    <w:rPr>
                      <w:sz w:val="18"/>
                      <w:szCs w:val="18"/>
                    </w:rPr>
                    <w:t>25</w:t>
                  </w:r>
                </w:p>
              </w:tc>
              <w:tc>
                <w:tcPr>
                  <w:tcW w:w="437" w:type="pct"/>
                  <w:vAlign w:val="center"/>
                </w:tcPr>
                <w:p w14:paraId="01B96F5A">
                  <w:pPr>
                    <w:spacing w:line="0" w:lineRule="atLeast"/>
                    <w:jc w:val="center"/>
                    <w:rPr>
                      <w:sz w:val="18"/>
                      <w:szCs w:val="18"/>
                    </w:rPr>
                  </w:pPr>
                  <w:r>
                    <w:rPr>
                      <w:sz w:val="18"/>
                      <w:szCs w:val="18"/>
                    </w:rPr>
                    <w:t>43</w:t>
                  </w:r>
                </w:p>
              </w:tc>
              <w:tc>
                <w:tcPr>
                  <w:tcW w:w="230" w:type="pct"/>
                  <w:vAlign w:val="center"/>
                </w:tcPr>
                <w:p w14:paraId="41F18A84">
                  <w:pPr>
                    <w:spacing w:line="0" w:lineRule="atLeast"/>
                    <w:jc w:val="center"/>
                    <w:rPr>
                      <w:sz w:val="18"/>
                      <w:szCs w:val="18"/>
                    </w:rPr>
                  </w:pPr>
                  <w:r>
                    <w:rPr>
                      <w:sz w:val="18"/>
                      <w:szCs w:val="18"/>
                    </w:rPr>
                    <w:t>1</w:t>
                  </w:r>
                </w:p>
              </w:tc>
              <w:tc>
                <w:tcPr>
                  <w:tcW w:w="343" w:type="pct"/>
                  <w:vAlign w:val="center"/>
                </w:tcPr>
                <w:p w14:paraId="6A5BB3FB">
                  <w:pPr>
                    <w:spacing w:line="0" w:lineRule="atLeast"/>
                    <w:jc w:val="center"/>
                    <w:rPr>
                      <w:sz w:val="18"/>
                      <w:szCs w:val="18"/>
                    </w:rPr>
                  </w:pPr>
                  <w:r>
                    <w:rPr>
                      <w:rFonts w:hint="eastAsia"/>
                      <w:sz w:val="18"/>
                      <w:szCs w:val="18"/>
                    </w:rPr>
                    <w:t>2200</w:t>
                  </w:r>
                </w:p>
              </w:tc>
            </w:tr>
            <w:tr w14:paraId="4623A7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Align w:val="center"/>
                </w:tcPr>
                <w:p w14:paraId="424C57A1">
                  <w:pPr>
                    <w:spacing w:line="0" w:lineRule="atLeast"/>
                    <w:jc w:val="center"/>
                    <w:rPr>
                      <w:sz w:val="18"/>
                      <w:szCs w:val="18"/>
                    </w:rPr>
                  </w:pPr>
                  <w:r>
                    <w:rPr>
                      <w:rFonts w:hint="eastAsia"/>
                      <w:sz w:val="18"/>
                      <w:szCs w:val="18"/>
                    </w:rPr>
                    <w:t>3</w:t>
                  </w:r>
                </w:p>
              </w:tc>
              <w:tc>
                <w:tcPr>
                  <w:tcW w:w="229" w:type="pct"/>
                  <w:vMerge w:val="continue"/>
                  <w:vAlign w:val="center"/>
                </w:tcPr>
                <w:p w14:paraId="05CA8838">
                  <w:pPr>
                    <w:spacing w:line="0" w:lineRule="atLeast"/>
                    <w:jc w:val="center"/>
                    <w:rPr>
                      <w:sz w:val="18"/>
                      <w:szCs w:val="18"/>
                    </w:rPr>
                  </w:pPr>
                </w:p>
              </w:tc>
              <w:tc>
                <w:tcPr>
                  <w:tcW w:w="229" w:type="pct"/>
                  <w:vAlign w:val="center"/>
                </w:tcPr>
                <w:p w14:paraId="45D87FD2">
                  <w:pPr>
                    <w:spacing w:line="0" w:lineRule="atLeast"/>
                    <w:jc w:val="center"/>
                    <w:rPr>
                      <w:sz w:val="18"/>
                      <w:szCs w:val="18"/>
                    </w:rPr>
                  </w:pPr>
                  <w:r>
                    <w:rPr>
                      <w:rFonts w:hint="eastAsia"/>
                      <w:sz w:val="18"/>
                      <w:szCs w:val="18"/>
                    </w:rPr>
                    <w:t>生物质蒸汽锅炉</w:t>
                  </w:r>
                </w:p>
              </w:tc>
              <w:tc>
                <w:tcPr>
                  <w:tcW w:w="457" w:type="pct"/>
                  <w:vAlign w:val="center"/>
                </w:tcPr>
                <w:p w14:paraId="1DAC6CF7">
                  <w:pPr>
                    <w:spacing w:line="0" w:lineRule="atLeast"/>
                    <w:jc w:val="center"/>
                    <w:rPr>
                      <w:sz w:val="18"/>
                      <w:szCs w:val="18"/>
                    </w:rPr>
                  </w:pPr>
                  <w:r>
                    <w:rPr>
                      <w:rFonts w:hint="eastAsia"/>
                      <w:sz w:val="18"/>
                      <w:szCs w:val="18"/>
                    </w:rPr>
                    <w:t>1</w:t>
                  </w:r>
                </w:p>
              </w:tc>
              <w:tc>
                <w:tcPr>
                  <w:tcW w:w="437" w:type="pct"/>
                  <w:vAlign w:val="center"/>
                </w:tcPr>
                <w:p w14:paraId="7ADCF2C1">
                  <w:pPr>
                    <w:spacing w:line="0" w:lineRule="atLeast"/>
                    <w:jc w:val="center"/>
                    <w:rPr>
                      <w:sz w:val="18"/>
                      <w:szCs w:val="18"/>
                    </w:rPr>
                  </w:pPr>
                  <w:r>
                    <w:rPr>
                      <w:rFonts w:hint="eastAsia"/>
                      <w:sz w:val="18"/>
                      <w:szCs w:val="18"/>
                    </w:rPr>
                    <w:t>85</w:t>
                  </w:r>
                </w:p>
              </w:tc>
              <w:tc>
                <w:tcPr>
                  <w:tcW w:w="344" w:type="pct"/>
                  <w:vMerge w:val="continue"/>
                  <w:vAlign w:val="center"/>
                </w:tcPr>
                <w:p w14:paraId="0959CAB5">
                  <w:pPr>
                    <w:spacing w:line="0" w:lineRule="atLeast"/>
                    <w:jc w:val="center"/>
                    <w:rPr>
                      <w:sz w:val="18"/>
                      <w:szCs w:val="18"/>
                    </w:rPr>
                  </w:pPr>
                </w:p>
              </w:tc>
              <w:tc>
                <w:tcPr>
                  <w:tcW w:w="229" w:type="pct"/>
                  <w:vAlign w:val="center"/>
                </w:tcPr>
                <w:p w14:paraId="54C22724">
                  <w:pPr>
                    <w:spacing w:line="0" w:lineRule="atLeast"/>
                    <w:jc w:val="center"/>
                    <w:rPr>
                      <w:sz w:val="18"/>
                      <w:szCs w:val="18"/>
                    </w:rPr>
                  </w:pPr>
                  <w:r>
                    <w:rPr>
                      <w:rFonts w:hint="eastAsia"/>
                      <w:sz w:val="18"/>
                      <w:szCs w:val="18"/>
                    </w:rPr>
                    <w:t>18</w:t>
                  </w:r>
                </w:p>
              </w:tc>
              <w:tc>
                <w:tcPr>
                  <w:tcW w:w="229" w:type="pct"/>
                  <w:vAlign w:val="center"/>
                </w:tcPr>
                <w:p w14:paraId="3764826B">
                  <w:pPr>
                    <w:spacing w:line="0" w:lineRule="atLeast"/>
                    <w:jc w:val="center"/>
                    <w:rPr>
                      <w:sz w:val="18"/>
                      <w:szCs w:val="18"/>
                    </w:rPr>
                  </w:pPr>
                  <w:r>
                    <w:rPr>
                      <w:rFonts w:hint="eastAsia"/>
                      <w:sz w:val="18"/>
                      <w:szCs w:val="18"/>
                    </w:rPr>
                    <w:t>23</w:t>
                  </w:r>
                </w:p>
              </w:tc>
              <w:tc>
                <w:tcPr>
                  <w:tcW w:w="260" w:type="pct"/>
                  <w:vAlign w:val="center"/>
                </w:tcPr>
                <w:p w14:paraId="25EC23C1">
                  <w:pPr>
                    <w:spacing w:line="0" w:lineRule="atLeast"/>
                    <w:jc w:val="center"/>
                    <w:rPr>
                      <w:sz w:val="18"/>
                      <w:szCs w:val="18"/>
                    </w:rPr>
                  </w:pPr>
                  <w:r>
                    <w:rPr>
                      <w:rFonts w:hint="eastAsia"/>
                      <w:sz w:val="18"/>
                      <w:szCs w:val="18"/>
                    </w:rPr>
                    <w:t>1.2</w:t>
                  </w:r>
                </w:p>
              </w:tc>
              <w:tc>
                <w:tcPr>
                  <w:tcW w:w="236" w:type="pct"/>
                  <w:vAlign w:val="center"/>
                </w:tcPr>
                <w:p w14:paraId="6F2477A1">
                  <w:pPr>
                    <w:spacing w:line="0" w:lineRule="atLeast"/>
                    <w:jc w:val="center"/>
                    <w:rPr>
                      <w:sz w:val="18"/>
                      <w:szCs w:val="18"/>
                    </w:rPr>
                  </w:pPr>
                  <w:r>
                    <w:rPr>
                      <w:rFonts w:hint="eastAsia"/>
                      <w:sz w:val="18"/>
                      <w:szCs w:val="18"/>
                    </w:rPr>
                    <w:t>10</w:t>
                  </w:r>
                </w:p>
              </w:tc>
              <w:tc>
                <w:tcPr>
                  <w:tcW w:w="437" w:type="pct"/>
                  <w:vAlign w:val="center"/>
                </w:tcPr>
                <w:p w14:paraId="650E577E">
                  <w:pPr>
                    <w:spacing w:line="0" w:lineRule="atLeast"/>
                    <w:jc w:val="center"/>
                    <w:rPr>
                      <w:sz w:val="18"/>
                      <w:szCs w:val="18"/>
                    </w:rPr>
                  </w:pPr>
                  <w:r>
                    <w:rPr>
                      <w:rFonts w:hint="eastAsia" w:eastAsia="等线"/>
                      <w:sz w:val="18"/>
                      <w:szCs w:val="18"/>
                    </w:rPr>
                    <w:t>69</w:t>
                  </w:r>
                </w:p>
              </w:tc>
              <w:tc>
                <w:tcPr>
                  <w:tcW w:w="237" w:type="pct"/>
                  <w:vAlign w:val="center"/>
                </w:tcPr>
                <w:p w14:paraId="723F6E49">
                  <w:pPr>
                    <w:spacing w:line="0" w:lineRule="atLeast"/>
                    <w:jc w:val="center"/>
                    <w:rPr>
                      <w:sz w:val="18"/>
                      <w:szCs w:val="18"/>
                    </w:rPr>
                  </w:pPr>
                  <w:r>
                    <w:rPr>
                      <w:rFonts w:hint="eastAsia"/>
                      <w:sz w:val="18"/>
                      <w:szCs w:val="18"/>
                    </w:rPr>
                    <w:t>昼夜间</w:t>
                  </w:r>
                </w:p>
              </w:tc>
              <w:tc>
                <w:tcPr>
                  <w:tcW w:w="437" w:type="pct"/>
                  <w:vAlign w:val="center"/>
                </w:tcPr>
                <w:p w14:paraId="0676EDD8">
                  <w:pPr>
                    <w:spacing w:line="0" w:lineRule="atLeast"/>
                    <w:jc w:val="center"/>
                    <w:rPr>
                      <w:sz w:val="18"/>
                      <w:szCs w:val="18"/>
                    </w:rPr>
                  </w:pPr>
                  <w:r>
                    <w:rPr>
                      <w:sz w:val="18"/>
                      <w:szCs w:val="18"/>
                    </w:rPr>
                    <w:t>25</w:t>
                  </w:r>
                </w:p>
              </w:tc>
              <w:tc>
                <w:tcPr>
                  <w:tcW w:w="437" w:type="pct"/>
                  <w:vAlign w:val="center"/>
                </w:tcPr>
                <w:p w14:paraId="1B8F2CBF">
                  <w:pPr>
                    <w:spacing w:line="0" w:lineRule="atLeast"/>
                    <w:jc w:val="center"/>
                    <w:rPr>
                      <w:sz w:val="18"/>
                      <w:szCs w:val="18"/>
                    </w:rPr>
                  </w:pPr>
                  <w:r>
                    <w:rPr>
                      <w:rFonts w:hint="eastAsia"/>
                      <w:sz w:val="18"/>
                      <w:szCs w:val="18"/>
                    </w:rPr>
                    <w:t>44</w:t>
                  </w:r>
                </w:p>
              </w:tc>
              <w:tc>
                <w:tcPr>
                  <w:tcW w:w="230" w:type="pct"/>
                  <w:vAlign w:val="center"/>
                </w:tcPr>
                <w:p w14:paraId="5EB4547B">
                  <w:pPr>
                    <w:spacing w:line="0" w:lineRule="atLeast"/>
                    <w:jc w:val="center"/>
                    <w:rPr>
                      <w:sz w:val="18"/>
                      <w:szCs w:val="18"/>
                    </w:rPr>
                  </w:pPr>
                  <w:r>
                    <w:rPr>
                      <w:sz w:val="18"/>
                      <w:szCs w:val="18"/>
                    </w:rPr>
                    <w:t>1</w:t>
                  </w:r>
                </w:p>
              </w:tc>
              <w:tc>
                <w:tcPr>
                  <w:tcW w:w="343" w:type="pct"/>
                  <w:vAlign w:val="center"/>
                </w:tcPr>
                <w:p w14:paraId="4719DC42">
                  <w:pPr>
                    <w:spacing w:line="0" w:lineRule="atLeast"/>
                    <w:jc w:val="center"/>
                    <w:rPr>
                      <w:sz w:val="18"/>
                      <w:szCs w:val="18"/>
                    </w:rPr>
                  </w:pPr>
                  <w:r>
                    <w:rPr>
                      <w:rFonts w:hint="eastAsia"/>
                      <w:sz w:val="18"/>
                      <w:szCs w:val="18"/>
                    </w:rPr>
                    <w:t>2200</w:t>
                  </w:r>
                </w:p>
              </w:tc>
            </w:tr>
            <w:tr w14:paraId="4D4EA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229" w:type="pct"/>
                  <w:vAlign w:val="center"/>
                </w:tcPr>
                <w:p w14:paraId="60D1ED1F">
                  <w:pPr>
                    <w:spacing w:line="0" w:lineRule="atLeast"/>
                    <w:jc w:val="center"/>
                    <w:rPr>
                      <w:sz w:val="18"/>
                      <w:szCs w:val="18"/>
                    </w:rPr>
                  </w:pPr>
                  <w:r>
                    <w:rPr>
                      <w:rFonts w:hint="eastAsia"/>
                      <w:sz w:val="18"/>
                      <w:szCs w:val="18"/>
                    </w:rPr>
                    <w:t>4</w:t>
                  </w:r>
                </w:p>
              </w:tc>
              <w:tc>
                <w:tcPr>
                  <w:tcW w:w="229" w:type="pct"/>
                  <w:vMerge w:val="continue"/>
                  <w:vAlign w:val="center"/>
                </w:tcPr>
                <w:p w14:paraId="7082B4CC">
                  <w:pPr>
                    <w:spacing w:line="0" w:lineRule="atLeast"/>
                    <w:jc w:val="center"/>
                    <w:rPr>
                      <w:sz w:val="18"/>
                      <w:szCs w:val="18"/>
                    </w:rPr>
                  </w:pPr>
                </w:p>
              </w:tc>
              <w:tc>
                <w:tcPr>
                  <w:tcW w:w="229" w:type="pct"/>
                  <w:vAlign w:val="center"/>
                </w:tcPr>
                <w:p w14:paraId="615EDD95">
                  <w:pPr>
                    <w:spacing w:line="0" w:lineRule="atLeast"/>
                    <w:jc w:val="center"/>
                    <w:rPr>
                      <w:sz w:val="18"/>
                      <w:szCs w:val="18"/>
                    </w:rPr>
                  </w:pPr>
                  <w:r>
                    <w:rPr>
                      <w:rFonts w:hint="eastAsia"/>
                      <w:sz w:val="18"/>
                      <w:szCs w:val="18"/>
                    </w:rPr>
                    <w:t>软化水设备</w:t>
                  </w:r>
                </w:p>
              </w:tc>
              <w:tc>
                <w:tcPr>
                  <w:tcW w:w="457" w:type="pct"/>
                  <w:vAlign w:val="center"/>
                </w:tcPr>
                <w:p w14:paraId="0F67977D">
                  <w:pPr>
                    <w:spacing w:line="0" w:lineRule="atLeast"/>
                    <w:jc w:val="center"/>
                    <w:rPr>
                      <w:sz w:val="18"/>
                      <w:szCs w:val="18"/>
                    </w:rPr>
                  </w:pPr>
                  <w:r>
                    <w:rPr>
                      <w:rFonts w:hint="eastAsia"/>
                      <w:sz w:val="18"/>
                      <w:szCs w:val="18"/>
                    </w:rPr>
                    <w:t>1</w:t>
                  </w:r>
                </w:p>
              </w:tc>
              <w:tc>
                <w:tcPr>
                  <w:tcW w:w="437" w:type="pct"/>
                  <w:vAlign w:val="center"/>
                </w:tcPr>
                <w:p w14:paraId="142B61A4">
                  <w:pPr>
                    <w:spacing w:line="0" w:lineRule="atLeast"/>
                    <w:jc w:val="center"/>
                    <w:rPr>
                      <w:sz w:val="18"/>
                      <w:szCs w:val="18"/>
                    </w:rPr>
                  </w:pPr>
                  <w:r>
                    <w:rPr>
                      <w:rFonts w:hint="eastAsia"/>
                      <w:sz w:val="18"/>
                      <w:szCs w:val="18"/>
                    </w:rPr>
                    <w:t>80</w:t>
                  </w:r>
                </w:p>
              </w:tc>
              <w:tc>
                <w:tcPr>
                  <w:tcW w:w="344" w:type="pct"/>
                  <w:vMerge w:val="continue"/>
                  <w:vAlign w:val="center"/>
                </w:tcPr>
                <w:p w14:paraId="5F4D9224">
                  <w:pPr>
                    <w:spacing w:line="0" w:lineRule="atLeast"/>
                    <w:jc w:val="center"/>
                    <w:rPr>
                      <w:sz w:val="18"/>
                      <w:szCs w:val="18"/>
                    </w:rPr>
                  </w:pPr>
                </w:p>
              </w:tc>
              <w:tc>
                <w:tcPr>
                  <w:tcW w:w="229" w:type="pct"/>
                  <w:vAlign w:val="center"/>
                </w:tcPr>
                <w:p w14:paraId="3DEC4672">
                  <w:pPr>
                    <w:spacing w:line="0" w:lineRule="atLeast"/>
                    <w:jc w:val="center"/>
                    <w:rPr>
                      <w:sz w:val="18"/>
                      <w:szCs w:val="18"/>
                    </w:rPr>
                  </w:pPr>
                  <w:r>
                    <w:rPr>
                      <w:rFonts w:hint="eastAsia"/>
                      <w:sz w:val="18"/>
                      <w:szCs w:val="18"/>
                    </w:rPr>
                    <w:t>19</w:t>
                  </w:r>
                </w:p>
              </w:tc>
              <w:tc>
                <w:tcPr>
                  <w:tcW w:w="229" w:type="pct"/>
                  <w:vAlign w:val="center"/>
                </w:tcPr>
                <w:p w14:paraId="2C575550">
                  <w:pPr>
                    <w:spacing w:line="0" w:lineRule="atLeast"/>
                    <w:jc w:val="center"/>
                    <w:rPr>
                      <w:sz w:val="18"/>
                      <w:szCs w:val="18"/>
                    </w:rPr>
                  </w:pPr>
                  <w:r>
                    <w:rPr>
                      <w:rFonts w:hint="eastAsia"/>
                      <w:sz w:val="18"/>
                      <w:szCs w:val="18"/>
                    </w:rPr>
                    <w:t>8</w:t>
                  </w:r>
                </w:p>
              </w:tc>
              <w:tc>
                <w:tcPr>
                  <w:tcW w:w="260" w:type="pct"/>
                  <w:vAlign w:val="center"/>
                </w:tcPr>
                <w:p w14:paraId="2D70A5FF">
                  <w:pPr>
                    <w:spacing w:line="0" w:lineRule="atLeast"/>
                    <w:jc w:val="center"/>
                    <w:rPr>
                      <w:sz w:val="18"/>
                      <w:szCs w:val="18"/>
                    </w:rPr>
                  </w:pPr>
                  <w:r>
                    <w:rPr>
                      <w:rFonts w:hint="eastAsia"/>
                      <w:sz w:val="18"/>
                      <w:szCs w:val="18"/>
                    </w:rPr>
                    <w:t>1.2</w:t>
                  </w:r>
                </w:p>
              </w:tc>
              <w:tc>
                <w:tcPr>
                  <w:tcW w:w="236" w:type="pct"/>
                  <w:vAlign w:val="center"/>
                </w:tcPr>
                <w:p w14:paraId="559CE97F">
                  <w:pPr>
                    <w:spacing w:line="0" w:lineRule="atLeast"/>
                    <w:jc w:val="center"/>
                    <w:rPr>
                      <w:sz w:val="18"/>
                      <w:szCs w:val="18"/>
                    </w:rPr>
                  </w:pPr>
                  <w:r>
                    <w:rPr>
                      <w:rFonts w:hint="eastAsia"/>
                      <w:sz w:val="18"/>
                      <w:szCs w:val="18"/>
                    </w:rPr>
                    <w:t>4</w:t>
                  </w:r>
                </w:p>
              </w:tc>
              <w:tc>
                <w:tcPr>
                  <w:tcW w:w="437" w:type="pct"/>
                  <w:vAlign w:val="center"/>
                </w:tcPr>
                <w:p w14:paraId="7FB6A05F">
                  <w:pPr>
                    <w:spacing w:line="0" w:lineRule="atLeast"/>
                    <w:jc w:val="center"/>
                    <w:rPr>
                      <w:sz w:val="18"/>
                      <w:szCs w:val="18"/>
                    </w:rPr>
                  </w:pPr>
                  <w:r>
                    <w:rPr>
                      <w:rFonts w:hint="eastAsia" w:eastAsia="等线"/>
                      <w:sz w:val="18"/>
                      <w:szCs w:val="18"/>
                    </w:rPr>
                    <w:t>68</w:t>
                  </w:r>
                </w:p>
              </w:tc>
              <w:tc>
                <w:tcPr>
                  <w:tcW w:w="237" w:type="pct"/>
                  <w:vAlign w:val="center"/>
                </w:tcPr>
                <w:p w14:paraId="1C336AA7">
                  <w:pPr>
                    <w:spacing w:line="0" w:lineRule="atLeast"/>
                    <w:jc w:val="center"/>
                    <w:rPr>
                      <w:sz w:val="18"/>
                      <w:szCs w:val="18"/>
                    </w:rPr>
                  </w:pPr>
                  <w:r>
                    <w:rPr>
                      <w:rFonts w:hint="eastAsia"/>
                      <w:sz w:val="18"/>
                      <w:szCs w:val="18"/>
                    </w:rPr>
                    <w:t>昼夜间</w:t>
                  </w:r>
                </w:p>
              </w:tc>
              <w:tc>
                <w:tcPr>
                  <w:tcW w:w="437" w:type="pct"/>
                  <w:vAlign w:val="center"/>
                </w:tcPr>
                <w:p w14:paraId="7B8F522B">
                  <w:pPr>
                    <w:spacing w:line="0" w:lineRule="atLeast"/>
                    <w:jc w:val="center"/>
                    <w:rPr>
                      <w:sz w:val="18"/>
                      <w:szCs w:val="18"/>
                    </w:rPr>
                  </w:pPr>
                  <w:r>
                    <w:rPr>
                      <w:sz w:val="18"/>
                      <w:szCs w:val="18"/>
                    </w:rPr>
                    <w:t>25</w:t>
                  </w:r>
                </w:p>
              </w:tc>
              <w:tc>
                <w:tcPr>
                  <w:tcW w:w="437" w:type="pct"/>
                  <w:vAlign w:val="center"/>
                </w:tcPr>
                <w:p w14:paraId="44504317">
                  <w:pPr>
                    <w:spacing w:line="0" w:lineRule="atLeast"/>
                    <w:jc w:val="center"/>
                    <w:rPr>
                      <w:sz w:val="18"/>
                      <w:szCs w:val="18"/>
                    </w:rPr>
                  </w:pPr>
                  <w:r>
                    <w:rPr>
                      <w:sz w:val="18"/>
                      <w:szCs w:val="18"/>
                    </w:rPr>
                    <w:t>43</w:t>
                  </w:r>
                </w:p>
              </w:tc>
              <w:tc>
                <w:tcPr>
                  <w:tcW w:w="230" w:type="pct"/>
                  <w:vAlign w:val="center"/>
                </w:tcPr>
                <w:p w14:paraId="562AB2C7">
                  <w:pPr>
                    <w:spacing w:line="0" w:lineRule="atLeast"/>
                    <w:jc w:val="center"/>
                    <w:rPr>
                      <w:sz w:val="18"/>
                      <w:szCs w:val="18"/>
                    </w:rPr>
                  </w:pPr>
                  <w:r>
                    <w:rPr>
                      <w:sz w:val="18"/>
                      <w:szCs w:val="18"/>
                    </w:rPr>
                    <w:t>1</w:t>
                  </w:r>
                </w:p>
              </w:tc>
              <w:tc>
                <w:tcPr>
                  <w:tcW w:w="343" w:type="pct"/>
                  <w:vAlign w:val="center"/>
                </w:tcPr>
                <w:p w14:paraId="3F196BF0">
                  <w:pPr>
                    <w:spacing w:line="0" w:lineRule="atLeast"/>
                    <w:jc w:val="center"/>
                    <w:rPr>
                      <w:sz w:val="18"/>
                      <w:szCs w:val="18"/>
                    </w:rPr>
                  </w:pPr>
                  <w:r>
                    <w:rPr>
                      <w:rFonts w:hint="eastAsia"/>
                      <w:sz w:val="18"/>
                      <w:szCs w:val="18"/>
                    </w:rPr>
                    <w:t>2200</w:t>
                  </w:r>
                </w:p>
              </w:tc>
            </w:tr>
          </w:tbl>
          <w:p w14:paraId="5CB8A5C0">
            <w:pPr>
              <w:adjustRightInd w:val="0"/>
              <w:snapToGrid w:val="0"/>
              <w:spacing w:line="360" w:lineRule="auto"/>
              <w:ind w:firstLine="420" w:firstLineChars="200"/>
              <w:rPr>
                <w:szCs w:val="21"/>
              </w:rPr>
            </w:pPr>
            <w:r>
              <w:rPr>
                <w:bCs/>
                <w:szCs w:val="21"/>
              </w:rPr>
              <w:t xml:space="preserve">为减轻对周围声环境的影响，项目从隔声降噪等方面考虑噪声的防治措施。具体采取的治理措施如下： </w:t>
            </w:r>
          </w:p>
          <w:p w14:paraId="32BBA545">
            <w:pPr>
              <w:adjustRightInd w:val="0"/>
              <w:snapToGrid w:val="0"/>
              <w:spacing w:line="360" w:lineRule="auto"/>
              <w:ind w:firstLine="420" w:firstLineChars="200"/>
              <w:rPr>
                <w:bCs/>
                <w:szCs w:val="21"/>
              </w:rPr>
            </w:pPr>
            <w:r>
              <w:rPr>
                <w:rFonts w:ascii="Cambria Math" w:hAnsi="Cambria Math" w:cs="Cambria Math"/>
                <w:bCs/>
                <w:szCs w:val="21"/>
              </w:rPr>
              <w:t>①</w:t>
            </w:r>
            <w:r>
              <w:rPr>
                <w:bCs/>
                <w:szCs w:val="21"/>
              </w:rPr>
              <w:t>选用低噪声设备，并在设备安装过程中设备安放稳固，与地面保持良好接触，并且使用减振机座，使用减振机座是简单有效的减振方法；</w:t>
            </w:r>
          </w:p>
          <w:p w14:paraId="63C01ED5">
            <w:pPr>
              <w:adjustRightInd w:val="0"/>
              <w:snapToGrid w:val="0"/>
              <w:spacing w:line="360" w:lineRule="auto"/>
              <w:ind w:firstLine="420" w:firstLineChars="200"/>
              <w:rPr>
                <w:bCs/>
                <w:szCs w:val="21"/>
              </w:rPr>
            </w:pPr>
            <w:r>
              <w:rPr>
                <w:rFonts w:ascii="Cambria Math" w:hAnsi="Cambria Math" w:cs="Cambria Math"/>
                <w:bCs/>
                <w:szCs w:val="21"/>
              </w:rPr>
              <w:t>②</w:t>
            </w:r>
            <w:r>
              <w:rPr>
                <w:bCs/>
                <w:szCs w:val="21"/>
              </w:rPr>
              <w:t>生产过程中，</w:t>
            </w:r>
            <w:r>
              <w:rPr>
                <w:szCs w:val="21"/>
              </w:rPr>
              <w:t>设备运行时关闭门窗，利用墙体结构降噪，</w:t>
            </w:r>
            <w:r>
              <w:rPr>
                <w:bCs/>
                <w:szCs w:val="21"/>
              </w:rPr>
              <w:t>加强检查、维护和保养机械设备，保持润滑，紧固各部件，减少运行振动噪声。</w:t>
            </w:r>
          </w:p>
          <w:p w14:paraId="5C6BB841">
            <w:pPr>
              <w:pStyle w:val="95"/>
              <w:rPr>
                <w:sz w:val="21"/>
                <w:szCs w:val="21"/>
              </w:rPr>
            </w:pPr>
            <w:r>
              <w:rPr>
                <w:rFonts w:hint="eastAsia"/>
                <w:sz w:val="21"/>
                <w:szCs w:val="21"/>
              </w:rPr>
              <w:t>（2）</w:t>
            </w:r>
            <w:r>
              <w:rPr>
                <w:sz w:val="21"/>
                <w:szCs w:val="21"/>
              </w:rPr>
              <w:t>预测模式</w:t>
            </w:r>
          </w:p>
          <w:p w14:paraId="2B887E84">
            <w:pPr>
              <w:pStyle w:val="95"/>
              <w:rPr>
                <w:sz w:val="21"/>
                <w:szCs w:val="21"/>
              </w:rPr>
            </w:pPr>
            <w:r>
              <w:rPr>
                <w:sz w:val="21"/>
                <w:szCs w:val="21"/>
              </w:rPr>
              <w:t>根据拟建项目设备声源特征和声学环境的特点，视设备声源为点源，声场为半自由声场，选择《环境影响评价技术导则声环境》（HJ2.4-2021）中推荐半自由声场点声源衰减模式，具体模式如下：</w:t>
            </w:r>
          </w:p>
          <w:p w14:paraId="2E6A4CD2">
            <w:pPr>
              <w:pStyle w:val="95"/>
              <w:rPr>
                <w:sz w:val="21"/>
                <w:szCs w:val="21"/>
              </w:rPr>
            </w:pPr>
            <w:r>
              <w:rPr>
                <w:rFonts w:ascii="Cambria Math" w:hAnsi="Cambria Math" w:cs="Cambria Math"/>
                <w:sz w:val="21"/>
                <w:szCs w:val="21"/>
              </w:rPr>
              <w:t>①</w:t>
            </w:r>
            <w:r>
              <w:rPr>
                <w:sz w:val="21"/>
                <w:szCs w:val="21"/>
              </w:rPr>
              <w:t>建设项目声源在预测点产生的等效声级贡献值（Leqg）计算公式：</w:t>
            </w:r>
          </w:p>
          <w:p w14:paraId="3F11D6FA">
            <w:pPr>
              <w:spacing w:line="360" w:lineRule="auto"/>
              <w:jc w:val="center"/>
              <w:rPr>
                <w:szCs w:val="21"/>
              </w:rPr>
            </w:pPr>
            <w:r>
              <w:rPr>
                <w:szCs w:val="21"/>
              </w:rPr>
              <w:drawing>
                <wp:inline distT="0" distB="0" distL="0" distR="0">
                  <wp:extent cx="1836420" cy="464820"/>
                  <wp:effectExtent l="0" t="0" r="0" b="0"/>
                  <wp:docPr id="15246160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16085" name="图片 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836420" cy="464820"/>
                          </a:xfrm>
                          <a:prstGeom prst="rect">
                            <a:avLst/>
                          </a:prstGeom>
                          <a:noFill/>
                          <a:ln>
                            <a:noFill/>
                          </a:ln>
                        </pic:spPr>
                      </pic:pic>
                    </a:graphicData>
                  </a:graphic>
                </wp:inline>
              </w:drawing>
            </w:r>
          </w:p>
          <w:p w14:paraId="2A7101A0">
            <w:pPr>
              <w:pStyle w:val="95"/>
              <w:rPr>
                <w:sz w:val="21"/>
                <w:szCs w:val="21"/>
              </w:rPr>
            </w:pPr>
            <w:r>
              <w:rPr>
                <w:sz w:val="21"/>
                <w:szCs w:val="21"/>
              </w:rPr>
              <w:t>Leqg——建设项目声源在预测点的等效声级贡献值，dB（A）；</w:t>
            </w:r>
          </w:p>
          <w:p w14:paraId="4C581192">
            <w:pPr>
              <w:pStyle w:val="95"/>
              <w:rPr>
                <w:sz w:val="21"/>
                <w:szCs w:val="21"/>
              </w:rPr>
            </w:pPr>
            <w:r>
              <w:rPr>
                <w:sz w:val="21"/>
                <w:szCs w:val="21"/>
              </w:rPr>
              <w:t>LAi——i声源在预测点产生的A声级，dB（A）；</w:t>
            </w:r>
          </w:p>
          <w:p w14:paraId="69A6DB96">
            <w:pPr>
              <w:pStyle w:val="95"/>
              <w:rPr>
                <w:sz w:val="21"/>
                <w:szCs w:val="21"/>
              </w:rPr>
            </w:pPr>
            <w:r>
              <w:rPr>
                <w:sz w:val="21"/>
                <w:szCs w:val="21"/>
              </w:rPr>
              <w:t>T——预测计算的时间段，s；</w:t>
            </w:r>
          </w:p>
          <w:p w14:paraId="4143099F">
            <w:pPr>
              <w:pStyle w:val="95"/>
              <w:rPr>
                <w:sz w:val="21"/>
                <w:szCs w:val="21"/>
              </w:rPr>
            </w:pPr>
            <w:r>
              <w:rPr>
                <w:sz w:val="21"/>
                <w:szCs w:val="21"/>
              </w:rPr>
              <w:t>ti——i声源在T时段内的运行时间，s</w:t>
            </w:r>
            <w:r>
              <w:rPr>
                <w:rFonts w:hint="eastAsia" w:ascii="微软雅黑" w:hAnsi="微软雅黑" w:eastAsia="微软雅黑" w:cs="微软雅黑"/>
                <w:sz w:val="21"/>
                <w:szCs w:val="21"/>
              </w:rPr>
              <w:t>｡</w:t>
            </w:r>
          </w:p>
          <w:p w14:paraId="43D4E377">
            <w:pPr>
              <w:pStyle w:val="95"/>
              <w:rPr>
                <w:sz w:val="21"/>
                <w:szCs w:val="21"/>
              </w:rPr>
            </w:pPr>
            <w:r>
              <w:rPr>
                <w:rFonts w:ascii="Cambria Math" w:hAnsi="Cambria Math" w:cs="Cambria Math"/>
                <w:sz w:val="21"/>
                <w:szCs w:val="21"/>
              </w:rPr>
              <w:t>②</w:t>
            </w:r>
            <w:r>
              <w:rPr>
                <w:sz w:val="21"/>
                <w:szCs w:val="21"/>
              </w:rPr>
              <w:t>预测点的预测等效声级（Leq）计算公式：</w:t>
            </w:r>
          </w:p>
          <w:p w14:paraId="592729BD">
            <w:pPr>
              <w:spacing w:line="360" w:lineRule="auto"/>
              <w:ind w:firstLine="420" w:firstLineChars="200"/>
              <w:jc w:val="center"/>
              <w:rPr>
                <w:szCs w:val="21"/>
              </w:rPr>
            </w:pPr>
            <w:r>
              <w:rPr>
                <w:szCs w:val="21"/>
              </w:rPr>
              <w:drawing>
                <wp:inline distT="0" distB="0" distL="0" distR="0">
                  <wp:extent cx="2087880" cy="281940"/>
                  <wp:effectExtent l="0" t="0" r="7620" b="3810"/>
                  <wp:docPr id="149714384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43847" name="图片 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087880" cy="281940"/>
                          </a:xfrm>
                          <a:prstGeom prst="rect">
                            <a:avLst/>
                          </a:prstGeom>
                          <a:noFill/>
                          <a:ln>
                            <a:noFill/>
                          </a:ln>
                        </pic:spPr>
                      </pic:pic>
                    </a:graphicData>
                  </a:graphic>
                </wp:inline>
              </w:drawing>
            </w:r>
          </w:p>
          <w:p w14:paraId="4E792BE0">
            <w:pPr>
              <w:pStyle w:val="95"/>
              <w:rPr>
                <w:sz w:val="21"/>
                <w:szCs w:val="21"/>
              </w:rPr>
            </w:pPr>
            <w:r>
              <w:rPr>
                <w:sz w:val="21"/>
                <w:szCs w:val="21"/>
              </w:rPr>
              <w:t>式中：Leqg——建设项目声源在预测点的等效声级贡献值，dB（A）；</w:t>
            </w:r>
          </w:p>
          <w:p w14:paraId="1994FFA7">
            <w:pPr>
              <w:pStyle w:val="95"/>
              <w:rPr>
                <w:sz w:val="21"/>
                <w:szCs w:val="21"/>
              </w:rPr>
            </w:pPr>
            <w:r>
              <w:rPr>
                <w:sz w:val="21"/>
                <w:szCs w:val="21"/>
              </w:rPr>
              <w:t>Leqb——预测点的背景值，dB（A）</w:t>
            </w:r>
            <w:r>
              <w:rPr>
                <w:rFonts w:hint="eastAsia" w:ascii="微软雅黑" w:hAnsi="微软雅黑" w:eastAsia="微软雅黑" w:cs="微软雅黑"/>
                <w:sz w:val="21"/>
                <w:szCs w:val="21"/>
              </w:rPr>
              <w:t>｡</w:t>
            </w:r>
          </w:p>
          <w:p w14:paraId="042063E4">
            <w:pPr>
              <w:pStyle w:val="95"/>
              <w:rPr>
                <w:sz w:val="21"/>
                <w:szCs w:val="21"/>
              </w:rPr>
            </w:pPr>
            <w:r>
              <w:rPr>
                <w:rFonts w:ascii="Cambria Math" w:hAnsi="Cambria Math" w:cs="Cambria Math"/>
                <w:sz w:val="21"/>
                <w:szCs w:val="21"/>
              </w:rPr>
              <w:t>③</w:t>
            </w:r>
            <w:r>
              <w:rPr>
                <w:sz w:val="21"/>
                <w:szCs w:val="21"/>
              </w:rPr>
              <w:t>室内声源等效室外声源功率级计算</w:t>
            </w:r>
          </w:p>
          <w:p w14:paraId="69A4DA79">
            <w:pPr>
              <w:spacing w:line="360" w:lineRule="auto"/>
              <w:jc w:val="center"/>
              <w:rPr>
                <w:szCs w:val="21"/>
              </w:rPr>
            </w:pPr>
            <w:r>
              <w:rPr>
                <w:szCs w:val="21"/>
              </w:rPr>
              <w:fldChar w:fldCharType="begin"/>
            </w:r>
            <w:r>
              <w:rPr>
                <w:szCs w:val="21"/>
              </w:rPr>
              <w:instrText xml:space="preserve"> INCLUDEPICTURE "C:\\Users\\ADMINI~1\\AppData\\Local\\Temp\\ksohtml7248\\wps1.jpg" \* MERGEFORMATINET </w:instrText>
            </w:r>
            <w:r>
              <w:rPr>
                <w:szCs w:val="21"/>
              </w:rPr>
              <w:fldChar w:fldCharType="separate"/>
            </w:r>
            <w:r>
              <w:rPr>
                <w:szCs w:val="21"/>
              </w:rPr>
              <w:fldChar w:fldCharType="begin"/>
            </w:r>
            <w:r>
              <w:rPr>
                <w:szCs w:val="21"/>
              </w:rPr>
              <w:instrText xml:space="preserve"> INCLUDEPICTURE  "C:\\Users\\ADMINI~1\\AppData\\Local\\Temp\\ksohtml7248\\wps1.jpg" \* MERGEFORMATINET </w:instrText>
            </w:r>
            <w:r>
              <w:rPr>
                <w:szCs w:val="21"/>
              </w:rPr>
              <w:fldChar w:fldCharType="separate"/>
            </w:r>
            <w:r>
              <w:rPr>
                <w:szCs w:val="21"/>
              </w:rPr>
              <w:fldChar w:fldCharType="begin"/>
            </w:r>
            <w:r>
              <w:rPr>
                <w:szCs w:val="21"/>
              </w:rPr>
              <w:instrText xml:space="preserve"> INCLUDEPICTURE  "C:\\Users\\ADMINI~1\\AppData\\Local\\Temp\\ksohtml7248\\wps1.jpg" \* MERGEFORMATINET </w:instrText>
            </w:r>
            <w:r>
              <w:rPr>
                <w:szCs w:val="21"/>
              </w:rPr>
              <w:fldChar w:fldCharType="separate"/>
            </w:r>
            <w:r>
              <w:rPr>
                <w:szCs w:val="21"/>
              </w:rPr>
              <w:fldChar w:fldCharType="begin"/>
            </w:r>
            <w:r>
              <w:rPr>
                <w:szCs w:val="21"/>
              </w:rPr>
              <w:instrText xml:space="preserve"> INCLUDEPICTURE  "C:\\Users\\ADMINI~1\\AppData\\Local\\Temp\\ksohtml7248\\wps1.jpg" \* MERGEFORMATINET </w:instrText>
            </w:r>
            <w:r>
              <w:rPr>
                <w:szCs w:val="21"/>
              </w:rPr>
              <w:fldChar w:fldCharType="separate"/>
            </w:r>
            <w:r>
              <w:rPr>
                <w:szCs w:val="21"/>
              </w:rPr>
              <w:pict>
                <v:shape id="_x0000_i1026" o:spt="75" alt="wps1" type="#_x0000_t75" style="height:45pt;width:184.2pt;" filled="f" o:preferrelative="t" stroked="f" coordsize="21600,21600">
                  <v:path/>
                  <v:fill on="f" focussize="0,0"/>
                  <v:stroke on="f" joinstyle="miter"/>
                  <v:imagedata r:id="rId16" r:href="rId17" o:title=""/>
                  <o:lock v:ext="edit" aspectratio="t"/>
                  <w10:wrap type="none"/>
                  <w10:anchorlock/>
                </v:shape>
              </w:pict>
            </w:r>
            <w:r>
              <w:rPr>
                <w:szCs w:val="21"/>
              </w:rPr>
              <w:fldChar w:fldCharType="end"/>
            </w:r>
            <w:r>
              <w:rPr>
                <w:szCs w:val="21"/>
              </w:rPr>
              <w:fldChar w:fldCharType="end"/>
            </w:r>
            <w:r>
              <w:rPr>
                <w:szCs w:val="21"/>
              </w:rPr>
              <w:fldChar w:fldCharType="end"/>
            </w:r>
            <w:r>
              <w:rPr>
                <w:szCs w:val="21"/>
              </w:rPr>
              <w:fldChar w:fldCharType="end"/>
            </w:r>
          </w:p>
          <w:p w14:paraId="745E3A15">
            <w:pPr>
              <w:pStyle w:val="95"/>
              <w:rPr>
                <w:sz w:val="21"/>
                <w:szCs w:val="21"/>
              </w:rPr>
            </w:pPr>
            <w:r>
              <w:rPr>
                <w:sz w:val="21"/>
                <w:szCs w:val="21"/>
              </w:rPr>
              <w:t>式中：Lp1—靠近开口处（或窗户）室内某倍频带的声压级或A声级，dB；</w:t>
            </w:r>
          </w:p>
          <w:p w14:paraId="5DE72792">
            <w:pPr>
              <w:pStyle w:val="95"/>
              <w:rPr>
                <w:sz w:val="21"/>
                <w:szCs w:val="21"/>
              </w:rPr>
            </w:pPr>
            <w:r>
              <w:rPr>
                <w:sz w:val="21"/>
                <w:szCs w:val="21"/>
              </w:rPr>
              <w:t>Lw——点声源声功率级（A计权或倍频带），dB；</w:t>
            </w:r>
          </w:p>
          <w:p w14:paraId="07E5F445">
            <w:pPr>
              <w:pStyle w:val="95"/>
              <w:rPr>
                <w:sz w:val="21"/>
                <w:szCs w:val="21"/>
              </w:rPr>
            </w:pPr>
            <w:r>
              <w:rPr>
                <w:sz w:val="21"/>
                <w:szCs w:val="21"/>
              </w:rPr>
              <w:t>Q——指向性因数；通常对无指向性声源，当声源放在房间中心时，Q=1；当放在一面墙的中心时，Q=2；当放在两面墙夹角处时，Q=4；当放在三面墙夹角处时，Q=8；本次Q值取2；</w:t>
            </w:r>
          </w:p>
          <w:p w14:paraId="1BD8A195">
            <w:pPr>
              <w:pStyle w:val="95"/>
              <w:rPr>
                <w:sz w:val="21"/>
                <w:szCs w:val="21"/>
              </w:rPr>
            </w:pPr>
            <w:r>
              <w:rPr>
                <w:sz w:val="21"/>
                <w:szCs w:val="21"/>
              </w:rPr>
              <w:t>R—房间常数：R=Sα/（1-α），S为房间内表面面积，m</w:t>
            </w:r>
            <w:r>
              <w:rPr>
                <w:sz w:val="21"/>
                <w:szCs w:val="21"/>
                <w:vertAlign w:val="superscript"/>
              </w:rPr>
              <w:t>2</w:t>
            </w:r>
            <w:r>
              <w:rPr>
                <w:sz w:val="21"/>
                <w:szCs w:val="21"/>
              </w:rPr>
              <w:t>；α为平均吸声系数；</w:t>
            </w:r>
          </w:p>
          <w:p w14:paraId="60BB928A">
            <w:pPr>
              <w:pStyle w:val="95"/>
              <w:rPr>
                <w:sz w:val="21"/>
                <w:szCs w:val="21"/>
              </w:rPr>
            </w:pPr>
            <w:r>
              <w:rPr>
                <w:sz w:val="21"/>
                <w:szCs w:val="21"/>
              </w:rPr>
              <w:t>r—声源到靠近围护结构某点处的距离，m</w:t>
            </w:r>
            <w:r>
              <w:rPr>
                <w:rFonts w:hint="eastAsia" w:ascii="微软雅黑" w:hAnsi="微软雅黑" w:eastAsia="微软雅黑" w:cs="微软雅黑"/>
                <w:sz w:val="21"/>
                <w:szCs w:val="21"/>
              </w:rPr>
              <w:t>｡</w:t>
            </w:r>
          </w:p>
          <w:p w14:paraId="16F1A7EE">
            <w:pPr>
              <w:pStyle w:val="95"/>
              <w:rPr>
                <w:sz w:val="21"/>
                <w:szCs w:val="21"/>
              </w:rPr>
            </w:pPr>
            <w:r>
              <w:rPr>
                <w:sz w:val="21"/>
                <w:szCs w:val="21"/>
              </w:rPr>
              <w:t>然后计算出所有室内声源在围护结构处产生的i倍频带叠加声压级：</w:t>
            </w:r>
          </w:p>
          <w:p w14:paraId="4FC4093C">
            <w:pPr>
              <w:jc w:val="center"/>
              <w:rPr>
                <w:szCs w:val="21"/>
              </w:rPr>
            </w:pPr>
            <w:r>
              <w:rPr>
                <w:szCs w:val="21"/>
              </w:rPr>
              <w:drawing>
                <wp:inline distT="0" distB="0" distL="0" distR="0">
                  <wp:extent cx="2849880" cy="647700"/>
                  <wp:effectExtent l="0" t="0" r="7620" b="0"/>
                  <wp:docPr id="1258302710"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02710" name="图片 8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849880" cy="647700"/>
                          </a:xfrm>
                          <a:prstGeom prst="rect">
                            <a:avLst/>
                          </a:prstGeom>
                          <a:noFill/>
                          <a:ln>
                            <a:noFill/>
                          </a:ln>
                        </pic:spPr>
                      </pic:pic>
                    </a:graphicData>
                  </a:graphic>
                </wp:inline>
              </w:drawing>
            </w:r>
          </w:p>
          <w:p w14:paraId="2EA33058">
            <w:pPr>
              <w:pStyle w:val="95"/>
              <w:rPr>
                <w:sz w:val="21"/>
                <w:szCs w:val="21"/>
              </w:rPr>
            </w:pPr>
            <w:r>
              <w:rPr>
                <w:sz w:val="21"/>
                <w:szCs w:val="21"/>
              </w:rPr>
              <w:t>式中：Lp1i（T）—靠近围护结构处室内N个声源i倍频带的叠加声压级，dB；</w:t>
            </w:r>
          </w:p>
          <w:p w14:paraId="458268E0">
            <w:pPr>
              <w:pStyle w:val="95"/>
              <w:rPr>
                <w:sz w:val="21"/>
                <w:szCs w:val="21"/>
              </w:rPr>
            </w:pPr>
            <w:r>
              <w:rPr>
                <w:sz w:val="21"/>
                <w:szCs w:val="21"/>
              </w:rPr>
              <w:t>Lp1ij—室内j声源i倍频带的声压级，dB；</w:t>
            </w:r>
          </w:p>
          <w:p w14:paraId="36FE2919">
            <w:pPr>
              <w:pStyle w:val="95"/>
              <w:rPr>
                <w:sz w:val="21"/>
                <w:szCs w:val="21"/>
              </w:rPr>
            </w:pPr>
            <w:r>
              <w:rPr>
                <w:sz w:val="21"/>
                <w:szCs w:val="21"/>
              </w:rPr>
              <w:t>N—室内声源总数</w:t>
            </w:r>
            <w:r>
              <w:rPr>
                <w:rFonts w:hint="eastAsia" w:ascii="微软雅黑" w:hAnsi="微软雅黑" w:eastAsia="微软雅黑" w:cs="微软雅黑"/>
                <w:sz w:val="21"/>
                <w:szCs w:val="21"/>
              </w:rPr>
              <w:t>｡</w:t>
            </w:r>
          </w:p>
          <w:p w14:paraId="4F7B881C">
            <w:pPr>
              <w:pStyle w:val="95"/>
              <w:rPr>
                <w:sz w:val="21"/>
                <w:szCs w:val="21"/>
              </w:rPr>
            </w:pPr>
            <w:r>
              <w:rPr>
                <w:sz w:val="21"/>
                <w:szCs w:val="21"/>
              </w:rPr>
              <w:t>在室内近似为扩散声场时，计算出靠近室外围护结构处的声压级：</w:t>
            </w:r>
          </w:p>
          <w:p w14:paraId="512186D1">
            <w:pPr>
              <w:jc w:val="center"/>
              <w:rPr>
                <w:szCs w:val="21"/>
              </w:rPr>
            </w:pPr>
            <w:r>
              <w:rPr>
                <w:szCs w:val="21"/>
              </w:rPr>
              <w:drawing>
                <wp:inline distT="0" distB="0" distL="0" distR="0">
                  <wp:extent cx="2918460" cy="335280"/>
                  <wp:effectExtent l="0" t="0" r="0" b="7620"/>
                  <wp:docPr id="133029641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96419" name="图片 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918460" cy="335280"/>
                          </a:xfrm>
                          <a:prstGeom prst="rect">
                            <a:avLst/>
                          </a:prstGeom>
                          <a:noFill/>
                          <a:ln>
                            <a:noFill/>
                          </a:ln>
                        </pic:spPr>
                      </pic:pic>
                    </a:graphicData>
                  </a:graphic>
                </wp:inline>
              </w:drawing>
            </w:r>
          </w:p>
          <w:p w14:paraId="0E3DE84E">
            <w:pPr>
              <w:pStyle w:val="95"/>
              <w:rPr>
                <w:sz w:val="21"/>
                <w:szCs w:val="21"/>
              </w:rPr>
            </w:pPr>
            <w:r>
              <w:rPr>
                <w:sz w:val="21"/>
                <w:szCs w:val="21"/>
              </w:rPr>
              <w:t>式中：L2pi（T）—靠近围护结构处室外N个声源i倍频带的叠加声压级，dB；</w:t>
            </w:r>
          </w:p>
          <w:p w14:paraId="7805ACC8">
            <w:pPr>
              <w:pStyle w:val="95"/>
              <w:rPr>
                <w:sz w:val="21"/>
                <w:szCs w:val="21"/>
              </w:rPr>
            </w:pPr>
            <w:r>
              <w:rPr>
                <w:sz w:val="21"/>
                <w:szCs w:val="21"/>
              </w:rPr>
              <w:t>TLi—围护结构i倍频带的隔声量，dB</w:t>
            </w:r>
            <w:r>
              <w:rPr>
                <w:rFonts w:hint="eastAsia" w:ascii="微软雅黑" w:hAnsi="微软雅黑" w:eastAsia="微软雅黑" w:cs="微软雅黑"/>
                <w:sz w:val="21"/>
                <w:szCs w:val="21"/>
              </w:rPr>
              <w:t>｡</w:t>
            </w:r>
          </w:p>
          <w:p w14:paraId="0CC27A8E">
            <w:pPr>
              <w:pStyle w:val="95"/>
              <w:rPr>
                <w:sz w:val="21"/>
                <w:szCs w:val="21"/>
              </w:rPr>
            </w:pPr>
            <w:r>
              <w:rPr>
                <w:sz w:val="21"/>
                <w:szCs w:val="21"/>
              </w:rPr>
              <w:t>然后将室外声源的声压级和透过面积换算成等效的室外声源，计算出中心位置位于透声面积（S）处的等效声源的倍频带声功率级</w:t>
            </w:r>
            <w:r>
              <w:rPr>
                <w:rFonts w:hint="eastAsia" w:ascii="微软雅黑" w:hAnsi="微软雅黑" w:eastAsia="微软雅黑" w:cs="微软雅黑"/>
                <w:sz w:val="21"/>
                <w:szCs w:val="21"/>
              </w:rPr>
              <w:t>｡</w:t>
            </w:r>
          </w:p>
          <w:p w14:paraId="1BE463D8">
            <w:pPr>
              <w:jc w:val="center"/>
              <w:rPr>
                <w:szCs w:val="21"/>
              </w:rPr>
            </w:pPr>
            <w:r>
              <w:rPr>
                <w:szCs w:val="21"/>
              </w:rPr>
              <w:drawing>
                <wp:inline distT="0" distB="0" distL="0" distR="0">
                  <wp:extent cx="2118360" cy="297180"/>
                  <wp:effectExtent l="0" t="0" r="0" b="7620"/>
                  <wp:docPr id="208917886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78861" name="图片 8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118360" cy="297180"/>
                          </a:xfrm>
                          <a:prstGeom prst="rect">
                            <a:avLst/>
                          </a:prstGeom>
                          <a:noFill/>
                          <a:ln>
                            <a:noFill/>
                          </a:ln>
                        </pic:spPr>
                      </pic:pic>
                    </a:graphicData>
                  </a:graphic>
                </wp:inline>
              </w:drawing>
            </w:r>
          </w:p>
          <w:p w14:paraId="23D7092C">
            <w:pPr>
              <w:pStyle w:val="95"/>
              <w:rPr>
                <w:sz w:val="21"/>
                <w:szCs w:val="21"/>
              </w:rPr>
            </w:pPr>
            <w:r>
              <w:rPr>
                <w:sz w:val="21"/>
                <w:szCs w:val="21"/>
              </w:rPr>
              <w:t>式中：Lw—中心位置位于透声面积（S）处的等效声源的倍频带声功率级，dB；</w:t>
            </w:r>
          </w:p>
          <w:p w14:paraId="0B879D34">
            <w:pPr>
              <w:pStyle w:val="95"/>
              <w:rPr>
                <w:sz w:val="21"/>
                <w:szCs w:val="21"/>
              </w:rPr>
            </w:pPr>
            <w:r>
              <w:rPr>
                <w:sz w:val="21"/>
                <w:szCs w:val="21"/>
              </w:rPr>
              <w:t>Lp2（T）—靠近围护结构处室外声源的声压级，dB；</w:t>
            </w:r>
          </w:p>
          <w:p w14:paraId="6CA67A8D">
            <w:pPr>
              <w:pStyle w:val="95"/>
              <w:rPr>
                <w:sz w:val="21"/>
                <w:szCs w:val="21"/>
              </w:rPr>
            </w:pPr>
            <w:r>
              <w:rPr>
                <w:sz w:val="21"/>
                <w:szCs w:val="21"/>
              </w:rPr>
              <w:t>S—透声面积，m</w:t>
            </w:r>
            <w:r>
              <w:rPr>
                <w:sz w:val="21"/>
                <w:szCs w:val="21"/>
                <w:vertAlign w:val="superscript"/>
              </w:rPr>
              <w:t>2</w:t>
            </w:r>
            <w:r>
              <w:rPr>
                <w:rFonts w:hint="eastAsia" w:ascii="微软雅黑" w:hAnsi="微软雅黑" w:eastAsia="微软雅黑" w:cs="微软雅黑"/>
                <w:sz w:val="21"/>
                <w:szCs w:val="21"/>
              </w:rPr>
              <w:t>｡</w:t>
            </w:r>
          </w:p>
          <w:p w14:paraId="49B868EF">
            <w:pPr>
              <w:pStyle w:val="95"/>
              <w:rPr>
                <w:sz w:val="21"/>
                <w:szCs w:val="21"/>
              </w:rPr>
            </w:pPr>
            <w:r>
              <w:rPr>
                <w:rFonts w:ascii="Cambria Math" w:hAnsi="Cambria Math" w:cs="Cambria Math"/>
                <w:sz w:val="21"/>
                <w:szCs w:val="21"/>
              </w:rPr>
              <w:t>④</w:t>
            </w:r>
            <w:r>
              <w:rPr>
                <w:sz w:val="21"/>
                <w:szCs w:val="21"/>
              </w:rPr>
              <w:t>户外声传播衰减计算</w:t>
            </w:r>
          </w:p>
          <w:p w14:paraId="429E8073">
            <w:pPr>
              <w:pStyle w:val="95"/>
              <w:rPr>
                <w:sz w:val="21"/>
                <w:szCs w:val="21"/>
              </w:rPr>
            </w:pPr>
            <w:r>
              <w:rPr>
                <w:sz w:val="21"/>
                <w:szCs w:val="21"/>
              </w:rPr>
              <w:t>户外声传播衰减包括几何发散（Adiv）、大气吸收（Aatm）、地面效应（Agr）、屏障屏蔽（Abar）、其他多方面效应（Amisc）引起的衰减</w:t>
            </w:r>
            <w:r>
              <w:rPr>
                <w:rFonts w:hint="eastAsia" w:ascii="微软雅黑" w:hAnsi="微软雅黑" w:eastAsia="微软雅黑" w:cs="微软雅黑"/>
                <w:sz w:val="21"/>
                <w:szCs w:val="21"/>
              </w:rPr>
              <w:t>｡</w:t>
            </w:r>
          </w:p>
          <w:p w14:paraId="55B29DA2">
            <w:pPr>
              <w:pStyle w:val="95"/>
              <w:rPr>
                <w:sz w:val="21"/>
                <w:szCs w:val="21"/>
              </w:rPr>
            </w:pPr>
            <w:r>
              <w:rPr>
                <w:sz w:val="21"/>
                <w:szCs w:val="21"/>
              </w:rPr>
              <w:t>距声源点r处的A声级按下式计算：</w:t>
            </w:r>
          </w:p>
          <w:p w14:paraId="4056323C">
            <w:pPr>
              <w:jc w:val="center"/>
              <w:rPr>
                <w:szCs w:val="21"/>
              </w:rPr>
            </w:pPr>
            <w:r>
              <w:rPr>
                <w:szCs w:val="21"/>
              </w:rPr>
              <w:drawing>
                <wp:inline distT="0" distB="0" distL="0" distR="0">
                  <wp:extent cx="3924300" cy="335280"/>
                  <wp:effectExtent l="0" t="0" r="0" b="7620"/>
                  <wp:docPr id="126233428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34287" name="图片 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924300" cy="335280"/>
                          </a:xfrm>
                          <a:prstGeom prst="rect">
                            <a:avLst/>
                          </a:prstGeom>
                          <a:noFill/>
                          <a:ln>
                            <a:noFill/>
                          </a:ln>
                        </pic:spPr>
                      </pic:pic>
                    </a:graphicData>
                  </a:graphic>
                </wp:inline>
              </w:drawing>
            </w:r>
          </w:p>
          <w:p w14:paraId="45D1EE3B">
            <w:pPr>
              <w:pStyle w:val="95"/>
              <w:rPr>
                <w:sz w:val="21"/>
                <w:szCs w:val="21"/>
              </w:rPr>
            </w:pPr>
            <w:r>
              <w:rPr>
                <w:sz w:val="21"/>
                <w:szCs w:val="21"/>
              </w:rPr>
              <w:t>在预测中考虑反射引起的修正、屏障引起的衰减、双绕射、室内声源等效室外声源等影响和计算方法</w:t>
            </w:r>
            <w:r>
              <w:rPr>
                <w:rFonts w:hint="eastAsia" w:ascii="微软雅黑" w:hAnsi="微软雅黑" w:eastAsia="微软雅黑" w:cs="微软雅黑"/>
                <w:sz w:val="21"/>
                <w:szCs w:val="21"/>
              </w:rPr>
              <w:t>｡</w:t>
            </w:r>
          </w:p>
          <w:p w14:paraId="21AD1D62">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-14</w:t>
            </w:r>
            <w:r>
              <w:rPr>
                <w:color w:val="000000" w:themeColor="text1"/>
                <w14:textFill>
                  <w14:solidFill>
                    <w14:schemeClr w14:val="tx1"/>
                  </w14:solidFill>
                </w14:textFill>
              </w:rPr>
              <w:t xml:space="preserve"> 厂界噪声预测结果与达标分析表</w:t>
            </w:r>
          </w:p>
          <w:tbl>
            <w:tblPr>
              <w:tblStyle w:val="19"/>
              <w:tblW w:w="72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1817"/>
              <w:gridCol w:w="1902"/>
              <w:gridCol w:w="1857"/>
            </w:tblGrid>
            <w:tr w14:paraId="31339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676" w:type="dxa"/>
                  <w:vMerge w:val="restart"/>
                  <w:vAlign w:val="center"/>
                </w:tcPr>
                <w:p w14:paraId="094D0B2D">
                  <w:pPr>
                    <w:jc w:val="center"/>
                    <w:rPr>
                      <w:bCs/>
                      <w:kern w:val="0"/>
                      <w:sz w:val="18"/>
                      <w:szCs w:val="18"/>
                    </w:rPr>
                  </w:pPr>
                  <w:r>
                    <w:rPr>
                      <w:bCs/>
                      <w:kern w:val="0"/>
                      <w:sz w:val="18"/>
                      <w:szCs w:val="18"/>
                    </w:rPr>
                    <w:t>厂界预测点位</w:t>
                  </w:r>
                </w:p>
              </w:tc>
              <w:tc>
                <w:tcPr>
                  <w:tcW w:w="1817" w:type="dxa"/>
                  <w:vMerge w:val="restart"/>
                  <w:vAlign w:val="center"/>
                </w:tcPr>
                <w:p w14:paraId="6BB27744">
                  <w:pPr>
                    <w:jc w:val="center"/>
                    <w:rPr>
                      <w:bCs/>
                      <w:kern w:val="0"/>
                      <w:sz w:val="18"/>
                      <w:szCs w:val="18"/>
                    </w:rPr>
                  </w:pPr>
                  <w:r>
                    <w:rPr>
                      <w:bCs/>
                      <w:kern w:val="0"/>
                      <w:sz w:val="18"/>
                      <w:szCs w:val="18"/>
                    </w:rPr>
                    <w:t>贡献值</w:t>
                  </w:r>
                </w:p>
              </w:tc>
              <w:tc>
                <w:tcPr>
                  <w:tcW w:w="1902" w:type="dxa"/>
                  <w:vMerge w:val="restart"/>
                  <w:vAlign w:val="center"/>
                </w:tcPr>
                <w:p w14:paraId="565A3928">
                  <w:pPr>
                    <w:jc w:val="center"/>
                    <w:rPr>
                      <w:bCs/>
                      <w:kern w:val="0"/>
                      <w:sz w:val="18"/>
                      <w:szCs w:val="18"/>
                    </w:rPr>
                  </w:pPr>
                  <w:r>
                    <w:rPr>
                      <w:bCs/>
                      <w:kern w:val="0"/>
                      <w:sz w:val="18"/>
                      <w:szCs w:val="18"/>
                    </w:rPr>
                    <w:t>标准值</w:t>
                  </w:r>
                </w:p>
              </w:tc>
              <w:tc>
                <w:tcPr>
                  <w:tcW w:w="1857" w:type="dxa"/>
                  <w:vMerge w:val="restart"/>
                  <w:vAlign w:val="center"/>
                </w:tcPr>
                <w:p w14:paraId="5E4FA9D7">
                  <w:pPr>
                    <w:jc w:val="center"/>
                    <w:rPr>
                      <w:bCs/>
                      <w:kern w:val="0"/>
                      <w:sz w:val="18"/>
                      <w:szCs w:val="18"/>
                    </w:rPr>
                  </w:pPr>
                  <w:r>
                    <w:rPr>
                      <w:bCs/>
                      <w:kern w:val="0"/>
                      <w:sz w:val="18"/>
                      <w:szCs w:val="18"/>
                    </w:rPr>
                    <w:t>是否超标</w:t>
                  </w:r>
                </w:p>
              </w:tc>
            </w:tr>
            <w:tr w14:paraId="181872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1676" w:type="dxa"/>
                  <w:vMerge w:val="continue"/>
                  <w:vAlign w:val="center"/>
                </w:tcPr>
                <w:p w14:paraId="230FDDEB">
                  <w:pPr>
                    <w:jc w:val="center"/>
                    <w:rPr>
                      <w:bCs/>
                      <w:kern w:val="0"/>
                      <w:sz w:val="18"/>
                      <w:szCs w:val="18"/>
                    </w:rPr>
                  </w:pPr>
                </w:p>
              </w:tc>
              <w:tc>
                <w:tcPr>
                  <w:tcW w:w="1817" w:type="dxa"/>
                  <w:vMerge w:val="continue"/>
                  <w:vAlign w:val="center"/>
                </w:tcPr>
                <w:p w14:paraId="32C14382">
                  <w:pPr>
                    <w:jc w:val="center"/>
                    <w:rPr>
                      <w:bCs/>
                      <w:kern w:val="0"/>
                      <w:sz w:val="18"/>
                      <w:szCs w:val="18"/>
                    </w:rPr>
                  </w:pPr>
                </w:p>
              </w:tc>
              <w:tc>
                <w:tcPr>
                  <w:tcW w:w="1902" w:type="dxa"/>
                  <w:vMerge w:val="continue"/>
                  <w:vAlign w:val="center"/>
                </w:tcPr>
                <w:p w14:paraId="2E46F059">
                  <w:pPr>
                    <w:jc w:val="center"/>
                    <w:rPr>
                      <w:bCs/>
                      <w:kern w:val="0"/>
                      <w:sz w:val="18"/>
                      <w:szCs w:val="18"/>
                    </w:rPr>
                  </w:pPr>
                </w:p>
              </w:tc>
              <w:tc>
                <w:tcPr>
                  <w:tcW w:w="1857" w:type="dxa"/>
                  <w:vMerge w:val="continue"/>
                  <w:vAlign w:val="center"/>
                </w:tcPr>
                <w:p w14:paraId="727F48CA">
                  <w:pPr>
                    <w:jc w:val="center"/>
                    <w:rPr>
                      <w:bCs/>
                      <w:kern w:val="0"/>
                      <w:sz w:val="18"/>
                      <w:szCs w:val="18"/>
                    </w:rPr>
                  </w:pPr>
                </w:p>
              </w:tc>
            </w:tr>
            <w:tr w14:paraId="395915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1676" w:type="dxa"/>
                  <w:vAlign w:val="center"/>
                </w:tcPr>
                <w:p w14:paraId="7CDA7DAE">
                  <w:pPr>
                    <w:jc w:val="center"/>
                    <w:rPr>
                      <w:bCs/>
                      <w:kern w:val="0"/>
                      <w:sz w:val="18"/>
                      <w:szCs w:val="18"/>
                    </w:rPr>
                  </w:pPr>
                  <w:r>
                    <w:rPr>
                      <w:bCs/>
                      <w:kern w:val="0"/>
                      <w:sz w:val="18"/>
                      <w:szCs w:val="18"/>
                    </w:rPr>
                    <w:t>东</w:t>
                  </w:r>
                </w:p>
              </w:tc>
              <w:tc>
                <w:tcPr>
                  <w:tcW w:w="1817" w:type="dxa"/>
                  <w:vAlign w:val="center"/>
                </w:tcPr>
                <w:p w14:paraId="65147CF0">
                  <w:pPr>
                    <w:jc w:val="center"/>
                    <w:rPr>
                      <w:bCs/>
                      <w:kern w:val="0"/>
                      <w:sz w:val="18"/>
                      <w:szCs w:val="18"/>
                    </w:rPr>
                  </w:pPr>
                  <w:r>
                    <w:rPr>
                      <w:rFonts w:hint="eastAsia"/>
                      <w:bCs/>
                      <w:kern w:val="0"/>
                      <w:sz w:val="18"/>
                      <w:szCs w:val="18"/>
                    </w:rPr>
                    <w:t>30</w:t>
                  </w:r>
                  <w:r>
                    <w:rPr>
                      <w:bCs/>
                      <w:kern w:val="0"/>
                      <w:sz w:val="18"/>
                      <w:szCs w:val="18"/>
                    </w:rPr>
                    <w:t>.1 dB（A）</w:t>
                  </w:r>
                </w:p>
              </w:tc>
              <w:tc>
                <w:tcPr>
                  <w:tcW w:w="1902" w:type="dxa"/>
                  <w:vMerge w:val="restart"/>
                  <w:vAlign w:val="center"/>
                </w:tcPr>
                <w:p w14:paraId="47C77EDF">
                  <w:pPr>
                    <w:jc w:val="center"/>
                    <w:rPr>
                      <w:bCs/>
                      <w:kern w:val="0"/>
                      <w:sz w:val="18"/>
                      <w:szCs w:val="18"/>
                    </w:rPr>
                  </w:pPr>
                  <w:r>
                    <w:rPr>
                      <w:bCs/>
                      <w:kern w:val="0"/>
                      <w:sz w:val="18"/>
                      <w:szCs w:val="18"/>
                    </w:rPr>
                    <w:t>昼间：6</w:t>
                  </w:r>
                  <w:r>
                    <w:rPr>
                      <w:rFonts w:hint="eastAsia"/>
                      <w:bCs/>
                      <w:kern w:val="0"/>
                      <w:sz w:val="18"/>
                      <w:szCs w:val="18"/>
                    </w:rPr>
                    <w:t>0</w:t>
                  </w:r>
                  <w:r>
                    <w:rPr>
                      <w:bCs/>
                      <w:kern w:val="0"/>
                      <w:sz w:val="18"/>
                      <w:szCs w:val="18"/>
                    </w:rPr>
                    <w:t>dB（A）</w:t>
                  </w:r>
                </w:p>
                <w:p w14:paraId="4B5B0B3A">
                  <w:pPr>
                    <w:jc w:val="center"/>
                    <w:rPr>
                      <w:bCs/>
                      <w:kern w:val="0"/>
                      <w:sz w:val="18"/>
                      <w:szCs w:val="18"/>
                    </w:rPr>
                  </w:pPr>
                  <w:r>
                    <w:rPr>
                      <w:bCs/>
                      <w:kern w:val="0"/>
                      <w:sz w:val="18"/>
                      <w:szCs w:val="18"/>
                    </w:rPr>
                    <w:t>夜间：5</w:t>
                  </w:r>
                  <w:r>
                    <w:rPr>
                      <w:rFonts w:hint="eastAsia"/>
                      <w:bCs/>
                      <w:kern w:val="0"/>
                      <w:sz w:val="18"/>
                      <w:szCs w:val="18"/>
                    </w:rPr>
                    <w:t>0</w:t>
                  </w:r>
                  <w:r>
                    <w:rPr>
                      <w:bCs/>
                      <w:kern w:val="0"/>
                      <w:sz w:val="18"/>
                      <w:szCs w:val="18"/>
                    </w:rPr>
                    <w:t>dB（A）</w:t>
                  </w:r>
                </w:p>
              </w:tc>
              <w:tc>
                <w:tcPr>
                  <w:tcW w:w="1857" w:type="dxa"/>
                  <w:vAlign w:val="center"/>
                </w:tcPr>
                <w:p w14:paraId="7ECA7E38">
                  <w:pPr>
                    <w:jc w:val="center"/>
                    <w:rPr>
                      <w:bCs/>
                      <w:kern w:val="0"/>
                      <w:sz w:val="18"/>
                      <w:szCs w:val="18"/>
                    </w:rPr>
                  </w:pPr>
                  <w:r>
                    <w:rPr>
                      <w:bCs/>
                      <w:kern w:val="0"/>
                      <w:sz w:val="18"/>
                      <w:szCs w:val="18"/>
                    </w:rPr>
                    <w:t>达标</w:t>
                  </w:r>
                </w:p>
              </w:tc>
            </w:tr>
            <w:tr w14:paraId="56568FF5">
              <w:tblPrEx>
                <w:tblCellMar>
                  <w:top w:w="0" w:type="dxa"/>
                  <w:left w:w="108" w:type="dxa"/>
                  <w:bottom w:w="0" w:type="dxa"/>
                  <w:right w:w="108" w:type="dxa"/>
                </w:tblCellMar>
              </w:tblPrEx>
              <w:trPr>
                <w:trHeight w:val="183" w:hRule="atLeast"/>
                <w:jc w:val="center"/>
              </w:trPr>
              <w:tc>
                <w:tcPr>
                  <w:tcW w:w="1676" w:type="dxa"/>
                  <w:vAlign w:val="center"/>
                </w:tcPr>
                <w:p w14:paraId="299A5306">
                  <w:pPr>
                    <w:jc w:val="center"/>
                    <w:rPr>
                      <w:bCs/>
                      <w:kern w:val="0"/>
                      <w:sz w:val="18"/>
                      <w:szCs w:val="18"/>
                    </w:rPr>
                  </w:pPr>
                  <w:r>
                    <w:rPr>
                      <w:bCs/>
                      <w:kern w:val="0"/>
                      <w:sz w:val="18"/>
                      <w:szCs w:val="18"/>
                    </w:rPr>
                    <w:t>南</w:t>
                  </w:r>
                </w:p>
              </w:tc>
              <w:tc>
                <w:tcPr>
                  <w:tcW w:w="1817" w:type="dxa"/>
                  <w:vAlign w:val="center"/>
                </w:tcPr>
                <w:p w14:paraId="206FD543">
                  <w:pPr>
                    <w:jc w:val="center"/>
                    <w:rPr>
                      <w:bCs/>
                      <w:kern w:val="0"/>
                      <w:sz w:val="18"/>
                      <w:szCs w:val="18"/>
                    </w:rPr>
                  </w:pPr>
                  <w:r>
                    <w:rPr>
                      <w:rFonts w:hint="eastAsia"/>
                      <w:bCs/>
                      <w:kern w:val="0"/>
                      <w:sz w:val="18"/>
                      <w:szCs w:val="18"/>
                    </w:rPr>
                    <w:t>29</w:t>
                  </w:r>
                  <w:r>
                    <w:rPr>
                      <w:bCs/>
                      <w:kern w:val="0"/>
                      <w:sz w:val="18"/>
                      <w:szCs w:val="18"/>
                    </w:rPr>
                    <w:t>.5 dB（A）</w:t>
                  </w:r>
                </w:p>
              </w:tc>
              <w:tc>
                <w:tcPr>
                  <w:tcW w:w="1902" w:type="dxa"/>
                  <w:vMerge w:val="continue"/>
                  <w:vAlign w:val="center"/>
                </w:tcPr>
                <w:p w14:paraId="7C5166A4">
                  <w:pPr>
                    <w:jc w:val="center"/>
                    <w:rPr>
                      <w:bCs/>
                      <w:kern w:val="0"/>
                      <w:sz w:val="18"/>
                      <w:szCs w:val="18"/>
                    </w:rPr>
                  </w:pPr>
                </w:p>
              </w:tc>
              <w:tc>
                <w:tcPr>
                  <w:tcW w:w="1857" w:type="dxa"/>
                  <w:vAlign w:val="center"/>
                </w:tcPr>
                <w:p w14:paraId="59DB8A54">
                  <w:pPr>
                    <w:jc w:val="center"/>
                    <w:rPr>
                      <w:bCs/>
                      <w:kern w:val="0"/>
                      <w:sz w:val="18"/>
                      <w:szCs w:val="18"/>
                    </w:rPr>
                  </w:pPr>
                  <w:r>
                    <w:rPr>
                      <w:bCs/>
                      <w:kern w:val="0"/>
                      <w:sz w:val="18"/>
                      <w:szCs w:val="18"/>
                    </w:rPr>
                    <w:t>达标</w:t>
                  </w:r>
                </w:p>
              </w:tc>
            </w:tr>
            <w:tr w14:paraId="04BEA6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1676" w:type="dxa"/>
                  <w:vAlign w:val="center"/>
                </w:tcPr>
                <w:p w14:paraId="51DD82DE">
                  <w:pPr>
                    <w:jc w:val="center"/>
                    <w:rPr>
                      <w:bCs/>
                      <w:kern w:val="0"/>
                      <w:sz w:val="18"/>
                      <w:szCs w:val="18"/>
                    </w:rPr>
                  </w:pPr>
                  <w:r>
                    <w:rPr>
                      <w:bCs/>
                      <w:kern w:val="0"/>
                      <w:sz w:val="18"/>
                      <w:szCs w:val="18"/>
                    </w:rPr>
                    <w:t>西</w:t>
                  </w:r>
                </w:p>
              </w:tc>
              <w:tc>
                <w:tcPr>
                  <w:tcW w:w="1817" w:type="dxa"/>
                  <w:vAlign w:val="center"/>
                </w:tcPr>
                <w:p w14:paraId="39F268D3">
                  <w:pPr>
                    <w:jc w:val="center"/>
                    <w:rPr>
                      <w:bCs/>
                      <w:kern w:val="0"/>
                      <w:sz w:val="18"/>
                      <w:szCs w:val="18"/>
                    </w:rPr>
                  </w:pPr>
                  <w:r>
                    <w:rPr>
                      <w:rFonts w:hint="eastAsia"/>
                      <w:bCs/>
                      <w:kern w:val="0"/>
                      <w:sz w:val="18"/>
                      <w:szCs w:val="18"/>
                    </w:rPr>
                    <w:t>2</w:t>
                  </w:r>
                  <w:r>
                    <w:rPr>
                      <w:bCs/>
                      <w:kern w:val="0"/>
                      <w:sz w:val="18"/>
                      <w:szCs w:val="18"/>
                    </w:rPr>
                    <w:t>6.7 dB（A）</w:t>
                  </w:r>
                </w:p>
              </w:tc>
              <w:tc>
                <w:tcPr>
                  <w:tcW w:w="1902" w:type="dxa"/>
                  <w:vMerge w:val="continue"/>
                  <w:vAlign w:val="center"/>
                </w:tcPr>
                <w:p w14:paraId="670DEA3E">
                  <w:pPr>
                    <w:jc w:val="center"/>
                    <w:rPr>
                      <w:bCs/>
                      <w:kern w:val="0"/>
                      <w:sz w:val="18"/>
                      <w:szCs w:val="18"/>
                    </w:rPr>
                  </w:pPr>
                </w:p>
              </w:tc>
              <w:tc>
                <w:tcPr>
                  <w:tcW w:w="1857" w:type="dxa"/>
                  <w:vAlign w:val="center"/>
                </w:tcPr>
                <w:p w14:paraId="1BE03E31">
                  <w:pPr>
                    <w:jc w:val="center"/>
                    <w:rPr>
                      <w:bCs/>
                      <w:kern w:val="0"/>
                      <w:sz w:val="18"/>
                      <w:szCs w:val="18"/>
                    </w:rPr>
                  </w:pPr>
                  <w:r>
                    <w:rPr>
                      <w:bCs/>
                      <w:kern w:val="0"/>
                      <w:sz w:val="18"/>
                      <w:szCs w:val="18"/>
                    </w:rPr>
                    <w:t>达标</w:t>
                  </w:r>
                </w:p>
              </w:tc>
            </w:tr>
            <w:tr w14:paraId="731BD0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1676" w:type="dxa"/>
                  <w:vAlign w:val="center"/>
                </w:tcPr>
                <w:p w14:paraId="20FFDE20">
                  <w:pPr>
                    <w:jc w:val="center"/>
                    <w:rPr>
                      <w:bCs/>
                      <w:kern w:val="0"/>
                      <w:sz w:val="18"/>
                      <w:szCs w:val="18"/>
                    </w:rPr>
                  </w:pPr>
                  <w:r>
                    <w:rPr>
                      <w:bCs/>
                      <w:kern w:val="0"/>
                      <w:sz w:val="18"/>
                      <w:szCs w:val="18"/>
                    </w:rPr>
                    <w:t>北</w:t>
                  </w:r>
                </w:p>
              </w:tc>
              <w:tc>
                <w:tcPr>
                  <w:tcW w:w="1817" w:type="dxa"/>
                  <w:vAlign w:val="center"/>
                </w:tcPr>
                <w:p w14:paraId="12F943E6">
                  <w:pPr>
                    <w:jc w:val="center"/>
                    <w:rPr>
                      <w:bCs/>
                      <w:kern w:val="0"/>
                      <w:sz w:val="18"/>
                      <w:szCs w:val="18"/>
                    </w:rPr>
                  </w:pPr>
                  <w:r>
                    <w:rPr>
                      <w:rFonts w:hint="eastAsia"/>
                      <w:bCs/>
                      <w:kern w:val="0"/>
                      <w:sz w:val="18"/>
                      <w:szCs w:val="18"/>
                    </w:rPr>
                    <w:t>29</w:t>
                  </w:r>
                  <w:r>
                    <w:rPr>
                      <w:bCs/>
                      <w:kern w:val="0"/>
                      <w:sz w:val="18"/>
                      <w:szCs w:val="18"/>
                    </w:rPr>
                    <w:t>.3 dB（A）</w:t>
                  </w:r>
                </w:p>
              </w:tc>
              <w:tc>
                <w:tcPr>
                  <w:tcW w:w="1902" w:type="dxa"/>
                  <w:vMerge w:val="continue"/>
                  <w:vAlign w:val="center"/>
                </w:tcPr>
                <w:p w14:paraId="71FA0871">
                  <w:pPr>
                    <w:jc w:val="center"/>
                    <w:rPr>
                      <w:bCs/>
                      <w:kern w:val="0"/>
                      <w:sz w:val="18"/>
                      <w:szCs w:val="18"/>
                    </w:rPr>
                  </w:pPr>
                </w:p>
              </w:tc>
              <w:tc>
                <w:tcPr>
                  <w:tcW w:w="1857" w:type="dxa"/>
                  <w:vAlign w:val="center"/>
                </w:tcPr>
                <w:p w14:paraId="2022D395">
                  <w:pPr>
                    <w:jc w:val="center"/>
                    <w:rPr>
                      <w:bCs/>
                      <w:kern w:val="0"/>
                      <w:sz w:val="18"/>
                      <w:szCs w:val="18"/>
                    </w:rPr>
                  </w:pPr>
                  <w:r>
                    <w:rPr>
                      <w:bCs/>
                      <w:kern w:val="0"/>
                      <w:sz w:val="18"/>
                      <w:szCs w:val="18"/>
                    </w:rPr>
                    <w:t>达标</w:t>
                  </w:r>
                </w:p>
              </w:tc>
            </w:tr>
          </w:tbl>
          <w:p w14:paraId="02784CDF">
            <w:pPr>
              <w:adjustRightInd w:val="0"/>
              <w:snapToGrid w:val="0"/>
              <w:spacing w:line="360" w:lineRule="auto"/>
              <w:ind w:firstLine="420" w:firstLineChars="200"/>
              <w:rPr>
                <w:kern w:val="0"/>
                <w:szCs w:val="21"/>
              </w:rPr>
            </w:pPr>
            <w:r>
              <w:rPr>
                <w:kern w:val="0"/>
                <w:szCs w:val="21"/>
              </w:rPr>
              <w:t>本工程选用低噪声设备，经减振、消声、隔声处理等降噪措施后，一般可隔声25dB（A）</w:t>
            </w:r>
            <w:r>
              <w:rPr>
                <w:bCs/>
                <w:szCs w:val="21"/>
              </w:rPr>
              <w:t>，根据以往运行的现状监测数据，厂界东、南、北、西侧厂界噪声可满足《工业企业厂界环境噪声排放标准》（GB12348-2008）</w:t>
            </w:r>
            <w:bookmarkStart w:id="35" w:name="OLE_LINK100"/>
            <w:r>
              <w:rPr>
                <w:rFonts w:hint="eastAsia"/>
                <w:bCs/>
                <w:szCs w:val="21"/>
              </w:rPr>
              <w:t>表1中</w:t>
            </w:r>
            <w:bookmarkEnd w:id="35"/>
            <w:r>
              <w:rPr>
                <w:bCs/>
                <w:szCs w:val="21"/>
              </w:rPr>
              <w:t>2类标准的要求</w:t>
            </w:r>
            <w:r>
              <w:rPr>
                <w:rFonts w:hint="eastAsia"/>
                <w:szCs w:val="21"/>
              </w:rPr>
              <w:t>，</w:t>
            </w:r>
            <w:r>
              <w:rPr>
                <w:bCs/>
                <w:szCs w:val="21"/>
              </w:rPr>
              <w:t>综上，本项目建设对周围声环境影响较小。</w:t>
            </w:r>
          </w:p>
          <w:p w14:paraId="5C29C128">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15</w:t>
            </w:r>
            <w:r>
              <w:rPr>
                <w:color w:val="000000" w:themeColor="text1"/>
                <w14:textFill>
                  <w14:solidFill>
                    <w14:schemeClr w14:val="tx1"/>
                  </w14:solidFill>
                </w14:textFill>
              </w:rPr>
              <w:t xml:space="preserve">  噪声监测计划一览表</w:t>
            </w:r>
          </w:p>
          <w:tbl>
            <w:tblPr>
              <w:tblStyle w:val="19"/>
              <w:tblW w:w="7814"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592"/>
              <w:gridCol w:w="1169"/>
              <w:gridCol w:w="2002"/>
              <w:gridCol w:w="1774"/>
              <w:gridCol w:w="2277"/>
            </w:tblGrid>
            <w:tr w14:paraId="15DB726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21" w:hRule="atLeast"/>
                <w:jc w:val="center"/>
              </w:trPr>
              <w:tc>
                <w:tcPr>
                  <w:tcW w:w="592" w:type="dxa"/>
                  <w:vAlign w:val="center"/>
                </w:tcPr>
                <w:p w14:paraId="48E3F393">
                  <w:pPr>
                    <w:jc w:val="center"/>
                    <w:rPr>
                      <w:bCs/>
                      <w:kern w:val="0"/>
                      <w:sz w:val="18"/>
                      <w:szCs w:val="18"/>
                    </w:rPr>
                  </w:pPr>
                  <w:r>
                    <w:rPr>
                      <w:bCs/>
                      <w:kern w:val="0"/>
                      <w:sz w:val="18"/>
                      <w:szCs w:val="18"/>
                    </w:rPr>
                    <w:t>序号</w:t>
                  </w:r>
                </w:p>
              </w:tc>
              <w:tc>
                <w:tcPr>
                  <w:tcW w:w="1169" w:type="dxa"/>
                  <w:vAlign w:val="center"/>
                </w:tcPr>
                <w:p w14:paraId="6C04294A">
                  <w:pPr>
                    <w:jc w:val="center"/>
                    <w:rPr>
                      <w:bCs/>
                      <w:kern w:val="0"/>
                      <w:sz w:val="18"/>
                      <w:szCs w:val="18"/>
                    </w:rPr>
                  </w:pPr>
                  <w:r>
                    <w:rPr>
                      <w:bCs/>
                      <w:kern w:val="0"/>
                      <w:sz w:val="18"/>
                      <w:szCs w:val="18"/>
                    </w:rPr>
                    <w:t>环境</w:t>
                  </w:r>
                </w:p>
                <w:p w14:paraId="76B0E262">
                  <w:pPr>
                    <w:jc w:val="center"/>
                    <w:rPr>
                      <w:bCs/>
                      <w:kern w:val="0"/>
                      <w:sz w:val="18"/>
                      <w:szCs w:val="18"/>
                    </w:rPr>
                  </w:pPr>
                  <w:r>
                    <w:rPr>
                      <w:bCs/>
                      <w:kern w:val="0"/>
                      <w:sz w:val="18"/>
                      <w:szCs w:val="18"/>
                    </w:rPr>
                    <w:t>要素</w:t>
                  </w:r>
                </w:p>
              </w:tc>
              <w:tc>
                <w:tcPr>
                  <w:tcW w:w="2002" w:type="dxa"/>
                  <w:vAlign w:val="center"/>
                </w:tcPr>
                <w:p w14:paraId="7AE9B605">
                  <w:pPr>
                    <w:jc w:val="center"/>
                    <w:rPr>
                      <w:bCs/>
                      <w:kern w:val="0"/>
                      <w:sz w:val="18"/>
                      <w:szCs w:val="18"/>
                    </w:rPr>
                  </w:pPr>
                  <w:r>
                    <w:rPr>
                      <w:bCs/>
                      <w:kern w:val="0"/>
                      <w:sz w:val="18"/>
                      <w:szCs w:val="18"/>
                    </w:rPr>
                    <w:t>监测点位</w:t>
                  </w:r>
                </w:p>
              </w:tc>
              <w:tc>
                <w:tcPr>
                  <w:tcW w:w="1774" w:type="dxa"/>
                  <w:vAlign w:val="center"/>
                </w:tcPr>
                <w:p w14:paraId="72F8D7B9">
                  <w:pPr>
                    <w:jc w:val="center"/>
                    <w:rPr>
                      <w:bCs/>
                      <w:kern w:val="0"/>
                      <w:sz w:val="18"/>
                      <w:szCs w:val="18"/>
                    </w:rPr>
                  </w:pPr>
                  <w:r>
                    <w:rPr>
                      <w:bCs/>
                      <w:kern w:val="0"/>
                      <w:sz w:val="18"/>
                      <w:szCs w:val="18"/>
                    </w:rPr>
                    <w:t>监测</w:t>
                  </w:r>
                </w:p>
                <w:p w14:paraId="4F78C26D">
                  <w:pPr>
                    <w:jc w:val="center"/>
                    <w:rPr>
                      <w:bCs/>
                      <w:kern w:val="0"/>
                      <w:sz w:val="18"/>
                      <w:szCs w:val="18"/>
                    </w:rPr>
                  </w:pPr>
                  <w:r>
                    <w:rPr>
                      <w:bCs/>
                      <w:kern w:val="0"/>
                      <w:sz w:val="18"/>
                      <w:szCs w:val="18"/>
                    </w:rPr>
                    <w:t>指标</w:t>
                  </w:r>
                </w:p>
              </w:tc>
              <w:tc>
                <w:tcPr>
                  <w:tcW w:w="2277" w:type="dxa"/>
                  <w:vAlign w:val="center"/>
                </w:tcPr>
                <w:p w14:paraId="66C7B0ED">
                  <w:pPr>
                    <w:jc w:val="center"/>
                    <w:rPr>
                      <w:bCs/>
                      <w:kern w:val="0"/>
                      <w:sz w:val="18"/>
                      <w:szCs w:val="18"/>
                    </w:rPr>
                  </w:pPr>
                  <w:r>
                    <w:rPr>
                      <w:bCs/>
                      <w:kern w:val="0"/>
                      <w:sz w:val="18"/>
                      <w:szCs w:val="18"/>
                    </w:rPr>
                    <w:t>监测频次</w:t>
                  </w:r>
                </w:p>
              </w:tc>
            </w:tr>
            <w:tr w14:paraId="5FBA2FE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57" w:hRule="atLeast"/>
                <w:jc w:val="center"/>
              </w:trPr>
              <w:tc>
                <w:tcPr>
                  <w:tcW w:w="592" w:type="dxa"/>
                  <w:vAlign w:val="center"/>
                </w:tcPr>
                <w:p w14:paraId="1EC1A2E1">
                  <w:pPr>
                    <w:jc w:val="center"/>
                    <w:rPr>
                      <w:bCs/>
                      <w:kern w:val="0"/>
                      <w:sz w:val="18"/>
                      <w:szCs w:val="18"/>
                    </w:rPr>
                  </w:pPr>
                  <w:r>
                    <w:rPr>
                      <w:bCs/>
                      <w:kern w:val="0"/>
                      <w:sz w:val="18"/>
                      <w:szCs w:val="18"/>
                    </w:rPr>
                    <w:t>1</w:t>
                  </w:r>
                </w:p>
              </w:tc>
              <w:tc>
                <w:tcPr>
                  <w:tcW w:w="1169" w:type="dxa"/>
                  <w:vAlign w:val="center"/>
                </w:tcPr>
                <w:p w14:paraId="05925F11">
                  <w:pPr>
                    <w:jc w:val="center"/>
                    <w:rPr>
                      <w:bCs/>
                      <w:kern w:val="0"/>
                      <w:sz w:val="18"/>
                      <w:szCs w:val="18"/>
                    </w:rPr>
                  </w:pPr>
                  <w:r>
                    <w:rPr>
                      <w:bCs/>
                      <w:kern w:val="0"/>
                      <w:sz w:val="18"/>
                      <w:szCs w:val="18"/>
                    </w:rPr>
                    <w:t>声环境</w:t>
                  </w:r>
                </w:p>
              </w:tc>
              <w:tc>
                <w:tcPr>
                  <w:tcW w:w="2002" w:type="dxa"/>
                  <w:vAlign w:val="center"/>
                </w:tcPr>
                <w:p w14:paraId="5B55D409">
                  <w:pPr>
                    <w:jc w:val="center"/>
                    <w:rPr>
                      <w:bCs/>
                      <w:kern w:val="0"/>
                      <w:sz w:val="18"/>
                      <w:szCs w:val="18"/>
                    </w:rPr>
                  </w:pPr>
                  <w:r>
                    <w:rPr>
                      <w:bCs/>
                      <w:kern w:val="0"/>
                      <w:sz w:val="18"/>
                      <w:szCs w:val="18"/>
                    </w:rPr>
                    <w:t>厂界四周外1m布设4个点</w:t>
                  </w:r>
                </w:p>
              </w:tc>
              <w:tc>
                <w:tcPr>
                  <w:tcW w:w="1774" w:type="dxa"/>
                  <w:vAlign w:val="center"/>
                </w:tcPr>
                <w:p w14:paraId="06B43457">
                  <w:pPr>
                    <w:jc w:val="center"/>
                    <w:rPr>
                      <w:bCs/>
                      <w:kern w:val="0"/>
                      <w:sz w:val="18"/>
                      <w:szCs w:val="18"/>
                    </w:rPr>
                  </w:pPr>
                  <w:r>
                    <w:rPr>
                      <w:spacing w:val="-8"/>
                      <w:sz w:val="18"/>
                      <w:szCs w:val="18"/>
                    </w:rPr>
                    <w:t>等效连续A声级</w:t>
                  </w:r>
                </w:p>
              </w:tc>
              <w:tc>
                <w:tcPr>
                  <w:tcW w:w="2277" w:type="dxa"/>
                  <w:vAlign w:val="center"/>
                </w:tcPr>
                <w:p w14:paraId="4A48A3A1">
                  <w:pPr>
                    <w:jc w:val="center"/>
                    <w:rPr>
                      <w:bCs/>
                      <w:kern w:val="0"/>
                      <w:sz w:val="18"/>
                      <w:szCs w:val="18"/>
                    </w:rPr>
                  </w:pPr>
                  <w:r>
                    <w:rPr>
                      <w:bCs/>
                      <w:kern w:val="0"/>
                      <w:sz w:val="18"/>
                      <w:szCs w:val="18"/>
                    </w:rPr>
                    <w:t>每季度开展1次昼夜监测</w:t>
                  </w:r>
                </w:p>
              </w:tc>
            </w:tr>
          </w:tbl>
          <w:p w14:paraId="5F5DBAC8">
            <w:pPr>
              <w:pStyle w:val="7"/>
              <w:spacing w:line="490" w:lineRule="exact"/>
              <w:ind w:firstLine="420"/>
              <w:rPr>
                <w:rFonts w:ascii="Times New Roman" w:hAnsi="Times New Roman"/>
                <w:bCs/>
                <w:sz w:val="21"/>
                <w:szCs w:val="21"/>
              </w:rPr>
            </w:pPr>
            <w:r>
              <w:rPr>
                <w:rFonts w:hint="eastAsia" w:ascii="Times New Roman" w:hAnsi="Times New Roman"/>
                <w:bCs/>
                <w:sz w:val="21"/>
                <w:szCs w:val="21"/>
              </w:rPr>
              <w:t>3、</w:t>
            </w:r>
            <w:r>
              <w:rPr>
                <w:rFonts w:ascii="Times New Roman" w:hAnsi="Times New Roman"/>
                <w:bCs/>
                <w:sz w:val="21"/>
                <w:szCs w:val="21"/>
              </w:rPr>
              <w:t>固体废物</w:t>
            </w:r>
          </w:p>
          <w:p w14:paraId="2934DEEF">
            <w:pPr>
              <w:spacing w:line="360" w:lineRule="auto"/>
              <w:ind w:firstLine="420" w:firstLineChars="200"/>
              <w:rPr>
                <w:szCs w:val="21"/>
              </w:rPr>
            </w:pPr>
            <w:r>
              <w:rPr>
                <w:rFonts w:hint="eastAsia" w:ascii="Cambria Math" w:hAnsi="Cambria Math" w:cs="Cambria Math"/>
                <w:szCs w:val="21"/>
              </w:rPr>
              <w:t>（1）</w:t>
            </w:r>
            <w:r>
              <w:rPr>
                <w:szCs w:val="21"/>
              </w:rPr>
              <w:t>废离子交换树脂</w:t>
            </w:r>
          </w:p>
          <w:p w14:paraId="6C5944AC">
            <w:pPr>
              <w:spacing w:line="360" w:lineRule="auto"/>
              <w:ind w:firstLine="420" w:firstLineChars="200"/>
              <w:rPr>
                <w:szCs w:val="21"/>
              </w:rPr>
            </w:pPr>
            <w:r>
              <w:rPr>
                <w:szCs w:val="21"/>
              </w:rPr>
              <w:t>锅炉软化水处理系统中的树脂定期更换，废离子交换树脂产生量约0.5t/a，废弃离子交换树脂在</w:t>
            </w:r>
            <w:r>
              <w:rPr>
                <w:rFonts w:hint="eastAsia"/>
                <w:szCs w:val="21"/>
              </w:rPr>
              <w:t>灰渣暂存区暂存</w:t>
            </w:r>
            <w:r>
              <w:rPr>
                <w:szCs w:val="21"/>
              </w:rPr>
              <w:t>，产生后</w:t>
            </w:r>
            <w:r>
              <w:rPr>
                <w:rFonts w:hint="eastAsia"/>
                <w:szCs w:val="21"/>
              </w:rPr>
              <w:t>由专业的回收单位</w:t>
            </w:r>
            <w:r>
              <w:rPr>
                <w:szCs w:val="21"/>
              </w:rPr>
              <w:t>回收处置。</w:t>
            </w:r>
          </w:p>
          <w:p w14:paraId="37AC701F">
            <w:pPr>
              <w:spacing w:line="360" w:lineRule="auto"/>
              <w:ind w:firstLine="420" w:firstLineChars="200"/>
              <w:rPr>
                <w:szCs w:val="21"/>
              </w:rPr>
            </w:pPr>
            <w:r>
              <w:rPr>
                <w:rFonts w:hint="eastAsia"/>
                <w:szCs w:val="21"/>
              </w:rPr>
              <w:t>2、</w:t>
            </w:r>
            <w:r>
              <w:rPr>
                <w:szCs w:val="21"/>
              </w:rPr>
              <w:t>灰渣</w:t>
            </w:r>
          </w:p>
          <w:p w14:paraId="6D5635FE">
            <w:pPr>
              <w:adjustRightInd w:val="0"/>
              <w:snapToGrid w:val="0"/>
              <w:spacing w:line="360" w:lineRule="auto"/>
              <w:ind w:firstLine="420" w:firstLineChars="200"/>
              <w:rPr>
                <w:kern w:val="0"/>
                <w:szCs w:val="21"/>
              </w:rPr>
            </w:pPr>
            <w:r>
              <w:rPr>
                <w:kern w:val="0"/>
                <w:szCs w:val="21"/>
              </w:rPr>
              <w:t>根据《污染源源强核算技术指南 锅炉》（HJ991-2018）中的规定，灰渣产生量以下式进行计算：</w:t>
            </w:r>
          </w:p>
          <w:p w14:paraId="1F623E39">
            <w:pPr>
              <w:jc w:val="center"/>
              <w:rPr>
                <w:b/>
                <w:szCs w:val="21"/>
              </w:rPr>
            </w:pPr>
            <w:r>
              <w:rPr>
                <w:b/>
                <w:szCs w:val="21"/>
              </w:rPr>
              <w:object>
                <v:shape id="_x0000_i1027" o:spt="75" type="#_x0000_t75" style="height:37.2pt;width:149.4pt;" o:ole="t" filled="f" o:preferrelative="t" stroked="f" coordsize="21600,21600">
                  <v:path/>
                  <v:fill on="f" focussize="0,0"/>
                  <v:stroke on="f" joinstyle="miter"/>
                  <v:imagedata r:id="rId23" o:title=""/>
                  <o:lock v:ext="edit" aspectratio="t"/>
                  <w10:wrap type="none"/>
                  <w10:anchorlock/>
                </v:shape>
                <o:OLEObject Type="Embed" ProgID="Equation.3" ShapeID="_x0000_i1027" DrawAspect="Content" ObjectID="_1468075726" r:id="rId22">
                  <o:LockedField>false</o:LockedField>
                </o:OLEObject>
              </w:object>
            </w:r>
          </w:p>
          <w:p w14:paraId="16F9C862">
            <w:pPr>
              <w:spacing w:line="360" w:lineRule="auto"/>
              <w:ind w:firstLine="420" w:firstLineChars="200"/>
              <w:jc w:val="left"/>
              <w:rPr>
                <w:szCs w:val="21"/>
              </w:rPr>
            </w:pPr>
            <w:r>
              <w:rPr>
                <w:szCs w:val="21"/>
              </w:rPr>
              <w:t>式中：</w:t>
            </w:r>
            <w:r>
              <w:rPr>
                <w:szCs w:val="21"/>
              </w:rPr>
              <w:object>
                <v:shape id="_x0000_i1028" o:spt="75" type="#_x0000_t75" style="height:17.4pt;width:17.4pt;" o:ole="t" filled="f" o:preferrelative="t" stroked="f" coordsize="21600,21600">
                  <v:path/>
                  <v:fill on="f" focussize="0,0"/>
                  <v:stroke on="f" joinstyle="miter"/>
                  <v:imagedata r:id="rId25" o:title=""/>
                  <o:lock v:ext="edit" aspectratio="t"/>
                  <w10:wrap type="none"/>
                  <w10:anchorlock/>
                </v:shape>
                <o:OLEObject Type="Embed" ProgID="Equation.3" ShapeID="_x0000_i1028" DrawAspect="Content" ObjectID="_1468075727" r:id="rId24">
                  <o:LockedField>false</o:LockedField>
                </o:OLEObject>
              </w:object>
            </w:r>
            <w:r>
              <w:rPr>
                <w:szCs w:val="21"/>
              </w:rPr>
              <w:t>——核算时段内灰渣产生量；t</w:t>
            </w:r>
            <w:r>
              <w:rPr>
                <w:rFonts w:hint="eastAsia"/>
                <w:szCs w:val="21"/>
              </w:rPr>
              <w:t>，</w:t>
            </w:r>
          </w:p>
          <w:p w14:paraId="07890982">
            <w:pPr>
              <w:spacing w:line="360" w:lineRule="auto"/>
              <w:ind w:firstLine="420" w:firstLineChars="200"/>
              <w:jc w:val="left"/>
              <w:rPr>
                <w:szCs w:val="21"/>
              </w:rPr>
            </w:pPr>
            <w:r>
              <w:rPr>
                <w:szCs w:val="21"/>
              </w:rPr>
              <w:object>
                <v:shape id="_x0000_i1029" o:spt="75" type="#_x0000_t75" style="height:12.6pt;width:12.6pt;" o:ole="t" filled="f" o:preferrelative="t" stroked="f" coordsize="21600,21600">
                  <v:path/>
                  <v:fill on="f" focussize="0,0"/>
                  <v:stroke on="f" joinstyle="miter"/>
                  <v:imagedata r:id="rId27" o:title=""/>
                  <o:lock v:ext="edit" aspectratio="t"/>
                  <w10:wrap type="none"/>
                  <w10:anchorlock/>
                </v:shape>
                <o:OLEObject Type="Embed" ProgID="Equation.3" ShapeID="_x0000_i1029" DrawAspect="Content" ObjectID="_1468075728" r:id="rId26">
                  <o:LockedField>false</o:LockedField>
                </o:OLEObject>
              </w:object>
            </w:r>
            <w:r>
              <w:rPr>
                <w:szCs w:val="21"/>
              </w:rPr>
              <w:t>——核算时段内，燃料消耗量，t（22</w:t>
            </w:r>
            <w:r>
              <w:rPr>
                <w:rFonts w:hint="eastAsia"/>
                <w:szCs w:val="21"/>
              </w:rPr>
              <w:t>88</w:t>
            </w:r>
            <w:r>
              <w:rPr>
                <w:szCs w:val="21"/>
              </w:rPr>
              <w:t>t/a）</w:t>
            </w:r>
          </w:p>
          <w:p w14:paraId="2F3E72A8">
            <w:pPr>
              <w:spacing w:line="360" w:lineRule="auto"/>
              <w:ind w:firstLine="420" w:firstLineChars="200"/>
              <w:jc w:val="left"/>
              <w:rPr>
                <w:szCs w:val="21"/>
              </w:rPr>
            </w:pPr>
            <w:r>
              <w:rPr>
                <w:szCs w:val="21"/>
              </w:rPr>
              <w:object>
                <v:shape id="_x0000_i1030" o:spt="75" type="#_x0000_t75" style="height:17.4pt;width:17.4pt;" o:ole="t" filled="f" o:preferrelative="t" stroked="f" coordsize="21600,21600">
                  <v:path/>
                  <v:fill on="f" focussize="0,0"/>
                  <v:stroke on="f" joinstyle="miter"/>
                  <v:imagedata r:id="rId29" o:title=""/>
                  <o:lock v:ext="edit" aspectratio="t"/>
                  <w10:wrap type="none"/>
                  <w10:anchorlock/>
                </v:shape>
                <o:OLEObject Type="Embed" ProgID="Equation.3" ShapeID="_x0000_i1030" DrawAspect="Content" ObjectID="_1468075729" r:id="rId28">
                  <o:LockedField>false</o:LockedField>
                </o:OLEObject>
              </w:object>
            </w:r>
            <w:r>
              <w:rPr>
                <w:szCs w:val="21"/>
              </w:rPr>
              <w:t>——收到基灰分的质量分数，%（</w:t>
            </w:r>
            <w:r>
              <w:rPr>
                <w:rFonts w:hint="eastAsia"/>
                <w:szCs w:val="21"/>
              </w:rPr>
              <w:t>6.33</w:t>
            </w:r>
            <w:r>
              <w:rPr>
                <w:szCs w:val="21"/>
              </w:rPr>
              <w:t>%）</w:t>
            </w:r>
          </w:p>
          <w:p w14:paraId="09C153E0">
            <w:pPr>
              <w:spacing w:line="360" w:lineRule="auto"/>
              <w:ind w:firstLine="420" w:firstLineChars="200"/>
              <w:jc w:val="left"/>
              <w:rPr>
                <w:szCs w:val="21"/>
              </w:rPr>
            </w:pPr>
            <w:r>
              <w:rPr>
                <w:szCs w:val="21"/>
              </w:rPr>
              <w:object>
                <v:shape id="_x0000_i1031" o:spt="75" type="#_x0000_t75" style="height:17.4pt;width:13.8pt;" o:ole="t" filled="f" o:preferrelative="t" stroked="f" coordsize="21600,21600">
                  <v:path/>
                  <v:fill on="f" focussize="0,0"/>
                  <v:stroke on="f" joinstyle="miter"/>
                  <v:imagedata r:id="rId31" o:title=""/>
                  <o:lock v:ext="edit" aspectratio="t"/>
                  <w10:wrap type="none"/>
                  <w10:anchorlock/>
                </v:shape>
                <o:OLEObject Type="Embed" ProgID="Equation.3" ShapeID="_x0000_i1031" DrawAspect="Content" ObjectID="_1468075730" r:id="rId30">
                  <o:LockedField>false</o:LockedField>
                </o:OLEObject>
              </w:object>
            </w:r>
            <w:r>
              <w:rPr>
                <w:szCs w:val="21"/>
              </w:rPr>
              <w:t>——锅炉机械不完全燃烧热损失，%（取10%）</w:t>
            </w:r>
          </w:p>
          <w:p w14:paraId="58BB7EBB">
            <w:pPr>
              <w:spacing w:line="360" w:lineRule="auto"/>
              <w:ind w:firstLine="420" w:firstLineChars="200"/>
              <w:jc w:val="left"/>
              <w:rPr>
                <w:kern w:val="0"/>
                <w:szCs w:val="21"/>
                <w:lang w:val="zh-CN"/>
              </w:rPr>
            </w:pPr>
            <w:r>
              <w:rPr>
                <w:szCs w:val="21"/>
              </w:rPr>
              <w:object>
                <v:shape id="_x0000_i1032" o:spt="75" type="#_x0000_t75" style="height:19.2pt;width:30pt;" o:ole="t" filled="f" o:preferrelative="t" stroked="f" coordsize="21600,21600">
                  <v:path/>
                  <v:fill on="f" focussize="0,0"/>
                  <v:stroke on="f" joinstyle="miter"/>
                  <v:imagedata r:id="rId33" o:title=""/>
                  <o:lock v:ext="edit" aspectratio="t"/>
                  <w10:wrap type="none"/>
                  <w10:anchorlock/>
                </v:shape>
                <o:OLEObject Type="Embed" ProgID="Equation.3" ShapeID="_x0000_i1032" DrawAspect="Content" ObjectID="_1468075731" r:id="rId32">
                  <o:LockedField>false</o:LockedField>
                </o:OLEObject>
              </w:object>
            </w:r>
            <w:r>
              <w:rPr>
                <w:szCs w:val="21"/>
              </w:rPr>
              <w:t>——收到基低位发热量，kJ/kg（14</w:t>
            </w:r>
            <w:r>
              <w:rPr>
                <w:rFonts w:hint="eastAsia"/>
                <w:szCs w:val="21"/>
              </w:rPr>
              <w:t>132</w:t>
            </w:r>
            <w:r>
              <w:rPr>
                <w:szCs w:val="21"/>
              </w:rPr>
              <w:t>kJ/kg）</w:t>
            </w:r>
          </w:p>
          <w:p w14:paraId="50B0C711">
            <w:pPr>
              <w:pStyle w:val="95"/>
              <w:rPr>
                <w:kern w:val="0"/>
                <w:sz w:val="21"/>
                <w:szCs w:val="21"/>
              </w:rPr>
            </w:pPr>
            <w:r>
              <w:rPr>
                <w:kern w:val="0"/>
                <w:sz w:val="21"/>
                <w:szCs w:val="21"/>
              </w:rPr>
              <w:t>经计算后最终求得本项目生物质灰渣产生量为</w:t>
            </w:r>
            <w:r>
              <w:rPr>
                <w:rFonts w:hint="eastAsia"/>
                <w:kern w:val="0"/>
                <w:sz w:val="21"/>
                <w:szCs w:val="21"/>
              </w:rPr>
              <w:t>240.3</w:t>
            </w:r>
            <w:r>
              <w:rPr>
                <w:kern w:val="0"/>
                <w:sz w:val="21"/>
                <w:szCs w:val="21"/>
              </w:rPr>
              <w:t>t/a，</w:t>
            </w:r>
            <w:r>
              <w:rPr>
                <w:rFonts w:hint="eastAsia"/>
                <w:kern w:val="0"/>
                <w:sz w:val="21"/>
                <w:szCs w:val="21"/>
              </w:rPr>
              <w:t>生物质灰渣包含炉渣、布袋除尘器收尘以及飞灰，</w:t>
            </w:r>
            <w:r>
              <w:rPr>
                <w:kern w:val="0"/>
                <w:sz w:val="21"/>
                <w:szCs w:val="21"/>
              </w:rPr>
              <w:t>灰渣中随烟气排放的飞灰（即烟尘）为</w:t>
            </w:r>
            <w:r>
              <w:rPr>
                <w:rFonts w:hint="eastAsia"/>
                <w:kern w:val="0"/>
                <w:sz w:val="21"/>
                <w:szCs w:val="21"/>
              </w:rPr>
              <w:t>0.2</w:t>
            </w:r>
            <w:r>
              <w:rPr>
                <w:rFonts w:hint="eastAsia"/>
                <w:kern w:val="0"/>
                <w:szCs w:val="21"/>
              </w:rPr>
              <w:t>4</w:t>
            </w:r>
            <w:r>
              <w:rPr>
                <w:kern w:val="0"/>
                <w:sz w:val="21"/>
                <w:szCs w:val="21"/>
              </w:rPr>
              <w:t>t/a，</w:t>
            </w:r>
            <w:r>
              <w:rPr>
                <w:rFonts w:hint="eastAsia"/>
                <w:kern w:val="0"/>
                <w:sz w:val="21"/>
                <w:szCs w:val="21"/>
              </w:rPr>
              <w:t>去除飞灰后，项目生物质灰渣总量为240.06t/a，</w:t>
            </w:r>
            <w:r>
              <w:rPr>
                <w:kern w:val="0"/>
                <w:sz w:val="21"/>
                <w:szCs w:val="21"/>
              </w:rPr>
              <w:t>灰渣集中收集后暂存于灰渣</w:t>
            </w:r>
            <w:r>
              <w:rPr>
                <w:rFonts w:hint="eastAsia"/>
                <w:kern w:val="0"/>
                <w:sz w:val="21"/>
                <w:szCs w:val="21"/>
              </w:rPr>
              <w:t>暂存区</w:t>
            </w:r>
            <w:r>
              <w:rPr>
                <w:kern w:val="0"/>
                <w:sz w:val="21"/>
                <w:szCs w:val="21"/>
              </w:rPr>
              <w:t xml:space="preserve">灰渣集中收集后外售用于生产有机肥。 </w:t>
            </w:r>
          </w:p>
          <w:p w14:paraId="585012A9">
            <w:pPr>
              <w:adjustRightInd w:val="0"/>
              <w:snapToGrid w:val="0"/>
              <w:spacing w:line="360" w:lineRule="auto"/>
              <w:ind w:firstLine="420" w:firstLineChars="200"/>
              <w:rPr>
                <w:kern w:val="0"/>
                <w:szCs w:val="21"/>
              </w:rPr>
            </w:pPr>
            <w:r>
              <w:rPr>
                <w:rFonts w:hint="eastAsia"/>
                <w:kern w:val="0"/>
                <w:szCs w:val="21"/>
              </w:rPr>
              <w:t>3</w:t>
            </w:r>
            <w:r>
              <w:rPr>
                <w:kern w:val="0"/>
                <w:szCs w:val="21"/>
              </w:rPr>
              <w:t>、废布袋</w:t>
            </w:r>
          </w:p>
          <w:p w14:paraId="12E8C240">
            <w:pPr>
              <w:adjustRightInd w:val="0"/>
              <w:snapToGrid w:val="0"/>
              <w:spacing w:line="360" w:lineRule="auto"/>
              <w:ind w:firstLine="420" w:firstLineChars="200"/>
              <w:rPr>
                <w:kern w:val="0"/>
                <w:szCs w:val="21"/>
              </w:rPr>
            </w:pPr>
            <w:r>
              <w:rPr>
                <w:kern w:val="0"/>
                <w:szCs w:val="21"/>
              </w:rPr>
              <w:t>废布袋产生量0.2t/a，</w:t>
            </w:r>
            <w:r>
              <w:rPr>
                <w:rFonts w:hint="eastAsia"/>
                <w:kern w:val="0"/>
                <w:szCs w:val="21"/>
              </w:rPr>
              <w:t>废布袋</w:t>
            </w:r>
            <w:r>
              <w:rPr>
                <w:kern w:val="0"/>
                <w:szCs w:val="21"/>
              </w:rPr>
              <w:t>在</w:t>
            </w:r>
            <w:r>
              <w:rPr>
                <w:rFonts w:hint="eastAsia"/>
                <w:kern w:val="0"/>
                <w:szCs w:val="21"/>
              </w:rPr>
              <w:t>灰渣间暂存</w:t>
            </w:r>
            <w:r>
              <w:rPr>
                <w:kern w:val="0"/>
                <w:szCs w:val="21"/>
              </w:rPr>
              <w:t>，产生后</w:t>
            </w:r>
            <w:r>
              <w:rPr>
                <w:rFonts w:hint="eastAsia"/>
                <w:kern w:val="0"/>
                <w:szCs w:val="21"/>
              </w:rPr>
              <w:t>由专业的回收单位</w:t>
            </w:r>
            <w:r>
              <w:rPr>
                <w:kern w:val="0"/>
                <w:szCs w:val="21"/>
              </w:rPr>
              <w:t>回收处置。</w:t>
            </w:r>
          </w:p>
          <w:p w14:paraId="0670D776">
            <w:pPr>
              <w:adjustRightInd w:val="0"/>
              <w:snapToGrid w:val="0"/>
              <w:spacing w:line="360" w:lineRule="auto"/>
              <w:ind w:firstLine="420" w:firstLineChars="200"/>
              <w:rPr>
                <w:kern w:val="0"/>
                <w:szCs w:val="21"/>
              </w:rPr>
            </w:pPr>
            <w:r>
              <w:rPr>
                <w:rFonts w:hint="eastAsia"/>
                <w:kern w:val="0"/>
                <w:szCs w:val="21"/>
              </w:rPr>
              <w:t>4、生活垃圾</w:t>
            </w:r>
          </w:p>
          <w:p w14:paraId="320684E9">
            <w:pPr>
              <w:adjustRightInd w:val="0"/>
              <w:snapToGrid w:val="0"/>
              <w:spacing w:line="360" w:lineRule="auto"/>
              <w:ind w:firstLine="420" w:firstLineChars="200"/>
              <w:rPr>
                <w:kern w:val="0"/>
                <w:szCs w:val="21"/>
              </w:rPr>
            </w:pPr>
            <w:r>
              <w:rPr>
                <w:kern w:val="0"/>
                <w:szCs w:val="21"/>
              </w:rPr>
              <w:t>项目运营后职工人员</w:t>
            </w:r>
            <w:r>
              <w:rPr>
                <w:rFonts w:hint="eastAsia"/>
                <w:kern w:val="0"/>
                <w:szCs w:val="21"/>
              </w:rPr>
              <w:t>40</w:t>
            </w:r>
            <w:r>
              <w:rPr>
                <w:kern w:val="0"/>
                <w:szCs w:val="21"/>
              </w:rPr>
              <w:t>人，</w:t>
            </w:r>
            <w:r>
              <w:rPr>
                <w:rFonts w:hint="eastAsia"/>
                <w:kern w:val="0"/>
                <w:szCs w:val="21"/>
              </w:rPr>
              <w:t>每天接待游客约1370人，</w:t>
            </w:r>
            <w:r>
              <w:rPr>
                <w:kern w:val="0"/>
                <w:szCs w:val="21"/>
              </w:rPr>
              <w:t>按0.5kg/人·d计，生活垃圾产生量约为</w:t>
            </w:r>
            <w:r>
              <w:rPr>
                <w:rFonts w:hint="eastAsia"/>
                <w:kern w:val="0"/>
                <w:szCs w:val="21"/>
              </w:rPr>
              <w:t>257.325</w:t>
            </w:r>
            <w:r>
              <w:rPr>
                <w:kern w:val="0"/>
                <w:szCs w:val="21"/>
              </w:rPr>
              <w:t>t/a</w:t>
            </w:r>
            <w:r>
              <w:rPr>
                <w:rFonts w:hint="eastAsia"/>
                <w:kern w:val="0"/>
                <w:szCs w:val="21"/>
              </w:rPr>
              <w:t>，</w:t>
            </w:r>
            <w:r>
              <w:rPr>
                <w:kern w:val="0"/>
                <w:szCs w:val="21"/>
              </w:rPr>
              <w:t>生活垃圾经收集后交由环卫部门处理。</w:t>
            </w:r>
          </w:p>
          <w:p w14:paraId="3F25BD94">
            <w:pPr>
              <w:adjustRightInd w:val="0"/>
              <w:snapToGrid w:val="0"/>
              <w:spacing w:line="360" w:lineRule="auto"/>
              <w:ind w:firstLine="420" w:firstLineChars="200"/>
              <w:rPr>
                <w:kern w:val="0"/>
                <w:szCs w:val="21"/>
              </w:rPr>
            </w:pPr>
            <w:r>
              <w:rPr>
                <w:rFonts w:hint="eastAsia"/>
                <w:kern w:val="0"/>
                <w:szCs w:val="21"/>
              </w:rPr>
              <w:t>5、餐厨垃圾</w:t>
            </w:r>
          </w:p>
          <w:p w14:paraId="25E6B5ED">
            <w:pPr>
              <w:adjustRightInd w:val="0"/>
              <w:snapToGrid w:val="0"/>
              <w:spacing w:line="360" w:lineRule="auto"/>
              <w:ind w:firstLine="420" w:firstLineChars="200"/>
              <w:rPr>
                <w:kern w:val="0"/>
                <w:szCs w:val="21"/>
              </w:rPr>
            </w:pPr>
            <w:r>
              <w:rPr>
                <w:kern w:val="0"/>
                <w:szCs w:val="21"/>
              </w:rPr>
              <w:t>本项目</w:t>
            </w:r>
            <w:r>
              <w:rPr>
                <w:rFonts w:hint="eastAsia"/>
                <w:kern w:val="0"/>
                <w:szCs w:val="21"/>
              </w:rPr>
              <w:t>每天餐厅</w:t>
            </w:r>
            <w:r>
              <w:rPr>
                <w:kern w:val="0"/>
                <w:szCs w:val="21"/>
              </w:rPr>
              <w:t>就餐人数为</w:t>
            </w:r>
            <w:r>
              <w:rPr>
                <w:rFonts w:hint="eastAsia"/>
                <w:kern w:val="0"/>
                <w:szCs w:val="21"/>
              </w:rPr>
              <w:t>1410</w:t>
            </w:r>
            <w:r>
              <w:rPr>
                <w:kern w:val="0"/>
                <w:szCs w:val="21"/>
              </w:rPr>
              <w:t>人，餐厨废物按照0.1kg/人.d来计算，则产生量为</w:t>
            </w:r>
            <w:r>
              <w:rPr>
                <w:rFonts w:hint="eastAsia"/>
                <w:kern w:val="0"/>
                <w:szCs w:val="21"/>
              </w:rPr>
              <w:t>51.465</w:t>
            </w:r>
            <w:r>
              <w:rPr>
                <w:kern w:val="0"/>
                <w:szCs w:val="21"/>
              </w:rPr>
              <w:t>t/a，</w:t>
            </w:r>
            <w:r>
              <w:rPr>
                <w:rFonts w:hint="eastAsia"/>
                <w:kern w:val="0"/>
                <w:szCs w:val="21"/>
              </w:rPr>
              <w:t>餐厨垃圾存放在专用收集容器内，日产日清，</w:t>
            </w:r>
            <w:r>
              <w:rPr>
                <w:kern w:val="0"/>
                <w:szCs w:val="21"/>
              </w:rPr>
              <w:t>委托有资质的单位进行处置。</w:t>
            </w:r>
          </w:p>
          <w:p w14:paraId="1EDE12CD">
            <w:pPr>
              <w:adjustRightInd w:val="0"/>
              <w:snapToGrid w:val="0"/>
              <w:spacing w:line="360" w:lineRule="auto"/>
              <w:ind w:firstLine="420" w:firstLineChars="200"/>
              <w:rPr>
                <w:kern w:val="0"/>
                <w:szCs w:val="21"/>
              </w:rPr>
            </w:pPr>
            <w:r>
              <w:rPr>
                <w:rFonts w:hint="eastAsia"/>
                <w:kern w:val="0"/>
                <w:szCs w:val="21"/>
              </w:rPr>
              <w:t>6</w:t>
            </w:r>
            <w:r>
              <w:rPr>
                <w:kern w:val="0"/>
                <w:szCs w:val="21"/>
              </w:rPr>
              <w:t>、隔油池油污</w:t>
            </w:r>
            <w:r>
              <w:rPr>
                <w:rFonts w:hint="eastAsia"/>
                <w:kern w:val="0"/>
                <w:szCs w:val="21"/>
              </w:rPr>
              <w:t>和</w:t>
            </w:r>
            <w:r>
              <w:rPr>
                <w:rFonts w:hint="eastAsia"/>
                <w:szCs w:val="21"/>
              </w:rPr>
              <w:t>烟净化装置废弃食用油脂</w:t>
            </w:r>
          </w:p>
          <w:p w14:paraId="488403CF">
            <w:pPr>
              <w:adjustRightInd w:val="0"/>
              <w:snapToGrid w:val="0"/>
              <w:spacing w:line="360" w:lineRule="auto"/>
              <w:ind w:firstLine="420" w:firstLineChars="200"/>
              <w:rPr>
                <w:kern w:val="0"/>
                <w:szCs w:val="21"/>
              </w:rPr>
            </w:pPr>
            <w:r>
              <w:rPr>
                <w:kern w:val="0"/>
                <w:szCs w:val="21"/>
              </w:rPr>
              <w:t>食堂废水在经过隔油池进行处理时，会产生一定量油污。</w:t>
            </w:r>
            <w:r>
              <w:rPr>
                <w:rFonts w:hint="eastAsia"/>
                <w:kern w:val="0"/>
                <w:szCs w:val="21"/>
              </w:rPr>
              <w:t>根据废水源强核算，</w:t>
            </w:r>
            <w:r>
              <w:rPr>
                <w:kern w:val="0"/>
                <w:szCs w:val="21"/>
              </w:rPr>
              <w:t>油污产生量为</w:t>
            </w:r>
            <w:r>
              <w:rPr>
                <w:rFonts w:hint="eastAsia"/>
                <w:kern w:val="0"/>
                <w:szCs w:val="21"/>
              </w:rPr>
              <w:t>3.71t</w:t>
            </w:r>
            <w:r>
              <w:rPr>
                <w:kern w:val="0"/>
                <w:szCs w:val="21"/>
              </w:rPr>
              <w:t>/a。</w:t>
            </w:r>
            <w:r>
              <w:rPr>
                <w:rFonts w:hint="eastAsia"/>
                <w:kern w:val="0"/>
                <w:szCs w:val="21"/>
              </w:rPr>
              <w:t>根据油烟物料平衡，</w:t>
            </w:r>
            <w:r>
              <w:rPr>
                <w:rFonts w:hint="eastAsia"/>
                <w:szCs w:val="21"/>
              </w:rPr>
              <w:t>油烟净化装置废弃食用油脂产生量为</w:t>
            </w:r>
            <w:r>
              <w:rPr>
                <w:rFonts w:hint="eastAsia"/>
                <w:kern w:val="0"/>
                <w:szCs w:val="21"/>
              </w:rPr>
              <w:t>0.43t</w:t>
            </w:r>
            <w:r>
              <w:rPr>
                <w:kern w:val="0"/>
                <w:szCs w:val="21"/>
              </w:rPr>
              <w:t>/a</w:t>
            </w:r>
            <w:r>
              <w:rPr>
                <w:rFonts w:hint="eastAsia"/>
                <w:kern w:val="0"/>
                <w:szCs w:val="21"/>
              </w:rPr>
              <w:t>，</w:t>
            </w:r>
            <w:r>
              <w:rPr>
                <w:kern w:val="0"/>
                <w:szCs w:val="21"/>
              </w:rPr>
              <w:t>隔油池定期清理产生的油污</w:t>
            </w:r>
            <w:r>
              <w:rPr>
                <w:rFonts w:hint="eastAsia"/>
                <w:kern w:val="0"/>
                <w:szCs w:val="21"/>
              </w:rPr>
              <w:t>和</w:t>
            </w:r>
            <w:r>
              <w:rPr>
                <w:rFonts w:hint="eastAsia"/>
                <w:szCs w:val="21"/>
              </w:rPr>
              <w:t>油烟净化装置废弃食用油脂一</w:t>
            </w:r>
            <w:r>
              <w:rPr>
                <w:kern w:val="0"/>
                <w:szCs w:val="21"/>
              </w:rPr>
              <w:t>并</w:t>
            </w:r>
            <w:bookmarkStart w:id="36" w:name="OLE_LINK25"/>
            <w:r>
              <w:rPr>
                <w:kern w:val="0"/>
                <w:szCs w:val="21"/>
              </w:rPr>
              <w:t>委托有资质的单位进行处置</w:t>
            </w:r>
            <w:bookmarkEnd w:id="36"/>
            <w:r>
              <w:rPr>
                <w:kern w:val="0"/>
                <w:szCs w:val="21"/>
              </w:rPr>
              <w:t>。</w:t>
            </w:r>
          </w:p>
          <w:p w14:paraId="0B930507">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16</w:t>
            </w:r>
            <w:r>
              <w:rPr>
                <w:color w:val="000000" w:themeColor="text1"/>
                <w14:textFill>
                  <w14:solidFill>
                    <w14:schemeClr w14:val="tx1"/>
                  </w14:solidFill>
                </w14:textFill>
              </w:rPr>
              <w:t xml:space="preserve"> 项目固体废物汇总表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5"/>
              <w:gridCol w:w="526"/>
              <w:gridCol w:w="597"/>
              <w:gridCol w:w="1283"/>
              <w:gridCol w:w="520"/>
              <w:gridCol w:w="981"/>
              <w:gridCol w:w="820"/>
              <w:gridCol w:w="1121"/>
              <w:gridCol w:w="1310"/>
            </w:tblGrid>
            <w:tr w14:paraId="7D1D78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restart"/>
                  <w:vAlign w:val="center"/>
                </w:tcPr>
                <w:p w14:paraId="22349571">
                  <w:pPr>
                    <w:jc w:val="center"/>
                    <w:rPr>
                      <w:sz w:val="18"/>
                      <w:szCs w:val="18"/>
                    </w:rPr>
                  </w:pPr>
                  <w:r>
                    <w:rPr>
                      <w:sz w:val="18"/>
                      <w:szCs w:val="18"/>
                    </w:rPr>
                    <w:t>工序</w:t>
                  </w:r>
                </w:p>
              </w:tc>
              <w:tc>
                <w:tcPr>
                  <w:tcW w:w="527" w:type="dxa"/>
                  <w:vMerge w:val="restart"/>
                  <w:vAlign w:val="center"/>
                </w:tcPr>
                <w:p w14:paraId="5655D6DB">
                  <w:pPr>
                    <w:jc w:val="center"/>
                    <w:rPr>
                      <w:sz w:val="18"/>
                      <w:szCs w:val="18"/>
                    </w:rPr>
                  </w:pPr>
                  <w:r>
                    <w:rPr>
                      <w:sz w:val="18"/>
                      <w:szCs w:val="18"/>
                    </w:rPr>
                    <w:t>固废名称</w:t>
                  </w:r>
                </w:p>
              </w:tc>
              <w:tc>
                <w:tcPr>
                  <w:tcW w:w="599" w:type="dxa"/>
                  <w:vMerge w:val="restart"/>
                  <w:vAlign w:val="center"/>
                </w:tcPr>
                <w:p w14:paraId="3620825A">
                  <w:pPr>
                    <w:jc w:val="center"/>
                    <w:rPr>
                      <w:sz w:val="18"/>
                      <w:szCs w:val="18"/>
                    </w:rPr>
                  </w:pPr>
                  <w:r>
                    <w:rPr>
                      <w:sz w:val="18"/>
                      <w:szCs w:val="18"/>
                    </w:rPr>
                    <w:t>固废属性</w:t>
                  </w:r>
                </w:p>
              </w:tc>
              <w:tc>
                <w:tcPr>
                  <w:tcW w:w="1284" w:type="dxa"/>
                  <w:vMerge w:val="restart"/>
                  <w:vAlign w:val="center"/>
                </w:tcPr>
                <w:p w14:paraId="183574AA">
                  <w:pPr>
                    <w:jc w:val="center"/>
                    <w:rPr>
                      <w:sz w:val="18"/>
                      <w:szCs w:val="18"/>
                    </w:rPr>
                  </w:pPr>
                  <w:r>
                    <w:rPr>
                      <w:sz w:val="18"/>
                      <w:szCs w:val="18"/>
                    </w:rPr>
                    <w:t>固废代码</w:t>
                  </w:r>
                </w:p>
              </w:tc>
              <w:tc>
                <w:tcPr>
                  <w:tcW w:w="1502" w:type="dxa"/>
                  <w:gridSpan w:val="2"/>
                  <w:vAlign w:val="center"/>
                </w:tcPr>
                <w:p w14:paraId="55C9598D">
                  <w:pPr>
                    <w:jc w:val="center"/>
                    <w:rPr>
                      <w:sz w:val="18"/>
                      <w:szCs w:val="18"/>
                    </w:rPr>
                  </w:pPr>
                  <w:r>
                    <w:rPr>
                      <w:sz w:val="18"/>
                      <w:szCs w:val="18"/>
                    </w:rPr>
                    <w:t>产生情况</w:t>
                  </w:r>
                </w:p>
              </w:tc>
              <w:tc>
                <w:tcPr>
                  <w:tcW w:w="1944" w:type="dxa"/>
                  <w:gridSpan w:val="2"/>
                  <w:vAlign w:val="center"/>
                </w:tcPr>
                <w:p w14:paraId="287D4E1E">
                  <w:pPr>
                    <w:jc w:val="center"/>
                    <w:rPr>
                      <w:sz w:val="18"/>
                      <w:szCs w:val="18"/>
                    </w:rPr>
                  </w:pPr>
                  <w:r>
                    <w:rPr>
                      <w:sz w:val="18"/>
                      <w:szCs w:val="18"/>
                    </w:rPr>
                    <w:t>处置措施</w:t>
                  </w:r>
                </w:p>
              </w:tc>
              <w:tc>
                <w:tcPr>
                  <w:tcW w:w="1316" w:type="dxa"/>
                  <w:vMerge w:val="restart"/>
                  <w:vAlign w:val="center"/>
                </w:tcPr>
                <w:p w14:paraId="6A2A8AD8">
                  <w:pPr>
                    <w:jc w:val="center"/>
                    <w:rPr>
                      <w:sz w:val="18"/>
                      <w:szCs w:val="18"/>
                    </w:rPr>
                  </w:pPr>
                  <w:r>
                    <w:rPr>
                      <w:sz w:val="18"/>
                      <w:szCs w:val="18"/>
                    </w:rPr>
                    <w:t>最终去向</w:t>
                  </w:r>
                </w:p>
              </w:tc>
            </w:tr>
            <w:tr w14:paraId="63AE9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506" w:type="dxa"/>
                  <w:vMerge w:val="continue"/>
                  <w:vAlign w:val="center"/>
                </w:tcPr>
                <w:p w14:paraId="6E9C26A3">
                  <w:pPr>
                    <w:widowControl/>
                    <w:jc w:val="center"/>
                    <w:rPr>
                      <w:sz w:val="18"/>
                      <w:szCs w:val="18"/>
                    </w:rPr>
                  </w:pPr>
                </w:p>
              </w:tc>
              <w:tc>
                <w:tcPr>
                  <w:tcW w:w="527" w:type="dxa"/>
                  <w:vMerge w:val="continue"/>
                  <w:vAlign w:val="center"/>
                </w:tcPr>
                <w:p w14:paraId="77833C50">
                  <w:pPr>
                    <w:widowControl/>
                    <w:jc w:val="center"/>
                    <w:rPr>
                      <w:sz w:val="18"/>
                      <w:szCs w:val="18"/>
                    </w:rPr>
                  </w:pPr>
                </w:p>
              </w:tc>
              <w:tc>
                <w:tcPr>
                  <w:tcW w:w="599" w:type="dxa"/>
                  <w:vMerge w:val="continue"/>
                  <w:vAlign w:val="center"/>
                </w:tcPr>
                <w:p w14:paraId="00ADC812">
                  <w:pPr>
                    <w:widowControl/>
                    <w:jc w:val="center"/>
                    <w:rPr>
                      <w:sz w:val="18"/>
                      <w:szCs w:val="18"/>
                    </w:rPr>
                  </w:pPr>
                </w:p>
              </w:tc>
              <w:tc>
                <w:tcPr>
                  <w:tcW w:w="1284" w:type="dxa"/>
                  <w:vMerge w:val="continue"/>
                  <w:vAlign w:val="center"/>
                </w:tcPr>
                <w:p w14:paraId="25E10985">
                  <w:pPr>
                    <w:widowControl/>
                    <w:jc w:val="center"/>
                    <w:rPr>
                      <w:sz w:val="18"/>
                      <w:szCs w:val="18"/>
                    </w:rPr>
                  </w:pPr>
                </w:p>
              </w:tc>
              <w:tc>
                <w:tcPr>
                  <w:tcW w:w="521" w:type="dxa"/>
                  <w:vAlign w:val="center"/>
                </w:tcPr>
                <w:p w14:paraId="453708E3">
                  <w:pPr>
                    <w:jc w:val="center"/>
                    <w:rPr>
                      <w:sz w:val="18"/>
                      <w:szCs w:val="18"/>
                    </w:rPr>
                  </w:pPr>
                  <w:r>
                    <w:rPr>
                      <w:sz w:val="18"/>
                      <w:szCs w:val="18"/>
                    </w:rPr>
                    <w:t>核算方法</w:t>
                  </w:r>
                </w:p>
              </w:tc>
              <w:tc>
                <w:tcPr>
                  <w:tcW w:w="981" w:type="dxa"/>
                  <w:vAlign w:val="center"/>
                </w:tcPr>
                <w:p w14:paraId="6B5CBC13">
                  <w:pPr>
                    <w:jc w:val="center"/>
                    <w:rPr>
                      <w:sz w:val="18"/>
                      <w:szCs w:val="18"/>
                    </w:rPr>
                  </w:pPr>
                  <w:r>
                    <w:rPr>
                      <w:sz w:val="18"/>
                      <w:szCs w:val="18"/>
                    </w:rPr>
                    <w:t>产生量（t/a）</w:t>
                  </w:r>
                </w:p>
              </w:tc>
              <w:tc>
                <w:tcPr>
                  <w:tcW w:w="822" w:type="dxa"/>
                  <w:vAlign w:val="center"/>
                </w:tcPr>
                <w:p w14:paraId="5FA811B2">
                  <w:pPr>
                    <w:jc w:val="center"/>
                    <w:rPr>
                      <w:sz w:val="18"/>
                      <w:szCs w:val="18"/>
                    </w:rPr>
                  </w:pPr>
                  <w:r>
                    <w:rPr>
                      <w:sz w:val="18"/>
                      <w:szCs w:val="18"/>
                    </w:rPr>
                    <w:t>工艺</w:t>
                  </w:r>
                </w:p>
              </w:tc>
              <w:tc>
                <w:tcPr>
                  <w:tcW w:w="1122" w:type="dxa"/>
                  <w:vAlign w:val="center"/>
                </w:tcPr>
                <w:p w14:paraId="4DBBCFFA">
                  <w:pPr>
                    <w:jc w:val="center"/>
                    <w:rPr>
                      <w:sz w:val="18"/>
                      <w:szCs w:val="18"/>
                    </w:rPr>
                  </w:pPr>
                  <w:r>
                    <w:rPr>
                      <w:sz w:val="18"/>
                      <w:szCs w:val="18"/>
                    </w:rPr>
                    <w:t>处置量</w:t>
                  </w:r>
                </w:p>
                <w:p w14:paraId="39267C64">
                  <w:pPr>
                    <w:pStyle w:val="99"/>
                    <w:spacing w:line="240" w:lineRule="auto"/>
                    <w:ind w:firstLine="0" w:firstLineChars="0"/>
                    <w:jc w:val="center"/>
                    <w:rPr>
                      <w:rFonts w:ascii="Times New Roman" w:hAnsi="Times New Roman" w:cs="Times New Roman"/>
                      <w:sz w:val="18"/>
                      <w:szCs w:val="18"/>
                    </w:rPr>
                  </w:pPr>
                  <w:r>
                    <w:rPr>
                      <w:rFonts w:ascii="Times New Roman" w:hAnsi="Times New Roman" w:cs="Times New Roman"/>
                      <w:sz w:val="18"/>
                      <w:szCs w:val="18"/>
                    </w:rPr>
                    <w:t>（t/a）</w:t>
                  </w:r>
                </w:p>
              </w:tc>
              <w:tc>
                <w:tcPr>
                  <w:tcW w:w="1316" w:type="dxa"/>
                  <w:vMerge w:val="continue"/>
                  <w:vAlign w:val="center"/>
                </w:tcPr>
                <w:p w14:paraId="147EE89D">
                  <w:pPr>
                    <w:widowControl/>
                    <w:jc w:val="center"/>
                    <w:rPr>
                      <w:sz w:val="18"/>
                      <w:szCs w:val="18"/>
                    </w:rPr>
                  </w:pPr>
                </w:p>
              </w:tc>
            </w:tr>
            <w:tr w14:paraId="0F6DA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Align w:val="center"/>
                </w:tcPr>
                <w:p w14:paraId="3B2A723C">
                  <w:pPr>
                    <w:jc w:val="center"/>
                    <w:rPr>
                      <w:sz w:val="18"/>
                      <w:szCs w:val="18"/>
                    </w:rPr>
                  </w:pPr>
                  <w:r>
                    <w:rPr>
                      <w:sz w:val="18"/>
                      <w:szCs w:val="18"/>
                    </w:rPr>
                    <w:t>锅炉软化水设备</w:t>
                  </w:r>
                </w:p>
              </w:tc>
              <w:tc>
                <w:tcPr>
                  <w:tcW w:w="527" w:type="dxa"/>
                  <w:vAlign w:val="center"/>
                </w:tcPr>
                <w:p w14:paraId="666D2FE0">
                  <w:pPr>
                    <w:jc w:val="center"/>
                    <w:rPr>
                      <w:sz w:val="18"/>
                      <w:szCs w:val="18"/>
                    </w:rPr>
                  </w:pPr>
                  <w:r>
                    <w:rPr>
                      <w:sz w:val="18"/>
                      <w:szCs w:val="18"/>
                    </w:rPr>
                    <w:t>废离子交换树脂</w:t>
                  </w:r>
                </w:p>
              </w:tc>
              <w:tc>
                <w:tcPr>
                  <w:tcW w:w="599" w:type="dxa"/>
                  <w:vAlign w:val="center"/>
                </w:tcPr>
                <w:p w14:paraId="05D29A8A">
                  <w:pPr>
                    <w:jc w:val="center"/>
                    <w:rPr>
                      <w:sz w:val="18"/>
                      <w:szCs w:val="18"/>
                    </w:rPr>
                  </w:pPr>
                  <w:r>
                    <w:rPr>
                      <w:sz w:val="18"/>
                      <w:szCs w:val="18"/>
                    </w:rPr>
                    <w:t>一般工业固体废物</w:t>
                  </w:r>
                </w:p>
              </w:tc>
              <w:tc>
                <w:tcPr>
                  <w:tcW w:w="1284" w:type="dxa"/>
                  <w:vAlign w:val="center"/>
                </w:tcPr>
                <w:p w14:paraId="7B7F64C4">
                  <w:pPr>
                    <w:pStyle w:val="91"/>
                    <w:jc w:val="center"/>
                    <w:rPr>
                      <w:rFonts w:ascii="Times New Roman" w:hAnsi="Times New Roman"/>
                      <w:color w:val="auto"/>
                      <w:sz w:val="18"/>
                      <w:szCs w:val="18"/>
                    </w:rPr>
                  </w:pPr>
                  <w:r>
                    <w:rPr>
                      <w:rFonts w:ascii="Times New Roman" w:hAnsi="Times New Roman"/>
                      <w:color w:val="auto"/>
                      <w:sz w:val="18"/>
                      <w:szCs w:val="18"/>
                      <w:lang w:val="en-US" w:eastAsia="zh-CN"/>
                    </w:rPr>
                    <w:t>900-008-S59</w:t>
                  </w:r>
                  <w:r>
                    <w:rPr>
                      <w:rFonts w:ascii="Times New Roman" w:hAnsi="Times New Roman"/>
                      <w:color w:val="auto"/>
                      <w:sz w:val="18"/>
                      <w:szCs w:val="18"/>
                    </w:rPr>
                    <w:t xml:space="preserve"> </w:t>
                  </w:r>
                </w:p>
              </w:tc>
              <w:tc>
                <w:tcPr>
                  <w:tcW w:w="521" w:type="dxa"/>
                  <w:vAlign w:val="center"/>
                </w:tcPr>
                <w:p w14:paraId="61499BBA">
                  <w:pPr>
                    <w:jc w:val="center"/>
                    <w:rPr>
                      <w:sz w:val="18"/>
                      <w:szCs w:val="18"/>
                    </w:rPr>
                  </w:pPr>
                  <w:r>
                    <w:rPr>
                      <w:sz w:val="18"/>
                      <w:szCs w:val="18"/>
                    </w:rPr>
                    <w:t>类比法</w:t>
                  </w:r>
                </w:p>
              </w:tc>
              <w:tc>
                <w:tcPr>
                  <w:tcW w:w="981" w:type="dxa"/>
                  <w:vAlign w:val="center"/>
                </w:tcPr>
                <w:p w14:paraId="5FE81765">
                  <w:pPr>
                    <w:jc w:val="center"/>
                    <w:rPr>
                      <w:sz w:val="18"/>
                      <w:szCs w:val="18"/>
                    </w:rPr>
                  </w:pPr>
                  <w:r>
                    <w:rPr>
                      <w:sz w:val="18"/>
                      <w:szCs w:val="18"/>
                    </w:rPr>
                    <w:t>0.5</w:t>
                  </w:r>
                </w:p>
              </w:tc>
              <w:tc>
                <w:tcPr>
                  <w:tcW w:w="822" w:type="dxa"/>
                  <w:vAlign w:val="center"/>
                </w:tcPr>
                <w:p w14:paraId="65D65BF3">
                  <w:pPr>
                    <w:jc w:val="center"/>
                    <w:rPr>
                      <w:sz w:val="18"/>
                      <w:szCs w:val="18"/>
                    </w:rPr>
                  </w:pPr>
                  <w:r>
                    <w:rPr>
                      <w:rFonts w:hint="eastAsia"/>
                      <w:sz w:val="18"/>
                      <w:szCs w:val="18"/>
                    </w:rPr>
                    <w:t>暂存在灰渣间</w:t>
                  </w:r>
                  <w:r>
                    <w:rPr>
                      <w:sz w:val="18"/>
                      <w:szCs w:val="18"/>
                    </w:rPr>
                    <w:t>，</w:t>
                  </w:r>
                  <w:r>
                    <w:rPr>
                      <w:rFonts w:hint="eastAsia"/>
                      <w:sz w:val="18"/>
                      <w:szCs w:val="18"/>
                    </w:rPr>
                    <w:t>由专业的回收单位</w:t>
                  </w:r>
                  <w:r>
                    <w:rPr>
                      <w:sz w:val="18"/>
                      <w:szCs w:val="18"/>
                    </w:rPr>
                    <w:t>回收</w:t>
                  </w:r>
                </w:p>
              </w:tc>
              <w:tc>
                <w:tcPr>
                  <w:tcW w:w="1122" w:type="dxa"/>
                  <w:vAlign w:val="center"/>
                </w:tcPr>
                <w:p w14:paraId="6B926672">
                  <w:pPr>
                    <w:jc w:val="center"/>
                    <w:rPr>
                      <w:sz w:val="18"/>
                      <w:szCs w:val="18"/>
                    </w:rPr>
                  </w:pPr>
                  <w:r>
                    <w:rPr>
                      <w:sz w:val="18"/>
                      <w:szCs w:val="18"/>
                    </w:rPr>
                    <w:t>0.5</w:t>
                  </w:r>
                </w:p>
              </w:tc>
              <w:tc>
                <w:tcPr>
                  <w:tcW w:w="1316" w:type="dxa"/>
                  <w:vAlign w:val="center"/>
                </w:tcPr>
                <w:p w14:paraId="6A711634">
                  <w:pPr>
                    <w:jc w:val="center"/>
                    <w:rPr>
                      <w:sz w:val="18"/>
                      <w:szCs w:val="18"/>
                    </w:rPr>
                  </w:pPr>
                  <w:r>
                    <w:rPr>
                      <w:rFonts w:hint="eastAsia"/>
                      <w:sz w:val="18"/>
                      <w:szCs w:val="18"/>
                    </w:rPr>
                    <w:t>暂存在灰渣间</w:t>
                  </w:r>
                  <w:r>
                    <w:rPr>
                      <w:sz w:val="18"/>
                      <w:szCs w:val="18"/>
                    </w:rPr>
                    <w:t>，</w:t>
                  </w:r>
                  <w:r>
                    <w:rPr>
                      <w:rFonts w:hint="eastAsia"/>
                      <w:sz w:val="18"/>
                      <w:szCs w:val="18"/>
                    </w:rPr>
                    <w:t>由专业的回收单位</w:t>
                  </w:r>
                  <w:r>
                    <w:rPr>
                      <w:sz w:val="18"/>
                      <w:szCs w:val="18"/>
                    </w:rPr>
                    <w:t>回收</w:t>
                  </w:r>
                </w:p>
              </w:tc>
            </w:tr>
            <w:tr w14:paraId="493EE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Align w:val="center"/>
                </w:tcPr>
                <w:p w14:paraId="7D9B1F7F">
                  <w:pPr>
                    <w:jc w:val="center"/>
                    <w:rPr>
                      <w:sz w:val="18"/>
                      <w:szCs w:val="18"/>
                    </w:rPr>
                  </w:pPr>
                  <w:r>
                    <w:rPr>
                      <w:sz w:val="18"/>
                      <w:szCs w:val="18"/>
                    </w:rPr>
                    <w:t>锅炉</w:t>
                  </w:r>
                </w:p>
              </w:tc>
              <w:tc>
                <w:tcPr>
                  <w:tcW w:w="527" w:type="dxa"/>
                  <w:vAlign w:val="center"/>
                </w:tcPr>
                <w:p w14:paraId="43144964">
                  <w:pPr>
                    <w:jc w:val="center"/>
                    <w:rPr>
                      <w:sz w:val="18"/>
                      <w:szCs w:val="18"/>
                    </w:rPr>
                  </w:pPr>
                  <w:r>
                    <w:rPr>
                      <w:sz w:val="18"/>
                      <w:szCs w:val="18"/>
                    </w:rPr>
                    <w:t>灰渣</w:t>
                  </w:r>
                </w:p>
              </w:tc>
              <w:tc>
                <w:tcPr>
                  <w:tcW w:w="599" w:type="dxa"/>
                  <w:vAlign w:val="center"/>
                </w:tcPr>
                <w:p w14:paraId="7C505DB6">
                  <w:pPr>
                    <w:jc w:val="center"/>
                    <w:rPr>
                      <w:sz w:val="18"/>
                      <w:szCs w:val="18"/>
                    </w:rPr>
                  </w:pPr>
                  <w:r>
                    <w:rPr>
                      <w:sz w:val="18"/>
                      <w:szCs w:val="18"/>
                    </w:rPr>
                    <w:t>一般工业固体废物</w:t>
                  </w:r>
                </w:p>
              </w:tc>
              <w:tc>
                <w:tcPr>
                  <w:tcW w:w="1284" w:type="dxa"/>
                  <w:vAlign w:val="center"/>
                </w:tcPr>
                <w:p w14:paraId="32280DE6">
                  <w:pPr>
                    <w:pStyle w:val="91"/>
                    <w:jc w:val="center"/>
                    <w:rPr>
                      <w:rFonts w:ascii="Times New Roman" w:hAnsi="Times New Roman"/>
                      <w:color w:val="auto"/>
                      <w:sz w:val="18"/>
                      <w:szCs w:val="18"/>
                    </w:rPr>
                  </w:pPr>
                  <w:r>
                    <w:rPr>
                      <w:rFonts w:ascii="Times New Roman" w:hAnsi="Times New Roman"/>
                      <w:color w:val="auto"/>
                      <w:sz w:val="18"/>
                      <w:szCs w:val="18"/>
                      <w:lang w:val="en-US" w:eastAsia="zh-CN"/>
                    </w:rPr>
                    <w:t>900-001-S03</w:t>
                  </w:r>
                  <w:r>
                    <w:rPr>
                      <w:rFonts w:ascii="Times New Roman" w:hAnsi="Times New Roman"/>
                      <w:color w:val="auto"/>
                      <w:sz w:val="18"/>
                      <w:szCs w:val="18"/>
                    </w:rPr>
                    <w:t xml:space="preserve"> </w:t>
                  </w:r>
                </w:p>
              </w:tc>
              <w:tc>
                <w:tcPr>
                  <w:tcW w:w="521" w:type="dxa"/>
                  <w:vAlign w:val="center"/>
                </w:tcPr>
                <w:p w14:paraId="45A9F0EB">
                  <w:pPr>
                    <w:jc w:val="center"/>
                    <w:rPr>
                      <w:sz w:val="18"/>
                      <w:szCs w:val="18"/>
                    </w:rPr>
                  </w:pPr>
                  <w:r>
                    <w:rPr>
                      <w:rFonts w:hint="eastAsia"/>
                      <w:sz w:val="18"/>
                      <w:szCs w:val="18"/>
                    </w:rPr>
                    <w:t>物料衡算法</w:t>
                  </w:r>
                </w:p>
              </w:tc>
              <w:tc>
                <w:tcPr>
                  <w:tcW w:w="981" w:type="dxa"/>
                  <w:vAlign w:val="center"/>
                </w:tcPr>
                <w:p w14:paraId="238C4256">
                  <w:pPr>
                    <w:jc w:val="center"/>
                    <w:rPr>
                      <w:sz w:val="18"/>
                      <w:szCs w:val="18"/>
                    </w:rPr>
                  </w:pPr>
                  <w:r>
                    <w:rPr>
                      <w:sz w:val="18"/>
                      <w:szCs w:val="18"/>
                    </w:rPr>
                    <w:t>2</w:t>
                  </w:r>
                  <w:r>
                    <w:rPr>
                      <w:rFonts w:hint="eastAsia"/>
                      <w:sz w:val="18"/>
                      <w:szCs w:val="18"/>
                    </w:rPr>
                    <w:t>40.06</w:t>
                  </w:r>
                </w:p>
              </w:tc>
              <w:tc>
                <w:tcPr>
                  <w:tcW w:w="822" w:type="dxa"/>
                  <w:vAlign w:val="center"/>
                </w:tcPr>
                <w:p w14:paraId="56D9A459">
                  <w:pPr>
                    <w:jc w:val="center"/>
                    <w:rPr>
                      <w:sz w:val="18"/>
                      <w:szCs w:val="18"/>
                    </w:rPr>
                  </w:pPr>
                  <w:r>
                    <w:rPr>
                      <w:sz w:val="18"/>
                      <w:szCs w:val="18"/>
                    </w:rPr>
                    <w:t>集中收集，外卖综合利用</w:t>
                  </w:r>
                </w:p>
              </w:tc>
              <w:tc>
                <w:tcPr>
                  <w:tcW w:w="1122" w:type="dxa"/>
                  <w:vAlign w:val="center"/>
                </w:tcPr>
                <w:p w14:paraId="7682D2A1">
                  <w:pPr>
                    <w:jc w:val="center"/>
                    <w:rPr>
                      <w:sz w:val="18"/>
                      <w:szCs w:val="18"/>
                    </w:rPr>
                  </w:pPr>
                  <w:r>
                    <w:rPr>
                      <w:sz w:val="18"/>
                      <w:szCs w:val="18"/>
                    </w:rPr>
                    <w:t>2</w:t>
                  </w:r>
                  <w:r>
                    <w:rPr>
                      <w:rFonts w:hint="eastAsia"/>
                      <w:sz w:val="18"/>
                      <w:szCs w:val="18"/>
                    </w:rPr>
                    <w:t>40.06</w:t>
                  </w:r>
                </w:p>
              </w:tc>
              <w:tc>
                <w:tcPr>
                  <w:tcW w:w="1316" w:type="dxa"/>
                  <w:vAlign w:val="center"/>
                </w:tcPr>
                <w:p w14:paraId="13D764B3">
                  <w:pPr>
                    <w:jc w:val="center"/>
                    <w:rPr>
                      <w:sz w:val="18"/>
                      <w:szCs w:val="18"/>
                    </w:rPr>
                  </w:pPr>
                  <w:r>
                    <w:rPr>
                      <w:sz w:val="18"/>
                      <w:szCs w:val="18"/>
                    </w:rPr>
                    <w:t>外售综合利用</w:t>
                  </w:r>
                </w:p>
              </w:tc>
            </w:tr>
            <w:tr w14:paraId="50C0D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Align w:val="center"/>
                </w:tcPr>
                <w:p w14:paraId="0EB1B03F">
                  <w:pPr>
                    <w:jc w:val="center"/>
                    <w:rPr>
                      <w:sz w:val="18"/>
                      <w:szCs w:val="18"/>
                    </w:rPr>
                  </w:pPr>
                  <w:r>
                    <w:rPr>
                      <w:rFonts w:hint="eastAsia"/>
                      <w:sz w:val="18"/>
                      <w:szCs w:val="18"/>
                    </w:rPr>
                    <w:t>除尘器</w:t>
                  </w:r>
                </w:p>
              </w:tc>
              <w:tc>
                <w:tcPr>
                  <w:tcW w:w="527" w:type="dxa"/>
                  <w:vAlign w:val="center"/>
                </w:tcPr>
                <w:p w14:paraId="51C32286">
                  <w:pPr>
                    <w:jc w:val="center"/>
                    <w:rPr>
                      <w:sz w:val="18"/>
                      <w:szCs w:val="18"/>
                    </w:rPr>
                  </w:pPr>
                  <w:r>
                    <w:rPr>
                      <w:sz w:val="18"/>
                      <w:szCs w:val="18"/>
                    </w:rPr>
                    <w:t>废布袋</w:t>
                  </w:r>
                </w:p>
              </w:tc>
              <w:tc>
                <w:tcPr>
                  <w:tcW w:w="599" w:type="dxa"/>
                  <w:vAlign w:val="center"/>
                </w:tcPr>
                <w:p w14:paraId="46104D04">
                  <w:pPr>
                    <w:jc w:val="center"/>
                    <w:rPr>
                      <w:sz w:val="18"/>
                      <w:szCs w:val="18"/>
                    </w:rPr>
                  </w:pPr>
                  <w:r>
                    <w:rPr>
                      <w:sz w:val="18"/>
                      <w:szCs w:val="18"/>
                    </w:rPr>
                    <w:t>一般工业固体废物</w:t>
                  </w:r>
                </w:p>
              </w:tc>
              <w:tc>
                <w:tcPr>
                  <w:tcW w:w="1284" w:type="dxa"/>
                  <w:vAlign w:val="center"/>
                </w:tcPr>
                <w:p w14:paraId="7A67603A">
                  <w:pPr>
                    <w:pStyle w:val="91"/>
                    <w:jc w:val="center"/>
                    <w:rPr>
                      <w:rFonts w:ascii="Times New Roman" w:hAnsi="Times New Roman"/>
                      <w:color w:val="auto"/>
                      <w:sz w:val="18"/>
                      <w:szCs w:val="18"/>
                    </w:rPr>
                  </w:pPr>
                  <w:r>
                    <w:rPr>
                      <w:rFonts w:ascii="Times New Roman" w:hAnsi="Times New Roman"/>
                      <w:color w:val="auto"/>
                      <w:sz w:val="18"/>
                      <w:szCs w:val="18"/>
                      <w:lang w:val="en-US" w:eastAsia="zh-CN"/>
                    </w:rPr>
                    <w:t>900-009-S59</w:t>
                  </w:r>
                  <w:r>
                    <w:rPr>
                      <w:rFonts w:ascii="Times New Roman" w:hAnsi="Times New Roman"/>
                      <w:color w:val="auto"/>
                      <w:sz w:val="18"/>
                      <w:szCs w:val="18"/>
                    </w:rPr>
                    <w:t xml:space="preserve">  </w:t>
                  </w:r>
                </w:p>
              </w:tc>
              <w:tc>
                <w:tcPr>
                  <w:tcW w:w="521" w:type="dxa"/>
                  <w:vAlign w:val="center"/>
                </w:tcPr>
                <w:p w14:paraId="6AE37FBD">
                  <w:pPr>
                    <w:jc w:val="center"/>
                    <w:rPr>
                      <w:sz w:val="18"/>
                      <w:szCs w:val="18"/>
                    </w:rPr>
                  </w:pPr>
                  <w:r>
                    <w:rPr>
                      <w:sz w:val="18"/>
                      <w:szCs w:val="18"/>
                    </w:rPr>
                    <w:t>类比法</w:t>
                  </w:r>
                </w:p>
              </w:tc>
              <w:tc>
                <w:tcPr>
                  <w:tcW w:w="981" w:type="dxa"/>
                  <w:vAlign w:val="center"/>
                </w:tcPr>
                <w:p w14:paraId="34A85A71">
                  <w:pPr>
                    <w:jc w:val="center"/>
                    <w:rPr>
                      <w:sz w:val="18"/>
                      <w:szCs w:val="18"/>
                    </w:rPr>
                  </w:pPr>
                  <w:r>
                    <w:rPr>
                      <w:sz w:val="18"/>
                      <w:szCs w:val="18"/>
                    </w:rPr>
                    <w:t>0.2t/a</w:t>
                  </w:r>
                </w:p>
              </w:tc>
              <w:tc>
                <w:tcPr>
                  <w:tcW w:w="822" w:type="dxa"/>
                  <w:vAlign w:val="center"/>
                </w:tcPr>
                <w:p w14:paraId="39A2605E">
                  <w:pPr>
                    <w:jc w:val="center"/>
                    <w:rPr>
                      <w:sz w:val="18"/>
                      <w:szCs w:val="18"/>
                    </w:rPr>
                  </w:pPr>
                  <w:bookmarkStart w:id="37" w:name="OLE_LINK102"/>
                  <w:r>
                    <w:rPr>
                      <w:rFonts w:hint="eastAsia"/>
                      <w:sz w:val="18"/>
                      <w:szCs w:val="18"/>
                    </w:rPr>
                    <w:t>暂存在灰渣间</w:t>
                  </w:r>
                  <w:r>
                    <w:rPr>
                      <w:sz w:val="18"/>
                      <w:szCs w:val="18"/>
                    </w:rPr>
                    <w:t>，</w:t>
                  </w:r>
                  <w:r>
                    <w:rPr>
                      <w:rFonts w:hint="eastAsia"/>
                      <w:sz w:val="18"/>
                      <w:szCs w:val="18"/>
                    </w:rPr>
                    <w:t>由专业的回收单位</w:t>
                  </w:r>
                  <w:r>
                    <w:rPr>
                      <w:sz w:val="18"/>
                      <w:szCs w:val="18"/>
                    </w:rPr>
                    <w:t>回收</w:t>
                  </w:r>
                  <w:bookmarkEnd w:id="37"/>
                  <w:r>
                    <w:rPr>
                      <w:sz w:val="18"/>
                      <w:szCs w:val="18"/>
                    </w:rPr>
                    <w:t>处置</w:t>
                  </w:r>
                </w:p>
              </w:tc>
              <w:tc>
                <w:tcPr>
                  <w:tcW w:w="1122" w:type="dxa"/>
                  <w:vAlign w:val="center"/>
                </w:tcPr>
                <w:p w14:paraId="2557BC49">
                  <w:pPr>
                    <w:jc w:val="center"/>
                    <w:rPr>
                      <w:sz w:val="18"/>
                      <w:szCs w:val="18"/>
                    </w:rPr>
                  </w:pPr>
                  <w:r>
                    <w:rPr>
                      <w:sz w:val="18"/>
                      <w:szCs w:val="18"/>
                    </w:rPr>
                    <w:t>0.2t/a</w:t>
                  </w:r>
                </w:p>
              </w:tc>
              <w:tc>
                <w:tcPr>
                  <w:tcW w:w="1316" w:type="dxa"/>
                  <w:vAlign w:val="center"/>
                </w:tcPr>
                <w:p w14:paraId="31DEF099">
                  <w:pPr>
                    <w:jc w:val="center"/>
                    <w:rPr>
                      <w:sz w:val="18"/>
                      <w:szCs w:val="18"/>
                    </w:rPr>
                  </w:pPr>
                  <w:r>
                    <w:rPr>
                      <w:rFonts w:hint="eastAsia"/>
                      <w:sz w:val="18"/>
                      <w:szCs w:val="18"/>
                    </w:rPr>
                    <w:t>暂存在灰渣间</w:t>
                  </w:r>
                  <w:r>
                    <w:rPr>
                      <w:sz w:val="18"/>
                      <w:szCs w:val="18"/>
                    </w:rPr>
                    <w:t>，</w:t>
                  </w:r>
                  <w:r>
                    <w:rPr>
                      <w:rFonts w:hint="eastAsia"/>
                      <w:sz w:val="18"/>
                      <w:szCs w:val="18"/>
                    </w:rPr>
                    <w:t>由专业的回收单位</w:t>
                  </w:r>
                  <w:r>
                    <w:rPr>
                      <w:sz w:val="18"/>
                      <w:szCs w:val="18"/>
                    </w:rPr>
                    <w:t>回收</w:t>
                  </w:r>
                </w:p>
              </w:tc>
            </w:tr>
            <w:tr w14:paraId="200754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restart"/>
                  <w:vAlign w:val="center"/>
                </w:tcPr>
                <w:p w14:paraId="11828E38">
                  <w:pPr>
                    <w:jc w:val="center"/>
                    <w:rPr>
                      <w:sz w:val="18"/>
                      <w:szCs w:val="18"/>
                    </w:rPr>
                  </w:pPr>
                  <w:r>
                    <w:rPr>
                      <w:rFonts w:hint="eastAsia"/>
                      <w:sz w:val="18"/>
                      <w:szCs w:val="18"/>
                    </w:rPr>
                    <w:t>生活</w:t>
                  </w:r>
                </w:p>
              </w:tc>
              <w:tc>
                <w:tcPr>
                  <w:tcW w:w="527" w:type="dxa"/>
                  <w:vAlign w:val="center"/>
                </w:tcPr>
                <w:p w14:paraId="5896A534">
                  <w:pPr>
                    <w:jc w:val="center"/>
                    <w:rPr>
                      <w:sz w:val="18"/>
                      <w:szCs w:val="18"/>
                    </w:rPr>
                  </w:pPr>
                  <w:r>
                    <w:rPr>
                      <w:rFonts w:hint="eastAsia"/>
                      <w:sz w:val="18"/>
                      <w:szCs w:val="18"/>
                    </w:rPr>
                    <w:t>生活垃圾</w:t>
                  </w:r>
                </w:p>
              </w:tc>
              <w:tc>
                <w:tcPr>
                  <w:tcW w:w="599" w:type="dxa"/>
                  <w:vAlign w:val="center"/>
                </w:tcPr>
                <w:p w14:paraId="264C91D6">
                  <w:pPr>
                    <w:jc w:val="center"/>
                    <w:rPr>
                      <w:sz w:val="18"/>
                      <w:szCs w:val="18"/>
                    </w:rPr>
                  </w:pPr>
                  <w:r>
                    <w:rPr>
                      <w:rFonts w:hint="eastAsia"/>
                      <w:sz w:val="18"/>
                      <w:szCs w:val="18"/>
                    </w:rPr>
                    <w:t>/</w:t>
                  </w:r>
                </w:p>
              </w:tc>
              <w:tc>
                <w:tcPr>
                  <w:tcW w:w="1284" w:type="dxa"/>
                  <w:vAlign w:val="center"/>
                </w:tcPr>
                <w:p w14:paraId="62837F54">
                  <w:pPr>
                    <w:pStyle w:val="91"/>
                    <w:jc w:val="center"/>
                    <w:rPr>
                      <w:rFonts w:ascii="Times New Roman" w:hAnsi="Times New Roman"/>
                      <w:color w:val="auto"/>
                      <w:sz w:val="18"/>
                      <w:szCs w:val="18"/>
                      <w:lang w:val="en-US" w:eastAsia="zh-CN"/>
                    </w:rPr>
                  </w:pPr>
                  <w:r>
                    <w:rPr>
                      <w:rFonts w:ascii="Times New Roman" w:hAnsi="Times New Roman"/>
                      <w:color w:val="auto"/>
                      <w:sz w:val="18"/>
                      <w:szCs w:val="18"/>
                      <w:lang w:val="en-US" w:eastAsia="zh-CN"/>
                    </w:rPr>
                    <w:t>900-099-S64</w:t>
                  </w:r>
                </w:p>
              </w:tc>
              <w:tc>
                <w:tcPr>
                  <w:tcW w:w="521" w:type="dxa"/>
                  <w:vAlign w:val="center"/>
                </w:tcPr>
                <w:p w14:paraId="69B8A962">
                  <w:pPr>
                    <w:jc w:val="center"/>
                    <w:rPr>
                      <w:sz w:val="18"/>
                      <w:szCs w:val="18"/>
                    </w:rPr>
                  </w:pPr>
                  <w:r>
                    <w:rPr>
                      <w:rFonts w:hint="eastAsia"/>
                      <w:sz w:val="18"/>
                      <w:szCs w:val="18"/>
                    </w:rPr>
                    <w:t>系数法</w:t>
                  </w:r>
                </w:p>
              </w:tc>
              <w:tc>
                <w:tcPr>
                  <w:tcW w:w="981" w:type="dxa"/>
                  <w:vAlign w:val="center"/>
                </w:tcPr>
                <w:p w14:paraId="6C46F5B5">
                  <w:pPr>
                    <w:jc w:val="center"/>
                    <w:rPr>
                      <w:sz w:val="18"/>
                      <w:szCs w:val="18"/>
                    </w:rPr>
                  </w:pPr>
                  <w:r>
                    <w:rPr>
                      <w:rFonts w:hint="eastAsia"/>
                      <w:sz w:val="18"/>
                      <w:szCs w:val="18"/>
                    </w:rPr>
                    <w:t>257.325</w:t>
                  </w:r>
                  <w:r>
                    <w:rPr>
                      <w:sz w:val="18"/>
                      <w:szCs w:val="18"/>
                    </w:rPr>
                    <w:t>t/a</w:t>
                  </w:r>
                </w:p>
              </w:tc>
              <w:tc>
                <w:tcPr>
                  <w:tcW w:w="822" w:type="dxa"/>
                  <w:vAlign w:val="center"/>
                </w:tcPr>
                <w:p w14:paraId="794D0A2D">
                  <w:pPr>
                    <w:jc w:val="center"/>
                    <w:rPr>
                      <w:sz w:val="18"/>
                      <w:szCs w:val="18"/>
                    </w:rPr>
                  </w:pPr>
                  <w:r>
                    <w:rPr>
                      <w:sz w:val="18"/>
                      <w:szCs w:val="18"/>
                    </w:rPr>
                    <w:t>收集后交由环卫部门统一处置</w:t>
                  </w:r>
                </w:p>
              </w:tc>
              <w:tc>
                <w:tcPr>
                  <w:tcW w:w="1122" w:type="dxa"/>
                  <w:vAlign w:val="center"/>
                </w:tcPr>
                <w:p w14:paraId="1B8C5011">
                  <w:pPr>
                    <w:jc w:val="center"/>
                    <w:rPr>
                      <w:sz w:val="18"/>
                      <w:szCs w:val="18"/>
                    </w:rPr>
                  </w:pPr>
                  <w:r>
                    <w:rPr>
                      <w:rFonts w:hint="eastAsia"/>
                      <w:sz w:val="18"/>
                      <w:szCs w:val="18"/>
                    </w:rPr>
                    <w:t>257.325</w:t>
                  </w:r>
                  <w:r>
                    <w:rPr>
                      <w:sz w:val="18"/>
                      <w:szCs w:val="18"/>
                    </w:rPr>
                    <w:t>t/a</w:t>
                  </w:r>
                </w:p>
              </w:tc>
              <w:tc>
                <w:tcPr>
                  <w:tcW w:w="1316" w:type="dxa"/>
                  <w:vAlign w:val="center"/>
                </w:tcPr>
                <w:p w14:paraId="70E86F6B">
                  <w:pPr>
                    <w:jc w:val="center"/>
                    <w:rPr>
                      <w:sz w:val="18"/>
                      <w:szCs w:val="18"/>
                    </w:rPr>
                  </w:pPr>
                  <w:r>
                    <w:rPr>
                      <w:sz w:val="18"/>
                      <w:szCs w:val="18"/>
                    </w:rPr>
                    <w:t>收集后交由环卫部门统一处置</w:t>
                  </w:r>
                </w:p>
              </w:tc>
            </w:tr>
            <w:tr w14:paraId="07E05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continue"/>
                  <w:vAlign w:val="center"/>
                </w:tcPr>
                <w:p w14:paraId="5441C3C9">
                  <w:pPr>
                    <w:jc w:val="center"/>
                    <w:rPr>
                      <w:sz w:val="18"/>
                      <w:szCs w:val="18"/>
                    </w:rPr>
                  </w:pPr>
                </w:p>
              </w:tc>
              <w:tc>
                <w:tcPr>
                  <w:tcW w:w="527" w:type="dxa"/>
                  <w:vAlign w:val="center"/>
                </w:tcPr>
                <w:p w14:paraId="7A00D793">
                  <w:pPr>
                    <w:jc w:val="center"/>
                    <w:rPr>
                      <w:sz w:val="18"/>
                      <w:szCs w:val="18"/>
                    </w:rPr>
                  </w:pPr>
                  <w:r>
                    <w:rPr>
                      <w:rFonts w:hint="eastAsia"/>
                      <w:sz w:val="18"/>
                      <w:szCs w:val="18"/>
                    </w:rPr>
                    <w:t>餐厨垃圾</w:t>
                  </w:r>
                </w:p>
              </w:tc>
              <w:tc>
                <w:tcPr>
                  <w:tcW w:w="599" w:type="dxa"/>
                  <w:vAlign w:val="center"/>
                </w:tcPr>
                <w:p w14:paraId="0D5B0F47">
                  <w:pPr>
                    <w:jc w:val="center"/>
                    <w:rPr>
                      <w:sz w:val="18"/>
                      <w:szCs w:val="18"/>
                    </w:rPr>
                  </w:pPr>
                  <w:r>
                    <w:rPr>
                      <w:rFonts w:hint="eastAsia"/>
                      <w:sz w:val="18"/>
                      <w:szCs w:val="18"/>
                    </w:rPr>
                    <w:t>/</w:t>
                  </w:r>
                </w:p>
              </w:tc>
              <w:tc>
                <w:tcPr>
                  <w:tcW w:w="1284" w:type="dxa"/>
                  <w:vAlign w:val="center"/>
                </w:tcPr>
                <w:p w14:paraId="7965C76B">
                  <w:pPr>
                    <w:pStyle w:val="91"/>
                    <w:jc w:val="center"/>
                    <w:rPr>
                      <w:rFonts w:ascii="Times New Roman" w:hAnsi="Times New Roman"/>
                      <w:color w:val="auto"/>
                      <w:sz w:val="18"/>
                      <w:szCs w:val="18"/>
                      <w:lang w:val="en-US" w:eastAsia="zh-CN"/>
                    </w:rPr>
                  </w:pPr>
                  <w:r>
                    <w:rPr>
                      <w:rFonts w:ascii="Times New Roman" w:hAnsi="Times New Roman"/>
                      <w:color w:val="auto"/>
                      <w:sz w:val="18"/>
                      <w:szCs w:val="18"/>
                      <w:lang w:val="en-US" w:eastAsia="zh-CN"/>
                    </w:rPr>
                    <w:t xml:space="preserve">900-002-S61 </w:t>
                  </w:r>
                </w:p>
              </w:tc>
              <w:tc>
                <w:tcPr>
                  <w:tcW w:w="521" w:type="dxa"/>
                  <w:vAlign w:val="center"/>
                </w:tcPr>
                <w:p w14:paraId="50A04FA7">
                  <w:pPr>
                    <w:jc w:val="center"/>
                    <w:rPr>
                      <w:sz w:val="18"/>
                      <w:szCs w:val="18"/>
                    </w:rPr>
                  </w:pPr>
                  <w:r>
                    <w:rPr>
                      <w:rFonts w:hint="eastAsia"/>
                      <w:sz w:val="18"/>
                      <w:szCs w:val="18"/>
                    </w:rPr>
                    <w:t>系数法</w:t>
                  </w:r>
                </w:p>
              </w:tc>
              <w:tc>
                <w:tcPr>
                  <w:tcW w:w="981" w:type="dxa"/>
                  <w:vAlign w:val="center"/>
                </w:tcPr>
                <w:p w14:paraId="311C9635">
                  <w:pPr>
                    <w:jc w:val="center"/>
                    <w:rPr>
                      <w:sz w:val="18"/>
                      <w:szCs w:val="18"/>
                    </w:rPr>
                  </w:pPr>
                  <w:r>
                    <w:rPr>
                      <w:rFonts w:hint="eastAsia"/>
                      <w:sz w:val="18"/>
                      <w:szCs w:val="18"/>
                    </w:rPr>
                    <w:t>51.465</w:t>
                  </w:r>
                  <w:r>
                    <w:rPr>
                      <w:sz w:val="18"/>
                      <w:szCs w:val="18"/>
                    </w:rPr>
                    <w:t>t/a</w:t>
                  </w:r>
                </w:p>
              </w:tc>
              <w:tc>
                <w:tcPr>
                  <w:tcW w:w="822" w:type="dxa"/>
                  <w:vAlign w:val="center"/>
                </w:tcPr>
                <w:p w14:paraId="30BB2F3E">
                  <w:pPr>
                    <w:jc w:val="center"/>
                    <w:rPr>
                      <w:sz w:val="18"/>
                      <w:szCs w:val="18"/>
                    </w:rPr>
                  </w:pPr>
                  <w:r>
                    <w:rPr>
                      <w:rFonts w:hint="eastAsia"/>
                      <w:kern w:val="0"/>
                      <w:sz w:val="18"/>
                      <w:szCs w:val="18"/>
                    </w:rPr>
                    <w:t>餐厨垃圾存放在专用收集容器内，日产日清</w:t>
                  </w:r>
                  <w:r>
                    <w:rPr>
                      <w:sz w:val="18"/>
                      <w:szCs w:val="18"/>
                    </w:rPr>
                    <w:t xml:space="preserve"> </w:t>
                  </w:r>
                </w:p>
              </w:tc>
              <w:tc>
                <w:tcPr>
                  <w:tcW w:w="1122" w:type="dxa"/>
                  <w:vAlign w:val="center"/>
                </w:tcPr>
                <w:p w14:paraId="18103C03">
                  <w:pPr>
                    <w:jc w:val="center"/>
                    <w:rPr>
                      <w:sz w:val="18"/>
                      <w:szCs w:val="18"/>
                    </w:rPr>
                  </w:pPr>
                  <w:r>
                    <w:rPr>
                      <w:rFonts w:hint="eastAsia"/>
                      <w:sz w:val="18"/>
                      <w:szCs w:val="18"/>
                    </w:rPr>
                    <w:t>51.465</w:t>
                  </w:r>
                  <w:r>
                    <w:rPr>
                      <w:sz w:val="18"/>
                      <w:szCs w:val="18"/>
                    </w:rPr>
                    <w:t>t/a</w:t>
                  </w:r>
                </w:p>
              </w:tc>
              <w:tc>
                <w:tcPr>
                  <w:tcW w:w="1316" w:type="dxa"/>
                  <w:vAlign w:val="center"/>
                </w:tcPr>
                <w:p w14:paraId="41DAF470">
                  <w:pPr>
                    <w:jc w:val="center"/>
                    <w:rPr>
                      <w:sz w:val="18"/>
                      <w:szCs w:val="18"/>
                    </w:rPr>
                  </w:pPr>
                  <w:r>
                    <w:rPr>
                      <w:rFonts w:hint="eastAsia"/>
                      <w:kern w:val="0"/>
                      <w:sz w:val="18"/>
                      <w:szCs w:val="18"/>
                    </w:rPr>
                    <w:t>餐厨垃圾存放在专用收集容器内，日产日清，</w:t>
                  </w:r>
                  <w:r>
                    <w:rPr>
                      <w:bCs/>
                      <w:sz w:val="18"/>
                      <w:szCs w:val="18"/>
                    </w:rPr>
                    <w:t>委托有资质的单位进行处置</w:t>
                  </w:r>
                  <w:r>
                    <w:rPr>
                      <w:sz w:val="18"/>
                      <w:szCs w:val="18"/>
                    </w:rPr>
                    <w:t xml:space="preserve"> </w:t>
                  </w:r>
                </w:p>
              </w:tc>
            </w:tr>
            <w:tr w14:paraId="156CC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continue"/>
                  <w:vAlign w:val="center"/>
                </w:tcPr>
                <w:p w14:paraId="43E164FD">
                  <w:pPr>
                    <w:jc w:val="center"/>
                    <w:rPr>
                      <w:sz w:val="18"/>
                      <w:szCs w:val="18"/>
                    </w:rPr>
                  </w:pPr>
                </w:p>
              </w:tc>
              <w:tc>
                <w:tcPr>
                  <w:tcW w:w="527" w:type="dxa"/>
                  <w:vAlign w:val="center"/>
                </w:tcPr>
                <w:p w14:paraId="38EC1581">
                  <w:pPr>
                    <w:jc w:val="center"/>
                    <w:rPr>
                      <w:sz w:val="18"/>
                      <w:szCs w:val="18"/>
                    </w:rPr>
                  </w:pPr>
                  <w:bookmarkStart w:id="38" w:name="OLE_LINK72"/>
                  <w:r>
                    <w:rPr>
                      <w:sz w:val="18"/>
                      <w:szCs w:val="18"/>
                    </w:rPr>
                    <w:t>隔油池油污</w:t>
                  </w:r>
                  <w:bookmarkEnd w:id="38"/>
                </w:p>
              </w:tc>
              <w:tc>
                <w:tcPr>
                  <w:tcW w:w="599" w:type="dxa"/>
                  <w:vAlign w:val="center"/>
                </w:tcPr>
                <w:p w14:paraId="5401B64D">
                  <w:pPr>
                    <w:jc w:val="center"/>
                    <w:rPr>
                      <w:sz w:val="18"/>
                      <w:szCs w:val="18"/>
                    </w:rPr>
                  </w:pPr>
                  <w:r>
                    <w:rPr>
                      <w:rFonts w:hint="eastAsia"/>
                      <w:sz w:val="18"/>
                      <w:szCs w:val="18"/>
                    </w:rPr>
                    <w:t>/</w:t>
                  </w:r>
                </w:p>
              </w:tc>
              <w:tc>
                <w:tcPr>
                  <w:tcW w:w="1284" w:type="dxa"/>
                  <w:vAlign w:val="center"/>
                </w:tcPr>
                <w:p w14:paraId="60BB89E7">
                  <w:pPr>
                    <w:pStyle w:val="91"/>
                    <w:jc w:val="center"/>
                    <w:rPr>
                      <w:rFonts w:ascii="Times New Roman" w:hAnsi="Times New Roman"/>
                      <w:color w:val="auto"/>
                      <w:sz w:val="18"/>
                      <w:szCs w:val="18"/>
                      <w:lang w:val="en-US" w:eastAsia="zh-CN"/>
                    </w:rPr>
                  </w:pPr>
                  <w:r>
                    <w:rPr>
                      <w:rFonts w:ascii="Times New Roman" w:hAnsi="Times New Roman"/>
                      <w:color w:val="auto"/>
                      <w:sz w:val="18"/>
                      <w:szCs w:val="18"/>
                      <w:lang w:val="en-US" w:eastAsia="zh-CN"/>
                    </w:rPr>
                    <w:t xml:space="preserve">900-099-S59 </w:t>
                  </w:r>
                </w:p>
              </w:tc>
              <w:tc>
                <w:tcPr>
                  <w:tcW w:w="521" w:type="dxa"/>
                  <w:vAlign w:val="center"/>
                </w:tcPr>
                <w:p w14:paraId="15A64C45">
                  <w:pPr>
                    <w:jc w:val="center"/>
                    <w:rPr>
                      <w:sz w:val="18"/>
                      <w:szCs w:val="18"/>
                    </w:rPr>
                  </w:pPr>
                  <w:r>
                    <w:rPr>
                      <w:rFonts w:hint="eastAsia"/>
                      <w:sz w:val="18"/>
                      <w:szCs w:val="18"/>
                    </w:rPr>
                    <w:t>系数法</w:t>
                  </w:r>
                </w:p>
              </w:tc>
              <w:tc>
                <w:tcPr>
                  <w:tcW w:w="981" w:type="dxa"/>
                  <w:vAlign w:val="center"/>
                </w:tcPr>
                <w:p w14:paraId="27C8B561">
                  <w:pPr>
                    <w:jc w:val="center"/>
                    <w:rPr>
                      <w:sz w:val="18"/>
                      <w:szCs w:val="18"/>
                    </w:rPr>
                  </w:pPr>
                  <w:r>
                    <w:rPr>
                      <w:rFonts w:hint="eastAsia"/>
                      <w:sz w:val="18"/>
                      <w:szCs w:val="18"/>
                    </w:rPr>
                    <w:t>3.71</w:t>
                  </w:r>
                  <w:r>
                    <w:rPr>
                      <w:sz w:val="18"/>
                      <w:szCs w:val="18"/>
                    </w:rPr>
                    <w:t>t/a</w:t>
                  </w:r>
                </w:p>
              </w:tc>
              <w:tc>
                <w:tcPr>
                  <w:tcW w:w="822" w:type="dxa"/>
                  <w:vAlign w:val="center"/>
                </w:tcPr>
                <w:p w14:paraId="59E31A8F">
                  <w:pPr>
                    <w:jc w:val="center"/>
                    <w:rPr>
                      <w:sz w:val="18"/>
                      <w:szCs w:val="18"/>
                    </w:rPr>
                  </w:pPr>
                  <w:r>
                    <w:rPr>
                      <w:bCs/>
                      <w:sz w:val="18"/>
                      <w:szCs w:val="18"/>
                    </w:rPr>
                    <w:t>定期清理并委托有资质的单位进行处置</w:t>
                  </w:r>
                </w:p>
              </w:tc>
              <w:tc>
                <w:tcPr>
                  <w:tcW w:w="1122" w:type="dxa"/>
                  <w:vAlign w:val="center"/>
                </w:tcPr>
                <w:p w14:paraId="787ED55C">
                  <w:pPr>
                    <w:jc w:val="center"/>
                    <w:rPr>
                      <w:sz w:val="18"/>
                      <w:szCs w:val="18"/>
                    </w:rPr>
                  </w:pPr>
                  <w:r>
                    <w:rPr>
                      <w:rFonts w:hint="eastAsia"/>
                      <w:sz w:val="18"/>
                      <w:szCs w:val="18"/>
                    </w:rPr>
                    <w:t>3.71</w:t>
                  </w:r>
                  <w:r>
                    <w:rPr>
                      <w:sz w:val="18"/>
                      <w:szCs w:val="18"/>
                    </w:rPr>
                    <w:t>t/a</w:t>
                  </w:r>
                </w:p>
              </w:tc>
              <w:tc>
                <w:tcPr>
                  <w:tcW w:w="1316" w:type="dxa"/>
                  <w:vAlign w:val="center"/>
                </w:tcPr>
                <w:p w14:paraId="34CC1C77">
                  <w:pPr>
                    <w:jc w:val="center"/>
                    <w:rPr>
                      <w:sz w:val="18"/>
                      <w:szCs w:val="18"/>
                    </w:rPr>
                  </w:pPr>
                  <w:r>
                    <w:rPr>
                      <w:bCs/>
                      <w:sz w:val="18"/>
                      <w:szCs w:val="18"/>
                    </w:rPr>
                    <w:t>定期清理并委托有资质的单位进行处置</w:t>
                  </w:r>
                </w:p>
              </w:tc>
            </w:tr>
            <w:tr w14:paraId="278F4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6" w:type="dxa"/>
                  <w:vMerge w:val="continue"/>
                  <w:vAlign w:val="center"/>
                </w:tcPr>
                <w:p w14:paraId="0903B6E9">
                  <w:pPr>
                    <w:jc w:val="center"/>
                    <w:rPr>
                      <w:sz w:val="18"/>
                      <w:szCs w:val="18"/>
                    </w:rPr>
                  </w:pPr>
                </w:p>
              </w:tc>
              <w:tc>
                <w:tcPr>
                  <w:tcW w:w="527" w:type="dxa"/>
                  <w:vAlign w:val="center"/>
                </w:tcPr>
                <w:p w14:paraId="6E8CAE2E">
                  <w:pPr>
                    <w:jc w:val="center"/>
                    <w:rPr>
                      <w:sz w:val="18"/>
                      <w:szCs w:val="18"/>
                    </w:rPr>
                  </w:pPr>
                  <w:r>
                    <w:rPr>
                      <w:rFonts w:hint="eastAsia"/>
                      <w:sz w:val="18"/>
                      <w:szCs w:val="18"/>
                    </w:rPr>
                    <w:t>废弃食用油脂</w:t>
                  </w:r>
                </w:p>
              </w:tc>
              <w:tc>
                <w:tcPr>
                  <w:tcW w:w="599" w:type="dxa"/>
                  <w:vAlign w:val="center"/>
                </w:tcPr>
                <w:p w14:paraId="26031AFD">
                  <w:pPr>
                    <w:jc w:val="center"/>
                    <w:rPr>
                      <w:sz w:val="18"/>
                      <w:szCs w:val="18"/>
                    </w:rPr>
                  </w:pPr>
                  <w:r>
                    <w:rPr>
                      <w:rFonts w:hint="eastAsia"/>
                      <w:sz w:val="18"/>
                      <w:szCs w:val="18"/>
                    </w:rPr>
                    <w:t>/</w:t>
                  </w:r>
                </w:p>
              </w:tc>
              <w:tc>
                <w:tcPr>
                  <w:tcW w:w="1284" w:type="dxa"/>
                  <w:vAlign w:val="center"/>
                </w:tcPr>
                <w:p w14:paraId="602F348C">
                  <w:pPr>
                    <w:pStyle w:val="91"/>
                    <w:jc w:val="center"/>
                    <w:rPr>
                      <w:rFonts w:ascii="Times New Roman" w:hAnsi="Times New Roman"/>
                      <w:color w:val="auto"/>
                      <w:sz w:val="18"/>
                      <w:szCs w:val="18"/>
                      <w:lang w:val="en-US" w:eastAsia="zh-CN"/>
                    </w:rPr>
                  </w:pPr>
                  <w:r>
                    <w:rPr>
                      <w:rFonts w:ascii="Times New Roman" w:hAnsi="Times New Roman"/>
                      <w:color w:val="auto"/>
                      <w:sz w:val="18"/>
                      <w:szCs w:val="18"/>
                      <w:lang w:val="en-US" w:eastAsia="zh-CN"/>
                    </w:rPr>
                    <w:t xml:space="preserve">900-099-S59 </w:t>
                  </w:r>
                </w:p>
              </w:tc>
              <w:tc>
                <w:tcPr>
                  <w:tcW w:w="521" w:type="dxa"/>
                  <w:vAlign w:val="center"/>
                </w:tcPr>
                <w:p w14:paraId="0DFFDA7F">
                  <w:pPr>
                    <w:jc w:val="center"/>
                    <w:rPr>
                      <w:sz w:val="18"/>
                      <w:szCs w:val="18"/>
                    </w:rPr>
                  </w:pPr>
                  <w:r>
                    <w:rPr>
                      <w:rFonts w:hint="eastAsia"/>
                      <w:sz w:val="18"/>
                      <w:szCs w:val="18"/>
                    </w:rPr>
                    <w:t>系数法</w:t>
                  </w:r>
                </w:p>
              </w:tc>
              <w:tc>
                <w:tcPr>
                  <w:tcW w:w="981" w:type="dxa"/>
                  <w:vAlign w:val="center"/>
                </w:tcPr>
                <w:p w14:paraId="2B6DE260">
                  <w:pPr>
                    <w:jc w:val="center"/>
                    <w:rPr>
                      <w:sz w:val="18"/>
                      <w:szCs w:val="18"/>
                    </w:rPr>
                  </w:pPr>
                  <w:r>
                    <w:rPr>
                      <w:rFonts w:hint="eastAsia"/>
                      <w:sz w:val="18"/>
                      <w:szCs w:val="18"/>
                    </w:rPr>
                    <w:t>0.43</w:t>
                  </w:r>
                  <w:r>
                    <w:rPr>
                      <w:sz w:val="18"/>
                      <w:szCs w:val="18"/>
                    </w:rPr>
                    <w:t>t/a</w:t>
                  </w:r>
                </w:p>
              </w:tc>
              <w:tc>
                <w:tcPr>
                  <w:tcW w:w="822" w:type="dxa"/>
                  <w:vAlign w:val="center"/>
                </w:tcPr>
                <w:p w14:paraId="3192451B">
                  <w:pPr>
                    <w:jc w:val="center"/>
                    <w:rPr>
                      <w:bCs/>
                      <w:sz w:val="18"/>
                      <w:szCs w:val="18"/>
                    </w:rPr>
                  </w:pPr>
                  <w:r>
                    <w:rPr>
                      <w:bCs/>
                      <w:sz w:val="18"/>
                      <w:szCs w:val="18"/>
                    </w:rPr>
                    <w:t>定期清理并委托有资质的单位进行处置</w:t>
                  </w:r>
                </w:p>
              </w:tc>
              <w:tc>
                <w:tcPr>
                  <w:tcW w:w="1122" w:type="dxa"/>
                  <w:vAlign w:val="center"/>
                </w:tcPr>
                <w:p w14:paraId="5371FA8B">
                  <w:pPr>
                    <w:jc w:val="center"/>
                    <w:rPr>
                      <w:sz w:val="18"/>
                      <w:szCs w:val="18"/>
                    </w:rPr>
                  </w:pPr>
                  <w:r>
                    <w:rPr>
                      <w:rFonts w:hint="eastAsia"/>
                      <w:sz w:val="18"/>
                      <w:szCs w:val="18"/>
                    </w:rPr>
                    <w:t>0.43</w:t>
                  </w:r>
                  <w:r>
                    <w:rPr>
                      <w:sz w:val="18"/>
                      <w:szCs w:val="18"/>
                    </w:rPr>
                    <w:t>t/a</w:t>
                  </w:r>
                </w:p>
              </w:tc>
              <w:tc>
                <w:tcPr>
                  <w:tcW w:w="1316" w:type="dxa"/>
                  <w:vAlign w:val="center"/>
                </w:tcPr>
                <w:p w14:paraId="56A58940">
                  <w:pPr>
                    <w:jc w:val="center"/>
                    <w:rPr>
                      <w:bCs/>
                      <w:sz w:val="18"/>
                      <w:szCs w:val="18"/>
                    </w:rPr>
                  </w:pPr>
                  <w:r>
                    <w:rPr>
                      <w:bCs/>
                      <w:sz w:val="18"/>
                      <w:szCs w:val="18"/>
                    </w:rPr>
                    <w:t>定期清理并委托有资质的单位进行处置</w:t>
                  </w:r>
                </w:p>
              </w:tc>
            </w:tr>
          </w:tbl>
          <w:p w14:paraId="3CCE918A">
            <w:pPr>
              <w:spacing w:line="360" w:lineRule="auto"/>
              <w:ind w:firstLine="420" w:firstLineChars="200"/>
              <w:rPr>
                <w:szCs w:val="21"/>
              </w:rPr>
            </w:pPr>
            <w:r>
              <w:rPr>
                <w:rFonts w:hint="eastAsia"/>
                <w:szCs w:val="21"/>
              </w:rPr>
              <w:t>4、废气</w:t>
            </w:r>
          </w:p>
          <w:p w14:paraId="41A79F58">
            <w:pPr>
              <w:spacing w:line="360" w:lineRule="auto"/>
              <w:ind w:firstLine="420" w:firstLineChars="200"/>
              <w:rPr>
                <w:szCs w:val="21"/>
              </w:rPr>
            </w:pPr>
            <w:r>
              <w:rPr>
                <w:rFonts w:hint="eastAsia"/>
                <w:szCs w:val="21"/>
              </w:rPr>
              <w:t>（1）</w:t>
            </w:r>
            <w:r>
              <w:rPr>
                <w:szCs w:val="21"/>
              </w:rPr>
              <w:t>生物质锅炉废气源强</w:t>
            </w:r>
          </w:p>
          <w:p w14:paraId="3CB14CFF">
            <w:pPr>
              <w:spacing w:line="360" w:lineRule="auto"/>
              <w:ind w:firstLine="420" w:firstLineChars="200"/>
              <w:rPr>
                <w:szCs w:val="21"/>
              </w:rPr>
            </w:pPr>
            <w:bookmarkStart w:id="39" w:name="_Hlk65495833"/>
            <w:r>
              <w:rPr>
                <w:szCs w:val="21"/>
              </w:rPr>
              <w:t>锅炉烟气量、氮氧化物源强、二氧化硫源强根据《污染源源强核算技术指南 锅炉》（HJ888-2018）物料衡算法计算源强</w:t>
            </w:r>
            <w:bookmarkEnd w:id="39"/>
            <w:r>
              <w:rPr>
                <w:szCs w:val="21"/>
              </w:rPr>
              <w:t xml:space="preserve">。 </w:t>
            </w:r>
          </w:p>
          <w:p w14:paraId="78E3A07C">
            <w:pPr>
              <w:spacing w:line="360" w:lineRule="auto"/>
              <w:ind w:firstLine="420" w:firstLineChars="200"/>
              <w:rPr>
                <w:szCs w:val="21"/>
              </w:rPr>
            </w:pPr>
            <w:bookmarkStart w:id="40" w:name="_Hlk65495894"/>
            <w:r>
              <w:rPr>
                <w:szCs w:val="21"/>
              </w:rPr>
              <w:t>根据《排放源统计调查产排污核算方法和系数手册》（2021年6月11日实施）中“4430工业锅炉（热力供应）行业系数手册”中产污系数表-生物质工业锅炉-末端治理技术名称-袋式除尘确定，除尘效率为99.7%；根据污染源源强核算技术指南中表B.1确定机械不完全燃烧热损失，根据表B.2确定飞灰份额。</w:t>
            </w:r>
          </w:p>
          <w:p w14:paraId="4F90AAAF">
            <w:pPr>
              <w:spacing w:line="360" w:lineRule="auto"/>
              <w:ind w:firstLine="420" w:firstLineChars="200"/>
              <w:rPr>
                <w:szCs w:val="21"/>
              </w:rPr>
            </w:pPr>
            <w:r>
              <w:rPr>
                <w:szCs w:val="21"/>
              </w:rPr>
              <w:t>a）烟气量按下式计算</w:t>
            </w:r>
          </w:p>
          <w:p w14:paraId="7BF0DC4E">
            <w:pPr>
              <w:spacing w:line="360" w:lineRule="auto"/>
              <w:ind w:firstLine="420" w:firstLineChars="200"/>
              <w:rPr>
                <w:szCs w:val="21"/>
              </w:rPr>
            </w:pPr>
            <w:r>
              <w:rPr>
                <w:szCs w:val="21"/>
              </w:rPr>
              <w:t>理论空气量：有元素成分分析时理论空气量可用公式计算：</w:t>
            </w:r>
          </w:p>
          <w:p w14:paraId="62408948">
            <w:pPr>
              <w:spacing w:line="440" w:lineRule="exact"/>
              <w:ind w:firstLine="420" w:firstLineChars="200"/>
              <w:rPr>
                <w:szCs w:val="21"/>
              </w:rPr>
            </w:pPr>
            <w:r>
              <w:rPr>
                <w:szCs w:val="21"/>
              </w:rPr>
              <w:drawing>
                <wp:anchor distT="0" distB="0" distL="114300" distR="114300" simplePos="0" relativeHeight="251679744" behindDoc="0" locked="0" layoutInCell="1" allowOverlap="1">
                  <wp:simplePos x="0" y="0"/>
                  <wp:positionH relativeFrom="column">
                    <wp:posOffset>791845</wp:posOffset>
                  </wp:positionH>
                  <wp:positionV relativeFrom="paragraph">
                    <wp:posOffset>104775</wp:posOffset>
                  </wp:positionV>
                  <wp:extent cx="3317875" cy="213360"/>
                  <wp:effectExtent l="0" t="0" r="0" b="0"/>
                  <wp:wrapNone/>
                  <wp:docPr id="146859795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597956" name="图片 9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317875" cy="213360"/>
                          </a:xfrm>
                          <a:prstGeom prst="rect">
                            <a:avLst/>
                          </a:prstGeom>
                          <a:noFill/>
                          <a:ln>
                            <a:noFill/>
                          </a:ln>
                        </pic:spPr>
                      </pic:pic>
                    </a:graphicData>
                  </a:graphic>
                </wp:anchor>
              </w:drawing>
            </w:r>
          </w:p>
          <w:p w14:paraId="60DF6D31">
            <w:pPr>
              <w:spacing w:line="360" w:lineRule="auto"/>
              <w:ind w:firstLine="420" w:firstLineChars="200"/>
              <w:rPr>
                <w:szCs w:val="21"/>
              </w:rPr>
            </w:pPr>
            <w:r>
              <w:rPr>
                <w:szCs w:val="21"/>
              </w:rPr>
              <w:t>式中，V</w:t>
            </w:r>
            <w:r>
              <w:rPr>
                <w:szCs w:val="21"/>
                <w:vertAlign w:val="subscript"/>
              </w:rPr>
              <w:t>0</w:t>
            </w:r>
            <w:r>
              <w:rPr>
                <w:szCs w:val="21"/>
              </w:rPr>
              <w:t>——理论空气量，m</w:t>
            </w:r>
            <w:r>
              <w:rPr>
                <w:szCs w:val="21"/>
                <w:vertAlign w:val="superscript"/>
              </w:rPr>
              <w:t>3</w:t>
            </w:r>
            <w:r>
              <w:rPr>
                <w:szCs w:val="21"/>
              </w:rPr>
              <w:t>/kg；</w:t>
            </w:r>
          </w:p>
          <w:p w14:paraId="766CC910">
            <w:pPr>
              <w:spacing w:line="440" w:lineRule="exact"/>
              <w:ind w:firstLine="420" w:firstLineChars="200"/>
              <w:rPr>
                <w:szCs w:val="21"/>
              </w:rPr>
            </w:pPr>
            <w:r>
              <w:rPr>
                <w:szCs w:val="21"/>
              </w:rPr>
              <w:t>Car——收到基碳的质量分数，取38.82%；</w:t>
            </w:r>
          </w:p>
          <w:p w14:paraId="466A69F7">
            <w:pPr>
              <w:spacing w:line="440" w:lineRule="exact"/>
              <w:ind w:firstLine="420" w:firstLineChars="200"/>
              <w:rPr>
                <w:szCs w:val="21"/>
              </w:rPr>
            </w:pPr>
            <w:r>
              <w:rPr>
                <w:szCs w:val="21"/>
              </w:rPr>
              <w:t>Sar——收到基硫含量，取0.07%；</w:t>
            </w:r>
          </w:p>
          <w:p w14:paraId="7B700C02">
            <w:pPr>
              <w:spacing w:line="440" w:lineRule="exact"/>
              <w:ind w:firstLine="420" w:firstLineChars="200"/>
              <w:rPr>
                <w:szCs w:val="21"/>
              </w:rPr>
            </w:pPr>
            <w:r>
              <w:rPr>
                <w:szCs w:val="21"/>
              </w:rPr>
              <w:t>Har——收到基氢含量，取4.38%；</w:t>
            </w:r>
          </w:p>
          <w:p w14:paraId="14899C6B">
            <w:pPr>
              <w:spacing w:line="440" w:lineRule="exact"/>
              <w:ind w:firstLine="420" w:firstLineChars="200"/>
              <w:rPr>
                <w:szCs w:val="21"/>
              </w:rPr>
            </w:pPr>
            <w:r>
              <w:rPr>
                <w:szCs w:val="21"/>
              </w:rPr>
              <w:t>Qar——收到基氧含量，取33.13%。</w:t>
            </w:r>
          </w:p>
          <w:p w14:paraId="7E4279BA">
            <w:pPr>
              <w:spacing w:line="360" w:lineRule="auto"/>
              <w:ind w:firstLine="420" w:firstLineChars="200"/>
              <w:rPr>
                <w:szCs w:val="21"/>
              </w:rPr>
            </w:pPr>
            <w:r>
              <w:rPr>
                <w:szCs w:val="21"/>
              </w:rPr>
              <w:t>干烟气排放量可用公式计算：</w:t>
            </w:r>
          </w:p>
          <w:p w14:paraId="5744D200">
            <w:pPr>
              <w:pStyle w:val="17"/>
              <w:ind w:left="5250" w:firstLine="210"/>
              <w:rPr>
                <w:szCs w:val="21"/>
              </w:rPr>
            </w:pPr>
            <w:r>
              <w:rPr>
                <w:szCs w:val="21"/>
              </w:rPr>
              <w:drawing>
                <wp:anchor distT="0" distB="0" distL="114300" distR="114300" simplePos="0" relativeHeight="251682816" behindDoc="0" locked="0" layoutInCell="1" allowOverlap="1">
                  <wp:simplePos x="0" y="0"/>
                  <wp:positionH relativeFrom="column">
                    <wp:posOffset>1228725</wp:posOffset>
                  </wp:positionH>
                  <wp:positionV relativeFrom="paragraph">
                    <wp:posOffset>62230</wp:posOffset>
                  </wp:positionV>
                  <wp:extent cx="2304415" cy="1008380"/>
                  <wp:effectExtent l="0" t="0" r="635" b="1270"/>
                  <wp:wrapNone/>
                  <wp:docPr id="99726075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60751" name="图片 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304415" cy="1008380"/>
                          </a:xfrm>
                          <a:prstGeom prst="rect">
                            <a:avLst/>
                          </a:prstGeom>
                          <a:noFill/>
                          <a:ln>
                            <a:noFill/>
                          </a:ln>
                        </pic:spPr>
                      </pic:pic>
                    </a:graphicData>
                  </a:graphic>
                </wp:anchor>
              </w:drawing>
            </w:r>
          </w:p>
          <w:p w14:paraId="0639268A">
            <w:pPr>
              <w:spacing w:line="440" w:lineRule="exact"/>
              <w:ind w:firstLine="420" w:firstLineChars="200"/>
              <w:rPr>
                <w:szCs w:val="21"/>
              </w:rPr>
            </w:pPr>
          </w:p>
          <w:p w14:paraId="59883C1F">
            <w:pPr>
              <w:spacing w:line="440" w:lineRule="exact"/>
              <w:ind w:firstLine="420" w:firstLineChars="200"/>
              <w:rPr>
                <w:szCs w:val="21"/>
              </w:rPr>
            </w:pPr>
          </w:p>
          <w:p w14:paraId="5A774FBF">
            <w:pPr>
              <w:spacing w:line="440" w:lineRule="exact"/>
              <w:ind w:firstLine="420" w:firstLineChars="200"/>
              <w:rPr>
                <w:szCs w:val="21"/>
              </w:rPr>
            </w:pPr>
          </w:p>
          <w:p w14:paraId="2E3B2E1A">
            <w:pPr>
              <w:spacing w:line="440" w:lineRule="exact"/>
              <w:ind w:firstLine="420" w:firstLineChars="200"/>
              <w:rPr>
                <w:szCs w:val="21"/>
              </w:rPr>
            </w:pPr>
            <w:r>
              <w:rPr>
                <w:szCs w:val="21"/>
              </w:rPr>
              <w:t>式中，V</w:t>
            </w:r>
            <w:r>
              <w:rPr>
                <w:szCs w:val="21"/>
                <w:vertAlign w:val="subscript"/>
              </w:rPr>
              <w:t>RO2</w:t>
            </w:r>
            <w:r>
              <w:rPr>
                <w:szCs w:val="21"/>
              </w:rPr>
              <w:t>——烟气中二氧化碳（V</w:t>
            </w:r>
            <w:r>
              <w:rPr>
                <w:szCs w:val="21"/>
                <w:vertAlign w:val="subscript"/>
              </w:rPr>
              <w:t>CO2</w:t>
            </w:r>
            <w:r>
              <w:rPr>
                <w:szCs w:val="21"/>
              </w:rPr>
              <w:t>）和二氧化硫（V</w:t>
            </w:r>
            <w:r>
              <w:rPr>
                <w:szCs w:val="21"/>
                <w:vertAlign w:val="subscript"/>
              </w:rPr>
              <w:t>SO2</w:t>
            </w:r>
            <w:r>
              <w:rPr>
                <w:szCs w:val="21"/>
              </w:rPr>
              <w:t>）容积之和，m</w:t>
            </w:r>
            <w:r>
              <w:rPr>
                <w:szCs w:val="21"/>
                <w:vertAlign w:val="superscript"/>
              </w:rPr>
              <w:t>3</w:t>
            </w:r>
            <w:r>
              <w:rPr>
                <w:szCs w:val="21"/>
              </w:rPr>
              <w:t>/kg，经计算为0.79；</w:t>
            </w:r>
          </w:p>
          <w:p w14:paraId="2F645B83">
            <w:pPr>
              <w:spacing w:line="440" w:lineRule="exact"/>
              <w:ind w:firstLine="420" w:firstLineChars="200"/>
              <w:rPr>
                <w:szCs w:val="21"/>
              </w:rPr>
            </w:pPr>
            <w:r>
              <w:rPr>
                <w:szCs w:val="21"/>
              </w:rPr>
              <w:t>Car——收到基碳的质量分数，取38.82%；</w:t>
            </w:r>
          </w:p>
          <w:p w14:paraId="38176FAE">
            <w:pPr>
              <w:spacing w:line="440" w:lineRule="exact"/>
              <w:ind w:firstLine="420" w:firstLineChars="200"/>
              <w:rPr>
                <w:szCs w:val="21"/>
              </w:rPr>
            </w:pPr>
            <w:r>
              <w:rPr>
                <w:szCs w:val="21"/>
              </w:rPr>
              <w:t>Sar——收到基硫的质量分数，取0.07%；</w:t>
            </w:r>
          </w:p>
          <w:p w14:paraId="76243DCD">
            <w:pPr>
              <w:spacing w:line="440" w:lineRule="exact"/>
              <w:ind w:firstLine="420" w:firstLineChars="200"/>
              <w:rPr>
                <w:szCs w:val="21"/>
              </w:rPr>
            </w:pPr>
            <w:r>
              <w:rPr>
                <w:szCs w:val="21"/>
              </w:rPr>
              <w:t>VN2——烟气中氮气量，m</w:t>
            </w:r>
            <w:r>
              <w:rPr>
                <w:szCs w:val="21"/>
                <w:vertAlign w:val="superscript"/>
              </w:rPr>
              <w:t>3</w:t>
            </w:r>
            <w:r>
              <w:rPr>
                <w:szCs w:val="21"/>
              </w:rPr>
              <w:t>/kg；</w:t>
            </w:r>
          </w:p>
          <w:p w14:paraId="6763C846">
            <w:pPr>
              <w:spacing w:line="440" w:lineRule="exact"/>
              <w:ind w:firstLine="420" w:firstLineChars="200"/>
              <w:rPr>
                <w:szCs w:val="21"/>
              </w:rPr>
            </w:pPr>
            <w:r>
              <w:rPr>
                <w:szCs w:val="21"/>
              </w:rPr>
              <w:t>Nar——收到基氮的质量分数，取0.27%；</w:t>
            </w:r>
          </w:p>
          <w:p w14:paraId="7A07075C">
            <w:pPr>
              <w:spacing w:line="440" w:lineRule="exact"/>
              <w:ind w:firstLine="420" w:firstLineChars="200"/>
              <w:rPr>
                <w:szCs w:val="21"/>
              </w:rPr>
            </w:pPr>
            <w:r>
              <w:rPr>
                <w:szCs w:val="21"/>
              </w:rPr>
              <w:t>V</w:t>
            </w:r>
            <w:r>
              <w:rPr>
                <w:szCs w:val="21"/>
                <w:vertAlign w:val="subscript"/>
              </w:rPr>
              <w:t>0</w:t>
            </w:r>
            <w:r>
              <w:rPr>
                <w:szCs w:val="21"/>
              </w:rPr>
              <w:t>——理论空气量，m</w:t>
            </w:r>
            <w:r>
              <w:rPr>
                <w:szCs w:val="21"/>
                <w:vertAlign w:val="superscript"/>
              </w:rPr>
              <w:t>3</w:t>
            </w:r>
            <w:r>
              <w:rPr>
                <w:szCs w:val="21"/>
              </w:rPr>
              <w:t>/kg，经计算为3.51；</w:t>
            </w:r>
          </w:p>
          <w:p w14:paraId="7AB23DC5">
            <w:pPr>
              <w:spacing w:line="440" w:lineRule="exact"/>
              <w:ind w:firstLine="420" w:firstLineChars="200"/>
              <w:rPr>
                <w:szCs w:val="21"/>
              </w:rPr>
            </w:pPr>
            <w:r>
              <w:rPr>
                <w:szCs w:val="21"/>
              </w:rPr>
              <w:t>Vg——干烟气排放量，m</w:t>
            </w:r>
            <w:r>
              <w:rPr>
                <w:szCs w:val="21"/>
                <w:vertAlign w:val="superscript"/>
              </w:rPr>
              <w:t>3</w:t>
            </w:r>
            <w:r>
              <w:rPr>
                <w:szCs w:val="21"/>
              </w:rPr>
              <w:t>/kg，经计算为6.13；</w:t>
            </w:r>
          </w:p>
          <w:p w14:paraId="22F89765">
            <w:pPr>
              <w:spacing w:line="440" w:lineRule="exact"/>
              <w:ind w:firstLine="420" w:firstLineChars="200"/>
              <w:rPr>
                <w:szCs w:val="21"/>
              </w:rPr>
            </w:pPr>
            <w:r>
              <w:rPr>
                <w:szCs w:val="21"/>
              </w:rPr>
              <w:t>α——过量空气系数，燃料燃烧时实际空气供给量与理论空气需要量之比值，燃煤锅炉、燃油锅炉及燃气锅炉的规定过量空气系数分别为1.75、1.2，对应基准氧含量分别为9%、3.5%；本次评价取1.75。</w:t>
            </w:r>
          </w:p>
          <w:p w14:paraId="35D4B5AA">
            <w:pPr>
              <w:spacing w:line="440" w:lineRule="exact"/>
              <w:ind w:firstLine="420" w:firstLineChars="200"/>
              <w:rPr>
                <w:szCs w:val="21"/>
              </w:rPr>
            </w:pPr>
            <w:r>
              <w:rPr>
                <w:szCs w:val="21"/>
              </w:rPr>
              <w:t>本项目生物质热水锅炉燃料耗量为</w:t>
            </w:r>
            <w:r>
              <w:rPr>
                <w:rFonts w:hint="eastAsia"/>
                <w:szCs w:val="21"/>
              </w:rPr>
              <w:t>1.04</w:t>
            </w:r>
            <w:r>
              <w:rPr>
                <w:szCs w:val="21"/>
              </w:rPr>
              <w:t>t/h，经计算实际干烟气量为6375.2Nm</w:t>
            </w:r>
            <w:r>
              <w:rPr>
                <w:szCs w:val="21"/>
                <w:vertAlign w:val="superscript"/>
              </w:rPr>
              <w:t>3</w:t>
            </w:r>
            <w:r>
              <w:rPr>
                <w:szCs w:val="21"/>
              </w:rPr>
              <w:t>/h。</w:t>
            </w:r>
          </w:p>
          <w:p w14:paraId="3C4A0889">
            <w:pPr>
              <w:spacing w:line="440" w:lineRule="exact"/>
              <w:ind w:firstLine="420" w:firstLineChars="200"/>
              <w:rPr>
                <w:szCs w:val="21"/>
              </w:rPr>
            </w:pPr>
            <w:r>
              <w:rPr>
                <w:szCs w:val="21"/>
              </w:rPr>
              <w:drawing>
                <wp:anchor distT="0" distB="0" distL="114300" distR="114300" simplePos="0" relativeHeight="251678720" behindDoc="1" locked="0" layoutInCell="1" allowOverlap="1">
                  <wp:simplePos x="0" y="0"/>
                  <wp:positionH relativeFrom="column">
                    <wp:posOffset>368300</wp:posOffset>
                  </wp:positionH>
                  <wp:positionV relativeFrom="paragraph">
                    <wp:posOffset>193040</wp:posOffset>
                  </wp:positionV>
                  <wp:extent cx="2130425" cy="823595"/>
                  <wp:effectExtent l="0" t="0" r="3175" b="0"/>
                  <wp:wrapNone/>
                  <wp:docPr id="180247712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77126" name="图片 88"/>
                          <pic:cNvPicPr>
                            <a:picLocks noChangeAspect="1" noChangeArrowheads="1"/>
                          </pic:cNvPicPr>
                        </pic:nvPicPr>
                        <pic:blipFill>
                          <a:blip r:embed="rId36">
                            <a:extLst>
                              <a:ext uri="{28A0092B-C50C-407E-A947-70E740481C1C}">
                                <a14:useLocalDpi xmlns:a14="http://schemas.microsoft.com/office/drawing/2010/main" val="0"/>
                              </a:ext>
                            </a:extLst>
                          </a:blip>
                          <a:srcRect t="-6538" b="-6538"/>
                          <a:stretch>
                            <a:fillRect/>
                          </a:stretch>
                        </pic:blipFill>
                        <pic:spPr>
                          <a:xfrm>
                            <a:off x="0" y="0"/>
                            <a:ext cx="2130425" cy="823595"/>
                          </a:xfrm>
                          <a:prstGeom prst="rect">
                            <a:avLst/>
                          </a:prstGeom>
                          <a:noFill/>
                          <a:ln>
                            <a:noFill/>
                          </a:ln>
                        </pic:spPr>
                      </pic:pic>
                    </a:graphicData>
                  </a:graphic>
                </wp:anchor>
              </w:drawing>
            </w:r>
            <w:r>
              <w:rPr>
                <w:szCs w:val="21"/>
              </w:rPr>
              <w:t xml:space="preserve">b）烟尘排放量按下式计算  </w:t>
            </w:r>
          </w:p>
          <w:p w14:paraId="7F363812">
            <w:pPr>
              <w:spacing w:line="440" w:lineRule="exact"/>
              <w:ind w:firstLine="420" w:firstLineChars="200"/>
              <w:rPr>
                <w:szCs w:val="21"/>
              </w:rPr>
            </w:pPr>
            <w:r>
              <w:rPr>
                <w:szCs w:val="21"/>
              </w:rPr>
              <w:t xml:space="preserve">          </w:t>
            </w:r>
          </w:p>
          <w:p w14:paraId="5E12159B">
            <w:pPr>
              <w:spacing w:line="440" w:lineRule="exact"/>
              <w:ind w:firstLine="420" w:firstLineChars="200"/>
              <w:jc w:val="center"/>
              <w:rPr>
                <w:szCs w:val="21"/>
              </w:rPr>
            </w:pPr>
            <w:r>
              <w:rPr>
                <w:szCs w:val="21"/>
              </w:rPr>
              <w:t xml:space="preserve">  </w:t>
            </w:r>
          </w:p>
          <w:bookmarkEnd w:id="40"/>
          <w:p w14:paraId="76D3B9F1">
            <w:pPr>
              <w:spacing w:line="440" w:lineRule="exact"/>
              <w:ind w:firstLine="420" w:firstLineChars="200"/>
              <w:rPr>
                <w:szCs w:val="21"/>
              </w:rPr>
            </w:pPr>
            <w:r>
              <w:rPr>
                <w:szCs w:val="21"/>
              </w:rPr>
              <w:t>式中：</w:t>
            </w:r>
          </w:p>
          <w:p w14:paraId="33913C33">
            <w:pPr>
              <w:spacing w:line="440" w:lineRule="exact"/>
              <w:ind w:firstLine="420" w:firstLineChars="200"/>
              <w:rPr>
                <w:szCs w:val="21"/>
              </w:rPr>
            </w:pPr>
            <w:bookmarkStart w:id="41" w:name="_Hlk65495966"/>
            <w:r>
              <w:rPr>
                <w:szCs w:val="21"/>
              </w:rPr>
              <w:t>E</w:t>
            </w:r>
            <w:r>
              <w:rPr>
                <w:szCs w:val="21"/>
                <w:vertAlign w:val="subscript"/>
              </w:rPr>
              <w:t>A</w:t>
            </w:r>
            <w:r>
              <w:rPr>
                <w:szCs w:val="21"/>
              </w:rPr>
              <w:t>——核算时段内烟尘（颗粒物）排放量，t；</w:t>
            </w:r>
          </w:p>
          <w:p w14:paraId="65BF4EDC">
            <w:pPr>
              <w:spacing w:line="440" w:lineRule="exact"/>
              <w:ind w:firstLine="420" w:firstLineChars="200"/>
              <w:rPr>
                <w:szCs w:val="21"/>
              </w:rPr>
            </w:pPr>
            <w:r>
              <w:rPr>
                <w:szCs w:val="21"/>
              </w:rPr>
              <w:t>R——核算时段内锅炉燃料耗量，生物质燃料量为22</w:t>
            </w:r>
            <w:r>
              <w:rPr>
                <w:rFonts w:hint="eastAsia"/>
                <w:szCs w:val="21"/>
              </w:rPr>
              <w:t>88</w:t>
            </w:r>
            <w:r>
              <w:rPr>
                <w:szCs w:val="21"/>
              </w:rPr>
              <w:t>t；</w:t>
            </w:r>
          </w:p>
          <w:p w14:paraId="7741420F">
            <w:pPr>
              <w:spacing w:line="440" w:lineRule="exact"/>
              <w:ind w:firstLine="420" w:firstLineChars="200"/>
              <w:rPr>
                <w:szCs w:val="21"/>
              </w:rPr>
            </w:pPr>
            <w:r>
              <w:rPr>
                <w:szCs w:val="21"/>
              </w:rPr>
              <w:t>Aar——收到基灰分的质量分数，</w:t>
            </w:r>
            <w:r>
              <w:rPr>
                <w:iCs/>
                <w:szCs w:val="21"/>
              </w:rPr>
              <w:t>6.33</w:t>
            </w:r>
            <w:r>
              <w:rPr>
                <w:szCs w:val="21"/>
              </w:rPr>
              <w:t>；</w:t>
            </w:r>
          </w:p>
          <w:p w14:paraId="1D90281F">
            <w:pPr>
              <w:spacing w:line="440" w:lineRule="exact"/>
              <w:ind w:firstLine="420" w:firstLineChars="200"/>
              <w:rPr>
                <w:szCs w:val="21"/>
              </w:rPr>
            </w:pPr>
            <w:r>
              <w:rPr>
                <w:szCs w:val="21"/>
              </w:rPr>
              <w:t>dfh——锅炉烟气带出的飞灰份额，</w:t>
            </w:r>
            <w:r>
              <w:rPr>
                <w:bCs/>
                <w:szCs w:val="21"/>
              </w:rPr>
              <w:t>（链条炉排灰分份额为10%-20%，本项目取20%，燃生物质时飞灰份额加30%，则最终灰分份额取50%）</w:t>
            </w:r>
            <w:r>
              <w:rPr>
                <w:szCs w:val="21"/>
              </w:rPr>
              <w:t>；</w:t>
            </w:r>
          </w:p>
          <w:p w14:paraId="3E5FEBAD">
            <w:pPr>
              <w:spacing w:line="440" w:lineRule="exact"/>
              <w:ind w:firstLine="420" w:firstLineChars="200"/>
              <w:rPr>
                <w:szCs w:val="21"/>
              </w:rPr>
            </w:pPr>
            <w:r>
              <w:rPr>
                <w:szCs w:val="21"/>
              </w:rPr>
              <w:t>ηc——综合除尘效率，旋风+布袋除尘器，取99.7%；</w:t>
            </w:r>
          </w:p>
          <w:p w14:paraId="00E13174">
            <w:pPr>
              <w:adjustRightInd w:val="0"/>
              <w:snapToGrid w:val="0"/>
              <w:spacing w:line="440" w:lineRule="exact"/>
              <w:ind w:firstLine="420" w:firstLineChars="200"/>
              <w:rPr>
                <w:bCs/>
                <w:szCs w:val="21"/>
              </w:rPr>
            </w:pPr>
            <w:r>
              <w:rPr>
                <w:szCs w:val="21"/>
              </w:rPr>
              <w:t>Cfh——飞灰中的可燃物含量</w:t>
            </w:r>
            <w:r>
              <w:rPr>
                <w:bCs/>
                <w:szCs w:val="21"/>
              </w:rPr>
              <w:t>，取10%</w:t>
            </w:r>
          </w:p>
          <w:p w14:paraId="5A32EE4E">
            <w:pPr>
              <w:adjustRightInd w:val="0"/>
              <w:snapToGrid w:val="0"/>
              <w:spacing w:line="440" w:lineRule="exact"/>
              <w:ind w:firstLine="420" w:firstLineChars="200"/>
              <w:textAlignment w:val="center"/>
              <w:rPr>
                <w:szCs w:val="21"/>
              </w:rPr>
            </w:pPr>
            <w:r>
              <w:rPr>
                <w:szCs w:val="21"/>
              </w:rPr>
              <w:t>经计算，本项目生物质燃烧器烟尘产生量为36.36kg/h、</w:t>
            </w:r>
            <w:bookmarkStart w:id="42" w:name="OLE_LINK55"/>
            <w:r>
              <w:rPr>
                <w:szCs w:val="21"/>
              </w:rPr>
              <w:t>80t/a，产生浓度为5703mg/Nm</w:t>
            </w:r>
            <w:r>
              <w:rPr>
                <w:szCs w:val="21"/>
                <w:vertAlign w:val="superscript"/>
              </w:rPr>
              <w:t>3</w:t>
            </w:r>
            <w:r>
              <w:rPr>
                <w:szCs w:val="21"/>
              </w:rPr>
              <w:t>；除尘处理后排放量为0.11kg/h、0.24t/a，</w:t>
            </w:r>
            <w:bookmarkEnd w:id="42"/>
            <w:r>
              <w:rPr>
                <w:szCs w:val="21"/>
              </w:rPr>
              <w:t>排放浓度为17.25mg/Nm</w:t>
            </w:r>
            <w:r>
              <w:rPr>
                <w:szCs w:val="21"/>
                <w:vertAlign w:val="superscript"/>
              </w:rPr>
              <w:t>3</w:t>
            </w:r>
            <w:r>
              <w:rPr>
                <w:szCs w:val="21"/>
              </w:rPr>
              <w:t>。</w:t>
            </w:r>
          </w:p>
          <w:p w14:paraId="6EED04E5">
            <w:pPr>
              <w:spacing w:line="500" w:lineRule="exact"/>
              <w:ind w:firstLine="420" w:firstLineChars="200"/>
              <w:textAlignment w:val="center"/>
              <w:rPr>
                <w:szCs w:val="21"/>
              </w:rPr>
            </w:pPr>
            <w:r>
              <w:rPr>
                <w:szCs w:val="21"/>
              </w:rPr>
              <w:fldChar w:fldCharType="begin"/>
            </w:r>
            <w:r>
              <w:rPr>
                <w:szCs w:val="21"/>
              </w:rPr>
              <w:instrText xml:space="preserve"> = 2 \* GB3 </w:instrText>
            </w:r>
            <w:r>
              <w:rPr>
                <w:szCs w:val="21"/>
              </w:rPr>
              <w:fldChar w:fldCharType="separate"/>
            </w:r>
            <w:r>
              <w:rPr>
                <w:rFonts w:ascii="Cambria Math" w:hAnsi="Cambria Math" w:cs="Cambria Math"/>
                <w:szCs w:val="21"/>
              </w:rPr>
              <w:t>②</w:t>
            </w:r>
            <w:r>
              <w:rPr>
                <w:szCs w:val="21"/>
              </w:rPr>
              <w:fldChar w:fldCharType="end"/>
            </w:r>
            <w:r>
              <w:rPr>
                <w:szCs w:val="21"/>
              </w:rPr>
              <w:t>二氧化硫物料衡算法计算</w:t>
            </w:r>
          </w:p>
          <w:p w14:paraId="15E1B357">
            <w:pPr>
              <w:spacing w:line="440" w:lineRule="exact"/>
              <w:ind w:firstLine="420" w:firstLineChars="200"/>
              <w:rPr>
                <w:szCs w:val="21"/>
              </w:rPr>
            </w:pPr>
            <w:r>
              <w:rPr>
                <w:szCs w:val="21"/>
              </w:rPr>
              <w:drawing>
                <wp:anchor distT="0" distB="0" distL="114300" distR="114300" simplePos="0" relativeHeight="251680768" behindDoc="1" locked="0" layoutInCell="1" allowOverlap="1">
                  <wp:simplePos x="0" y="0"/>
                  <wp:positionH relativeFrom="column">
                    <wp:posOffset>378460</wp:posOffset>
                  </wp:positionH>
                  <wp:positionV relativeFrom="paragraph">
                    <wp:posOffset>58420</wp:posOffset>
                  </wp:positionV>
                  <wp:extent cx="3218815" cy="483870"/>
                  <wp:effectExtent l="0" t="0" r="635" b="0"/>
                  <wp:wrapNone/>
                  <wp:docPr id="70378863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88632" name="图片 87"/>
                          <pic:cNvPicPr>
                            <a:picLocks noChangeAspect="1" noChangeArrowheads="1"/>
                          </pic:cNvPicPr>
                        </pic:nvPicPr>
                        <pic:blipFill>
                          <a:blip r:embed="rId37">
                            <a:extLst>
                              <a:ext uri="{28A0092B-C50C-407E-A947-70E740481C1C}">
                                <a14:useLocalDpi xmlns:a14="http://schemas.microsoft.com/office/drawing/2010/main" val="0"/>
                              </a:ext>
                            </a:extLst>
                          </a:blip>
                          <a:srcRect t="3656" b="14409"/>
                          <a:stretch>
                            <a:fillRect/>
                          </a:stretch>
                        </pic:blipFill>
                        <pic:spPr>
                          <a:xfrm>
                            <a:off x="0" y="0"/>
                            <a:ext cx="3218815" cy="483870"/>
                          </a:xfrm>
                          <a:prstGeom prst="rect">
                            <a:avLst/>
                          </a:prstGeom>
                          <a:noFill/>
                          <a:ln>
                            <a:noFill/>
                          </a:ln>
                        </pic:spPr>
                      </pic:pic>
                    </a:graphicData>
                  </a:graphic>
                </wp:anchor>
              </w:drawing>
            </w:r>
          </w:p>
          <w:p w14:paraId="0EA9C4AF">
            <w:pPr>
              <w:spacing w:line="440" w:lineRule="exact"/>
              <w:ind w:firstLine="420" w:firstLineChars="200"/>
              <w:rPr>
                <w:szCs w:val="21"/>
              </w:rPr>
            </w:pPr>
          </w:p>
          <w:p w14:paraId="21EB2A45">
            <w:pPr>
              <w:spacing w:line="440" w:lineRule="exact"/>
              <w:ind w:firstLine="420" w:firstLineChars="200"/>
              <w:rPr>
                <w:szCs w:val="21"/>
              </w:rPr>
            </w:pPr>
            <w:r>
              <w:rPr>
                <w:szCs w:val="21"/>
              </w:rPr>
              <w:t>式中：</w:t>
            </w:r>
          </w:p>
          <w:p w14:paraId="55C1517D">
            <w:pPr>
              <w:spacing w:line="440" w:lineRule="exact"/>
              <w:ind w:firstLine="420" w:firstLineChars="200"/>
              <w:rPr>
                <w:szCs w:val="21"/>
              </w:rPr>
            </w:pPr>
            <w:r>
              <w:rPr>
                <w:szCs w:val="21"/>
              </w:rPr>
              <w:t>E</w:t>
            </w:r>
            <w:r>
              <w:rPr>
                <w:szCs w:val="21"/>
                <w:vertAlign w:val="subscript"/>
              </w:rPr>
              <w:t>SO2</w:t>
            </w:r>
            <w:r>
              <w:rPr>
                <w:szCs w:val="21"/>
              </w:rPr>
              <w:t>——核算时段内SO</w:t>
            </w:r>
            <w:r>
              <w:rPr>
                <w:szCs w:val="21"/>
                <w:vertAlign w:val="subscript"/>
              </w:rPr>
              <w:t>2</w:t>
            </w:r>
            <w:r>
              <w:rPr>
                <w:szCs w:val="21"/>
              </w:rPr>
              <w:t>排放量，t；</w:t>
            </w:r>
          </w:p>
          <w:p w14:paraId="745FF9A1">
            <w:pPr>
              <w:spacing w:line="440" w:lineRule="exact"/>
              <w:ind w:firstLine="420" w:firstLineChars="200"/>
              <w:rPr>
                <w:szCs w:val="21"/>
              </w:rPr>
            </w:pPr>
            <w:r>
              <w:rPr>
                <w:szCs w:val="21"/>
              </w:rPr>
              <w:t>R——核算时段内燃料耗量，生物质燃料量为22</w:t>
            </w:r>
            <w:r>
              <w:rPr>
                <w:rFonts w:hint="eastAsia"/>
                <w:szCs w:val="21"/>
              </w:rPr>
              <w:t>88</w:t>
            </w:r>
            <w:r>
              <w:rPr>
                <w:szCs w:val="21"/>
              </w:rPr>
              <w:t>t；</w:t>
            </w:r>
          </w:p>
          <w:p w14:paraId="20F891CC">
            <w:pPr>
              <w:spacing w:line="440" w:lineRule="exact"/>
              <w:ind w:firstLine="420" w:firstLineChars="200"/>
              <w:rPr>
                <w:szCs w:val="21"/>
              </w:rPr>
            </w:pPr>
            <w:r>
              <w:rPr>
                <w:szCs w:val="21"/>
              </w:rPr>
              <w:t>Sar——收到基硫分的质量分数，本项目</w:t>
            </w:r>
            <w:r>
              <w:rPr>
                <w:i/>
                <w:szCs w:val="21"/>
              </w:rPr>
              <w:t>S</w:t>
            </w:r>
            <w:r>
              <w:rPr>
                <w:i/>
                <w:szCs w:val="21"/>
                <w:vertAlign w:val="subscript"/>
              </w:rPr>
              <w:t>ar</w:t>
            </w:r>
            <w:r>
              <w:rPr>
                <w:iCs/>
                <w:szCs w:val="21"/>
              </w:rPr>
              <w:t>取值0.07</w:t>
            </w:r>
            <w:r>
              <w:rPr>
                <w:szCs w:val="21"/>
              </w:rPr>
              <w:t>%；</w:t>
            </w:r>
          </w:p>
          <w:p w14:paraId="7AFDFFC5">
            <w:pPr>
              <w:spacing w:line="440" w:lineRule="exact"/>
              <w:ind w:firstLine="420" w:firstLineChars="200"/>
              <w:rPr>
                <w:szCs w:val="21"/>
              </w:rPr>
            </w:pPr>
            <w:r>
              <w:rPr>
                <w:szCs w:val="21"/>
              </w:rPr>
              <w:t>q</w:t>
            </w:r>
            <w:r>
              <w:rPr>
                <w:szCs w:val="21"/>
                <w:vertAlign w:val="subscript"/>
              </w:rPr>
              <w:t>4</w:t>
            </w:r>
            <w:r>
              <w:rPr>
                <w:szCs w:val="21"/>
              </w:rPr>
              <w:t>——锅炉机械不完全燃烧热损失，</w:t>
            </w:r>
            <w:r>
              <w:rPr>
                <w:bCs/>
                <w:szCs w:val="21"/>
              </w:rPr>
              <w:t>（链条炉排不完全燃烧热损失5%-15%）</w:t>
            </w:r>
            <w:r>
              <w:rPr>
                <w:szCs w:val="21"/>
              </w:rPr>
              <w:t>取10%；</w:t>
            </w:r>
          </w:p>
          <w:p w14:paraId="7D4A1F66">
            <w:pPr>
              <w:spacing w:line="440" w:lineRule="exact"/>
              <w:ind w:firstLine="420" w:firstLineChars="200"/>
              <w:rPr>
                <w:szCs w:val="21"/>
              </w:rPr>
            </w:pPr>
            <w:r>
              <w:rPr>
                <w:szCs w:val="21"/>
              </w:rPr>
              <w:t>ηs——脱硫效率，取0%；</w:t>
            </w:r>
          </w:p>
          <w:p w14:paraId="1FA38F8E">
            <w:pPr>
              <w:spacing w:line="440" w:lineRule="exact"/>
              <w:ind w:firstLine="420" w:firstLineChars="200"/>
              <w:rPr>
                <w:szCs w:val="21"/>
              </w:rPr>
            </w:pPr>
            <w:r>
              <w:rPr>
                <w:szCs w:val="21"/>
              </w:rPr>
              <w:t>K——燃料中的硫燃烧后氧化成二氧化硫的份额，生物质锅炉为0.3-0.5，取0.5；</w:t>
            </w:r>
          </w:p>
          <w:p w14:paraId="60C70C08">
            <w:pPr>
              <w:adjustRightInd w:val="0"/>
              <w:snapToGrid w:val="0"/>
              <w:spacing w:line="500" w:lineRule="exact"/>
              <w:ind w:firstLine="420" w:firstLineChars="200"/>
              <w:textAlignment w:val="center"/>
              <w:rPr>
                <w:szCs w:val="21"/>
              </w:rPr>
            </w:pPr>
            <w:r>
              <w:rPr>
                <w:szCs w:val="21"/>
              </w:rPr>
              <w:t>本项目SO</w:t>
            </w:r>
            <w:r>
              <w:rPr>
                <w:szCs w:val="21"/>
                <w:vertAlign w:val="subscript"/>
              </w:rPr>
              <w:t>2</w:t>
            </w:r>
            <w:r>
              <w:rPr>
                <w:szCs w:val="21"/>
              </w:rPr>
              <w:t>产生量为0.65kg/h、1.44t/a，产生浓度为101.96mg/Nm</w:t>
            </w:r>
            <w:r>
              <w:rPr>
                <w:szCs w:val="21"/>
                <w:vertAlign w:val="superscript"/>
              </w:rPr>
              <w:t>3</w:t>
            </w:r>
            <w:r>
              <w:rPr>
                <w:szCs w:val="21"/>
              </w:rPr>
              <w:t>；SO</w:t>
            </w:r>
            <w:r>
              <w:rPr>
                <w:szCs w:val="21"/>
                <w:vertAlign w:val="subscript"/>
              </w:rPr>
              <w:t>2</w:t>
            </w:r>
            <w:r>
              <w:rPr>
                <w:szCs w:val="21"/>
              </w:rPr>
              <w:t>排放量为0.65kg/h、1.44t/a，排放浓度为101.96mg/Nm</w:t>
            </w:r>
            <w:r>
              <w:rPr>
                <w:szCs w:val="21"/>
                <w:vertAlign w:val="superscript"/>
              </w:rPr>
              <w:t>3</w:t>
            </w:r>
            <w:r>
              <w:rPr>
                <w:szCs w:val="21"/>
              </w:rPr>
              <w:t>。</w:t>
            </w:r>
          </w:p>
          <w:p w14:paraId="4F2579C1">
            <w:pPr>
              <w:adjustRightInd w:val="0"/>
              <w:snapToGrid w:val="0"/>
              <w:spacing w:line="500" w:lineRule="exact"/>
              <w:ind w:firstLine="420" w:firstLineChars="200"/>
              <w:textAlignment w:val="center"/>
              <w:rPr>
                <w:szCs w:val="21"/>
              </w:rPr>
            </w:pPr>
            <w:r>
              <w:rPr>
                <w:szCs w:val="21"/>
              </w:rPr>
              <w:t>d）氮氧化物排放量</w:t>
            </w:r>
          </w:p>
          <w:p w14:paraId="6BBCBBB3">
            <w:pPr>
              <w:spacing w:line="440" w:lineRule="exact"/>
              <w:ind w:firstLine="480"/>
              <w:rPr>
                <w:szCs w:val="21"/>
              </w:rPr>
            </w:pPr>
            <w:r>
              <w:rPr>
                <w:szCs w:val="21"/>
              </w:rPr>
              <w:drawing>
                <wp:anchor distT="0" distB="0" distL="114300" distR="114300" simplePos="0" relativeHeight="251681792" behindDoc="1" locked="0" layoutInCell="1" allowOverlap="1">
                  <wp:simplePos x="0" y="0"/>
                  <wp:positionH relativeFrom="column">
                    <wp:posOffset>747395</wp:posOffset>
                  </wp:positionH>
                  <wp:positionV relativeFrom="paragraph">
                    <wp:posOffset>78105</wp:posOffset>
                  </wp:positionV>
                  <wp:extent cx="2666365" cy="609600"/>
                  <wp:effectExtent l="0" t="0" r="635" b="0"/>
                  <wp:wrapNone/>
                  <wp:docPr id="63893376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33763" name="图片 86"/>
                          <pic:cNvPicPr>
                            <a:picLocks noChangeAspect="1" noChangeArrowheads="1"/>
                          </pic:cNvPicPr>
                        </pic:nvPicPr>
                        <pic:blipFill>
                          <a:blip r:embed="rId38">
                            <a:extLst>
                              <a:ext uri="{28A0092B-C50C-407E-A947-70E740481C1C}">
                                <a14:useLocalDpi xmlns:a14="http://schemas.microsoft.com/office/drawing/2010/main" val="0"/>
                              </a:ext>
                            </a:extLst>
                          </a:blip>
                          <a:srcRect b="-17073"/>
                          <a:stretch>
                            <a:fillRect/>
                          </a:stretch>
                        </pic:blipFill>
                        <pic:spPr>
                          <a:xfrm>
                            <a:off x="0" y="0"/>
                            <a:ext cx="2666365" cy="609600"/>
                          </a:xfrm>
                          <a:prstGeom prst="rect">
                            <a:avLst/>
                          </a:prstGeom>
                          <a:noFill/>
                          <a:ln>
                            <a:noFill/>
                          </a:ln>
                        </pic:spPr>
                      </pic:pic>
                    </a:graphicData>
                  </a:graphic>
                </wp:anchor>
              </w:drawing>
            </w:r>
          </w:p>
          <w:p w14:paraId="4279B305">
            <w:pPr>
              <w:spacing w:line="440" w:lineRule="exact"/>
              <w:ind w:firstLine="480"/>
              <w:rPr>
                <w:szCs w:val="21"/>
              </w:rPr>
            </w:pPr>
          </w:p>
          <w:p w14:paraId="51D59D5C">
            <w:pPr>
              <w:spacing w:line="440" w:lineRule="exact"/>
              <w:ind w:firstLine="480"/>
              <w:rPr>
                <w:szCs w:val="21"/>
              </w:rPr>
            </w:pPr>
            <w:r>
              <w:rPr>
                <w:szCs w:val="21"/>
              </w:rPr>
              <w:t>式中：</w:t>
            </w:r>
          </w:p>
          <w:p w14:paraId="0B02A466">
            <w:pPr>
              <w:spacing w:line="360" w:lineRule="auto"/>
              <w:ind w:firstLine="1050" w:firstLineChars="500"/>
              <w:rPr>
                <w:szCs w:val="21"/>
              </w:rPr>
            </w:pPr>
            <w:r>
              <w:rPr>
                <w:szCs w:val="21"/>
              </w:rPr>
              <w:t>E</w:t>
            </w:r>
            <w:r>
              <w:rPr>
                <w:szCs w:val="21"/>
                <w:vertAlign w:val="subscript"/>
              </w:rPr>
              <w:t>NOx</w:t>
            </w:r>
            <w:r>
              <w:rPr>
                <w:szCs w:val="21"/>
              </w:rPr>
              <w:t>——核算时段内氮氧化物排放量，t/h；</w:t>
            </w:r>
          </w:p>
          <w:p w14:paraId="7F698596">
            <w:pPr>
              <w:spacing w:line="360" w:lineRule="auto"/>
              <w:ind w:firstLine="1050" w:firstLineChars="500"/>
              <w:rPr>
                <w:szCs w:val="21"/>
              </w:rPr>
            </w:pPr>
            <w:r>
              <w:rPr>
                <w:szCs w:val="21"/>
              </w:rPr>
              <w:t>ρ</w:t>
            </w:r>
            <w:r>
              <w:rPr>
                <w:szCs w:val="21"/>
                <w:vertAlign w:val="subscript"/>
              </w:rPr>
              <w:t>NOx</w:t>
            </w:r>
            <w:r>
              <w:rPr>
                <w:szCs w:val="21"/>
              </w:rPr>
              <w:t>——锅炉炉膛出口氮氧化物质量浓度，根据锅炉设计参数取180mg/m</w:t>
            </w:r>
            <w:r>
              <w:rPr>
                <w:szCs w:val="21"/>
                <w:vertAlign w:val="superscript"/>
              </w:rPr>
              <w:t>3</w:t>
            </w:r>
            <w:r>
              <w:rPr>
                <w:szCs w:val="21"/>
              </w:rPr>
              <w:t>；</w:t>
            </w:r>
          </w:p>
          <w:p w14:paraId="0E36D5F7">
            <w:pPr>
              <w:spacing w:line="360" w:lineRule="auto"/>
              <w:ind w:firstLine="1050" w:firstLineChars="500"/>
              <w:rPr>
                <w:szCs w:val="21"/>
              </w:rPr>
            </w:pPr>
            <w:r>
              <w:rPr>
                <w:szCs w:val="21"/>
              </w:rPr>
              <w:t>Q——干烟气排放量，为1</w:t>
            </w:r>
            <w:r>
              <w:rPr>
                <w:rFonts w:hint="eastAsia"/>
                <w:szCs w:val="21"/>
              </w:rPr>
              <w:t>4025440</w:t>
            </w:r>
            <w:r>
              <w:rPr>
                <w:szCs w:val="21"/>
              </w:rPr>
              <w:t>Nm</w:t>
            </w:r>
            <w:r>
              <w:rPr>
                <w:szCs w:val="21"/>
                <w:vertAlign w:val="superscript"/>
              </w:rPr>
              <w:t>3</w:t>
            </w:r>
            <w:r>
              <w:rPr>
                <w:szCs w:val="21"/>
              </w:rPr>
              <w:t>；</w:t>
            </w:r>
          </w:p>
          <w:p w14:paraId="68BB0B9E">
            <w:pPr>
              <w:pStyle w:val="95"/>
              <w:rPr>
                <w:sz w:val="21"/>
                <w:szCs w:val="21"/>
              </w:rPr>
            </w:pPr>
            <w:r>
              <w:rPr>
                <w:sz w:val="21"/>
                <w:szCs w:val="21"/>
              </w:rPr>
              <w:t>η</w:t>
            </w:r>
            <w:r>
              <w:rPr>
                <w:sz w:val="21"/>
                <w:szCs w:val="21"/>
                <w:vertAlign w:val="subscript"/>
              </w:rPr>
              <w:t>NOx</w:t>
            </w:r>
            <w:r>
              <w:rPr>
                <w:sz w:val="21"/>
                <w:szCs w:val="21"/>
              </w:rPr>
              <w:t>——脱硝效率，取30%；</w:t>
            </w:r>
            <w:r>
              <w:rPr>
                <w:bCs/>
                <w:sz w:val="21"/>
                <w:szCs w:val="21"/>
                <w:lang w:val="en-US"/>
              </w:rPr>
              <w:t>根据</w:t>
            </w:r>
            <w:r>
              <w:rPr>
                <w:sz w:val="21"/>
                <w:szCs w:val="21"/>
                <w:lang w:val="en-US"/>
              </w:rPr>
              <w:t>《排放源统计调查产排污核算方法和系数手册》中“4430 工业锅炉(热力供应)行业系数手册”，4430工业锅炉（热力生产和供应行业）产污系数表-生物质工业锅炉低氮燃烧去除效率为30%。</w:t>
            </w:r>
          </w:p>
          <w:p w14:paraId="6AB990A6">
            <w:pPr>
              <w:autoSpaceDE w:val="0"/>
              <w:autoSpaceDN w:val="0"/>
              <w:spacing w:line="360" w:lineRule="auto"/>
              <w:ind w:firstLine="420" w:firstLineChars="200"/>
              <w:rPr>
                <w:szCs w:val="21"/>
              </w:rPr>
            </w:pPr>
            <w:r>
              <w:rPr>
                <w:szCs w:val="21"/>
              </w:rPr>
              <w:t>根据计算锅炉氮氧化物产生量为2.52</w:t>
            </w:r>
            <w:r>
              <w:rPr>
                <w:rFonts w:hint="eastAsia"/>
                <w:szCs w:val="21"/>
              </w:rPr>
              <w:t>t</w:t>
            </w:r>
            <w:r>
              <w:rPr>
                <w:szCs w:val="21"/>
              </w:rPr>
              <w:t>/a，产生浓度为180mg/m</w:t>
            </w:r>
            <w:r>
              <w:rPr>
                <w:szCs w:val="21"/>
                <w:vertAlign w:val="superscript"/>
              </w:rPr>
              <w:t>3</w:t>
            </w:r>
            <w:r>
              <w:rPr>
                <w:szCs w:val="21"/>
              </w:rPr>
              <w:t>，产生速率为1.15kg/h，排放量为1.764t/a，排放浓度为126mg/m</w:t>
            </w:r>
            <w:r>
              <w:rPr>
                <w:szCs w:val="21"/>
                <w:vertAlign w:val="superscript"/>
              </w:rPr>
              <w:t>3</w:t>
            </w:r>
            <w:r>
              <w:rPr>
                <w:szCs w:val="21"/>
              </w:rPr>
              <w:t>，排放速率为0.8kg/h。</w:t>
            </w:r>
          </w:p>
          <w:p w14:paraId="6BEF31DA">
            <w:pPr>
              <w:pStyle w:val="109"/>
              <w:adjustRightInd w:val="0"/>
              <w:spacing w:line="336" w:lineRule="auto"/>
              <w:ind w:firstLine="420"/>
              <w:rPr>
                <w:szCs w:val="21"/>
              </w:rPr>
            </w:pPr>
            <w:r>
              <w:rPr>
                <w:rFonts w:hint="eastAsia"/>
                <w:szCs w:val="21"/>
              </w:rPr>
              <w:t>（2）锅炉灰渣转运堆存废气</w:t>
            </w:r>
          </w:p>
          <w:p w14:paraId="52587A92">
            <w:pPr>
              <w:pStyle w:val="109"/>
              <w:adjustRightInd w:val="0"/>
              <w:spacing w:line="336" w:lineRule="auto"/>
              <w:ind w:firstLine="420"/>
              <w:rPr>
                <w:szCs w:val="21"/>
              </w:rPr>
            </w:pPr>
            <w:bookmarkStart w:id="43" w:name="OLE_LINK99"/>
            <w:r>
              <w:rPr>
                <w:rFonts w:hint="eastAsia"/>
                <w:szCs w:val="21"/>
              </w:rPr>
              <w:t>生物质锅炉出渣口设置封闭漏斗，灰渣通过漏斗由密封袋收集，收集后暂存在锅炉房内的灰渣间，灰渣转运过程中采取洒水降尘措施，灰渣间为全封闭，贮存过程中锅炉房定期洒水降尘。通过以上措施厂界颗粒物无组织排放浓度满足《大气污染物综合排放标准》（GB16297-1996）表2中无组织排放监控浓度限值要求。</w:t>
            </w:r>
          </w:p>
          <w:bookmarkEnd w:id="43"/>
          <w:p w14:paraId="27630EFA">
            <w:pPr>
              <w:pStyle w:val="109"/>
              <w:adjustRightInd w:val="0"/>
              <w:spacing w:line="336" w:lineRule="auto"/>
              <w:ind w:firstLine="380"/>
              <w:rPr>
                <w:szCs w:val="21"/>
              </w:rPr>
            </w:pPr>
            <w:r>
              <w:rPr>
                <w:rFonts w:hint="eastAsia"/>
                <w:bCs/>
                <w:spacing w:val="-10"/>
                <w:szCs w:val="21"/>
              </w:rPr>
              <w:t>本项目</w:t>
            </w:r>
            <w:r>
              <w:rPr>
                <w:rFonts w:hint="eastAsia"/>
                <w:szCs w:val="21"/>
              </w:rPr>
              <w:t>灰渣间</w:t>
            </w:r>
            <w:r>
              <w:rPr>
                <w:rFonts w:hint="eastAsia"/>
                <w:bCs/>
                <w:spacing w:val="-10"/>
                <w:szCs w:val="21"/>
              </w:rPr>
              <w:t>位于锅炉房内，属于全封闭式，且进行</w:t>
            </w:r>
            <w:r>
              <w:rPr>
                <w:bCs/>
                <w:spacing w:val="-10"/>
                <w:szCs w:val="21"/>
              </w:rPr>
              <w:t>洒水降尘，</w:t>
            </w:r>
            <w:r>
              <w:rPr>
                <w:rFonts w:hint="eastAsia"/>
                <w:bCs/>
                <w:spacing w:val="-10"/>
                <w:szCs w:val="21"/>
              </w:rPr>
              <w:t>根据《污染源源强核算技术指南 锅炉》（HJ991—2018） 中 4.4.2.1 中的要求，“料/堆场采用全封闭型式、储罐采用密闭容器的，废气无组织源强可忽略不计。”因此，本次评价对灰渣存储期间无组织粉尘排放量忽略不计。</w:t>
            </w:r>
          </w:p>
          <w:p w14:paraId="1E4261CB">
            <w:pPr>
              <w:pStyle w:val="121"/>
              <w:spacing w:line="360" w:lineRule="auto"/>
              <w:ind w:firstLine="420" w:firstLineChars="200"/>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（3）</w:t>
            </w:r>
            <w:r>
              <w:rPr>
                <w:rFonts w:ascii="Times New Roman" w:hAnsi="Times New Roman" w:cs="Times New Roman"/>
                <w:bCs/>
                <w:sz w:val="21"/>
                <w:szCs w:val="21"/>
                <w:lang w:eastAsia="zh-CN"/>
              </w:rPr>
              <w:t>餐厅油烟</w:t>
            </w:r>
          </w:p>
          <w:p w14:paraId="73AE5B78">
            <w:pPr>
              <w:pStyle w:val="121"/>
              <w:spacing w:line="360" w:lineRule="auto"/>
              <w:ind w:firstLine="420" w:firstLineChars="200"/>
              <w:rPr>
                <w:rFonts w:ascii="Times New Roman" w:hAnsi="Times New Roman" w:cs="Times New Roman"/>
                <w:sz w:val="21"/>
                <w:szCs w:val="21"/>
                <w:lang w:eastAsia="zh-CN"/>
              </w:rPr>
            </w:pPr>
            <w:r>
              <w:rPr>
                <w:rFonts w:ascii="Times New Roman" w:hAnsi="Times New Roman" w:cs="Times New Roman"/>
                <w:bCs/>
                <w:sz w:val="21"/>
                <w:szCs w:val="21"/>
                <w:lang w:eastAsia="zh-CN"/>
              </w:rPr>
              <w:t>本项目餐厅就餐人数1</w:t>
            </w:r>
            <w:r>
              <w:rPr>
                <w:rFonts w:hint="eastAsia" w:ascii="Times New Roman" w:hAnsi="Times New Roman" w:cs="Times New Roman"/>
                <w:bCs/>
                <w:sz w:val="21"/>
                <w:szCs w:val="21"/>
                <w:lang w:eastAsia="zh-CN"/>
              </w:rPr>
              <w:t>410</w:t>
            </w:r>
            <w:r>
              <w:rPr>
                <w:rFonts w:ascii="Times New Roman" w:hAnsi="Times New Roman" w:cs="Times New Roman"/>
                <w:bCs/>
                <w:sz w:val="21"/>
                <w:szCs w:val="21"/>
                <w:lang w:eastAsia="zh-CN"/>
              </w:rPr>
              <w:t>人/天，设置</w:t>
            </w:r>
            <w:r>
              <w:rPr>
                <w:rFonts w:hint="eastAsia" w:ascii="Times New Roman" w:hAnsi="Times New Roman" w:cs="Times New Roman"/>
                <w:bCs/>
                <w:sz w:val="21"/>
                <w:szCs w:val="21"/>
                <w:lang w:eastAsia="zh-CN"/>
              </w:rPr>
              <w:t>6</w:t>
            </w:r>
            <w:r>
              <w:rPr>
                <w:rFonts w:ascii="Times New Roman" w:hAnsi="Times New Roman" w:cs="Times New Roman"/>
                <w:bCs/>
                <w:sz w:val="21"/>
                <w:szCs w:val="21"/>
                <w:lang w:eastAsia="zh-CN"/>
              </w:rPr>
              <w:t>个灶头，人均食用油耗油量为25g/人·d，一般油烟挥发量占总耗油量的4%，则油烟日产生量</w:t>
            </w:r>
            <w:r>
              <w:rPr>
                <w:rFonts w:hint="eastAsia" w:ascii="Times New Roman" w:hAnsi="Times New Roman" w:cs="Times New Roman"/>
                <w:bCs/>
                <w:sz w:val="21"/>
                <w:szCs w:val="21"/>
                <w:lang w:eastAsia="zh-CN"/>
              </w:rPr>
              <w:t>1.41</w:t>
            </w:r>
            <w:r>
              <w:rPr>
                <w:rFonts w:ascii="Times New Roman" w:hAnsi="Times New Roman" w:cs="Times New Roman"/>
                <w:bCs/>
                <w:sz w:val="21"/>
                <w:szCs w:val="21"/>
                <w:lang w:eastAsia="zh-CN"/>
              </w:rPr>
              <w:t>kg/d，年产量为</w:t>
            </w:r>
            <w:r>
              <w:rPr>
                <w:rFonts w:hint="eastAsia" w:ascii="Times New Roman" w:hAnsi="Times New Roman" w:cs="Times New Roman"/>
                <w:bCs/>
                <w:sz w:val="21"/>
                <w:szCs w:val="21"/>
                <w:lang w:eastAsia="zh-CN"/>
              </w:rPr>
              <w:t>514.65kg</w:t>
            </w:r>
            <w:r>
              <w:rPr>
                <w:rFonts w:ascii="Times New Roman" w:hAnsi="Times New Roman" w:cs="Times New Roman"/>
                <w:bCs/>
                <w:sz w:val="21"/>
                <w:szCs w:val="21"/>
                <w:lang w:eastAsia="zh-CN"/>
              </w:rPr>
              <w:t>/a（0.</w:t>
            </w:r>
            <w:r>
              <w:rPr>
                <w:rFonts w:hint="eastAsia" w:ascii="Times New Roman" w:hAnsi="Times New Roman" w:cs="Times New Roman"/>
                <w:bCs/>
                <w:sz w:val="21"/>
                <w:szCs w:val="21"/>
                <w:lang w:eastAsia="zh-CN"/>
              </w:rPr>
              <w:t>51</w:t>
            </w:r>
            <w:r>
              <w:rPr>
                <w:rFonts w:ascii="Times New Roman" w:hAnsi="Times New Roman" w:cs="Times New Roman"/>
                <w:bCs/>
                <w:sz w:val="21"/>
                <w:szCs w:val="21"/>
                <w:lang w:eastAsia="zh-CN"/>
              </w:rPr>
              <w:t>t/a）。项目拟于餐厅安装油烟去除效率不低于</w:t>
            </w:r>
            <w:r>
              <w:rPr>
                <w:rFonts w:hint="eastAsia" w:ascii="Times New Roman" w:hAnsi="Times New Roman" w:cs="Times New Roman"/>
                <w:bCs/>
                <w:sz w:val="21"/>
                <w:szCs w:val="21"/>
                <w:lang w:eastAsia="zh-CN"/>
              </w:rPr>
              <w:t>8</w:t>
            </w:r>
            <w:r>
              <w:rPr>
                <w:rFonts w:ascii="Times New Roman" w:hAnsi="Times New Roman" w:cs="Times New Roman"/>
                <w:bCs/>
                <w:sz w:val="21"/>
                <w:szCs w:val="21"/>
                <w:lang w:eastAsia="zh-CN"/>
              </w:rPr>
              <w:t>5%的高效油烟净化设施，油烟经净化器处理后引至屋顶排放，每个灶头按标准风量</w:t>
            </w:r>
            <w:r>
              <w:rPr>
                <w:rFonts w:hint="eastAsia" w:ascii="Times New Roman" w:hAnsi="Times New Roman" w:cs="Times New Roman"/>
                <w:bCs/>
                <w:sz w:val="21"/>
                <w:szCs w:val="21"/>
                <w:lang w:eastAsia="zh-CN"/>
              </w:rPr>
              <w:t>2</w:t>
            </w:r>
            <w:r>
              <w:rPr>
                <w:rFonts w:ascii="Times New Roman" w:hAnsi="Times New Roman" w:cs="Times New Roman"/>
                <w:bCs/>
                <w:sz w:val="21"/>
                <w:szCs w:val="21"/>
                <w:lang w:eastAsia="zh-CN"/>
              </w:rPr>
              <w:t>000m</w:t>
            </w:r>
            <w:r>
              <w:rPr>
                <w:rFonts w:ascii="Times New Roman" w:hAnsi="Times New Roman" w:cs="Times New Roman"/>
                <w:bCs/>
                <w:sz w:val="21"/>
                <w:szCs w:val="21"/>
                <w:vertAlign w:val="superscript"/>
                <w:lang w:eastAsia="zh-CN"/>
              </w:rPr>
              <w:t>3</w:t>
            </w:r>
            <w:r>
              <w:rPr>
                <w:rFonts w:ascii="Times New Roman" w:hAnsi="Times New Roman" w:cs="Times New Roman"/>
                <w:bCs/>
                <w:sz w:val="21"/>
                <w:szCs w:val="21"/>
                <w:lang w:eastAsia="zh-CN"/>
              </w:rPr>
              <w:t>/h计，餐厅每天使用</w:t>
            </w:r>
            <w:r>
              <w:rPr>
                <w:rFonts w:hint="eastAsia" w:ascii="Times New Roman" w:hAnsi="Times New Roman" w:cs="Times New Roman"/>
                <w:bCs/>
                <w:sz w:val="21"/>
                <w:szCs w:val="21"/>
                <w:lang w:eastAsia="zh-CN"/>
              </w:rPr>
              <w:t>9</w:t>
            </w:r>
            <w:r>
              <w:rPr>
                <w:rFonts w:ascii="Times New Roman" w:hAnsi="Times New Roman" w:cs="Times New Roman"/>
                <w:bCs/>
                <w:sz w:val="21"/>
                <w:szCs w:val="21"/>
                <w:lang w:eastAsia="zh-CN"/>
              </w:rPr>
              <w:t>小时，</w:t>
            </w:r>
            <w:r>
              <w:rPr>
                <w:rFonts w:ascii="Times New Roman" w:hAnsi="Times New Roman" w:cs="Times New Roman"/>
                <w:sz w:val="21"/>
                <w:szCs w:val="21"/>
                <w:lang w:eastAsia="zh-CN"/>
              </w:rPr>
              <w:t>油烟废气经过油烟净化器进行治理后油烟排放浓度约为1.</w:t>
            </w:r>
            <w:r>
              <w:rPr>
                <w:rFonts w:hint="eastAsia" w:ascii="Times New Roman" w:hAnsi="Times New Roman" w:cs="Times New Roman"/>
                <w:sz w:val="21"/>
                <w:szCs w:val="21"/>
                <w:lang w:eastAsia="zh-CN"/>
              </w:rPr>
              <w:t>92</w:t>
            </w:r>
            <w:r>
              <w:rPr>
                <w:rFonts w:ascii="Times New Roman" w:hAnsi="Times New Roman" w:cs="Times New Roman"/>
                <w:sz w:val="21"/>
                <w:szCs w:val="21"/>
                <w:lang w:eastAsia="zh-CN"/>
              </w:rPr>
              <w:t>mg/m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，排放速率0.</w:t>
            </w:r>
            <w:r>
              <w:rPr>
                <w:rFonts w:hint="eastAsia" w:ascii="Times New Roman" w:hAnsi="Times New Roman" w:cs="Times New Roman"/>
                <w:sz w:val="21"/>
                <w:szCs w:val="21"/>
                <w:lang w:eastAsia="zh-CN"/>
              </w:rPr>
              <w:t>023</w:t>
            </w:r>
            <w:r>
              <w:rPr>
                <w:rFonts w:ascii="Times New Roman" w:hAnsi="Times New Roman" w:cs="Times New Roman"/>
                <w:sz w:val="21"/>
                <w:szCs w:val="21"/>
                <w:lang w:eastAsia="zh-CN"/>
              </w:rPr>
              <w:t>kg/h，排放量为0.0</w:t>
            </w:r>
            <w:r>
              <w:rPr>
                <w:rFonts w:hint="eastAsia" w:ascii="Times New Roman" w:hAnsi="Times New Roman" w:cs="Times New Roman"/>
                <w:sz w:val="21"/>
                <w:szCs w:val="21"/>
                <w:lang w:eastAsia="zh-CN"/>
              </w:rPr>
              <w:t>765</w:t>
            </w:r>
            <w:r>
              <w:rPr>
                <w:rFonts w:ascii="Times New Roman" w:hAnsi="Times New Roman" w:cs="Times New Roman"/>
                <w:sz w:val="21"/>
                <w:szCs w:val="21"/>
                <w:lang w:eastAsia="zh-CN"/>
              </w:rPr>
              <w:t>t/a，排放浓度满足《饮食业油烟排放标准（试行）》（GB18483-2001）中油烟排放浓度≤2.0mg/m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的要求。</w:t>
            </w:r>
          </w:p>
          <w:p w14:paraId="02F809AD">
            <w:pPr>
              <w:pStyle w:val="121"/>
              <w:spacing w:line="360" w:lineRule="auto"/>
              <w:ind w:firstLine="380" w:firstLineChars="200"/>
              <w:rPr>
                <w:rFonts w:ascii="Times New Roman" w:hAnsi="Times New Roman" w:cs="Times New Roman"/>
                <w:sz w:val="21"/>
                <w:szCs w:val="21"/>
                <w:lang w:eastAsia="zh-CN"/>
              </w:rPr>
            </w:pPr>
            <w:r>
              <w:rPr>
                <w:rFonts w:hint="eastAsia" w:ascii="Times New Roman" w:hAnsi="Times New Roman" w:cs="Times New Roman"/>
                <w:bCs/>
                <w:spacing w:val="-10"/>
                <w:sz w:val="21"/>
                <w:szCs w:val="21"/>
                <w:lang w:eastAsia="zh-CN"/>
              </w:rPr>
              <w:t>（4）</w:t>
            </w:r>
            <w:r>
              <w:rPr>
                <w:rFonts w:ascii="Times New Roman" w:hAnsi="Times New Roman" w:cs="Times New Roman"/>
                <w:bCs/>
                <w:spacing w:val="-10"/>
                <w:sz w:val="21"/>
                <w:szCs w:val="21"/>
                <w:lang w:eastAsia="zh-CN"/>
              </w:rPr>
              <w:t>汽车尾气</w:t>
            </w:r>
          </w:p>
          <w:p w14:paraId="0097E7BA">
            <w:pPr>
              <w:spacing w:line="360" w:lineRule="auto"/>
              <w:ind w:firstLine="380" w:firstLineChars="200"/>
              <w:rPr>
                <w:bCs/>
                <w:spacing w:val="-10"/>
                <w:szCs w:val="21"/>
              </w:rPr>
            </w:pPr>
            <w:r>
              <w:rPr>
                <w:bCs/>
                <w:spacing w:val="-10"/>
                <w:szCs w:val="21"/>
              </w:rPr>
              <w:t>本项目车辆进出时产生一定量的尾气，地面停车场位于开阔地带，通风性能较好，污染物易于扩散，同时运营期场区会进行绿化，可利用植物吸收净化废气，故本项目产生的汽车尾气对周围环境影响较小。</w:t>
            </w:r>
          </w:p>
          <w:bookmarkEnd w:id="41"/>
          <w:p w14:paraId="5EA16EB0">
            <w:pPr>
              <w:pStyle w:val="46"/>
              <w:rPr>
                <w:b/>
                <w:szCs w:val="21"/>
              </w:rPr>
            </w:pPr>
            <w:r>
              <w:rPr>
                <w:color w:val="000000" w:themeColor="text1"/>
                <w14:textFill>
                  <w14:solidFill>
                    <w14:schemeClr w14:val="tx1"/>
                  </w14:solidFill>
                </w14:textFill>
              </w:rPr>
              <w:t>表4-1</w:t>
            </w:r>
            <w:r>
              <w:rPr>
                <w:rFonts w:hint="eastAsia"/>
                <w:color w:val="000000" w:themeColor="text1"/>
                <w14:textFill>
                  <w14:solidFill>
                    <w14:schemeClr w14:val="tx1"/>
                  </w14:solidFill>
                </w14:textFill>
              </w:rPr>
              <w:t>7</w:t>
            </w:r>
            <w:r>
              <w:rPr>
                <w:color w:val="000000" w:themeColor="text1"/>
                <w14:textFill>
                  <w14:solidFill>
                    <w14:schemeClr w14:val="tx1"/>
                  </w14:solidFill>
                </w14:textFill>
              </w:rPr>
              <w:t xml:space="preserve"> 废气污染源源强核算结果及相关参数一览表</w:t>
            </w:r>
          </w:p>
          <w:tbl>
            <w:tblPr>
              <w:tblStyle w:val="19"/>
              <w:tblW w:w="7603"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55"/>
              <w:gridCol w:w="255"/>
              <w:gridCol w:w="256"/>
              <w:gridCol w:w="257"/>
              <w:gridCol w:w="256"/>
              <w:gridCol w:w="723"/>
              <w:gridCol w:w="707"/>
              <w:gridCol w:w="853"/>
              <w:gridCol w:w="569"/>
              <w:gridCol w:w="375"/>
              <w:gridCol w:w="396"/>
              <w:gridCol w:w="725"/>
              <w:gridCol w:w="709"/>
              <w:gridCol w:w="852"/>
              <w:gridCol w:w="415"/>
            </w:tblGrid>
            <w:tr w14:paraId="01C1BF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03" w:hRule="atLeast"/>
              </w:trPr>
              <w:tc>
                <w:tcPr>
                  <w:tcW w:w="259" w:type="dxa"/>
                  <w:vMerge w:val="restart"/>
                  <w:vAlign w:val="center"/>
                </w:tcPr>
                <w:p w14:paraId="7220358A">
                  <w:pPr>
                    <w:adjustRightInd w:val="0"/>
                    <w:snapToGrid w:val="0"/>
                    <w:ind w:left="-105" w:leftChars="-50" w:right="-105" w:rightChars="-50"/>
                    <w:jc w:val="center"/>
                    <w:rPr>
                      <w:sz w:val="18"/>
                      <w:szCs w:val="18"/>
                    </w:rPr>
                  </w:pPr>
                  <w:r>
                    <w:rPr>
                      <w:sz w:val="18"/>
                      <w:szCs w:val="18"/>
                    </w:rPr>
                    <w:t>工序/生产线</w:t>
                  </w:r>
                </w:p>
              </w:tc>
              <w:tc>
                <w:tcPr>
                  <w:tcW w:w="259" w:type="dxa"/>
                  <w:vMerge w:val="restart"/>
                  <w:vAlign w:val="center"/>
                </w:tcPr>
                <w:p w14:paraId="58B2D389">
                  <w:pPr>
                    <w:adjustRightInd w:val="0"/>
                    <w:snapToGrid w:val="0"/>
                    <w:ind w:left="-105" w:leftChars="-50" w:right="-105" w:rightChars="-50"/>
                    <w:jc w:val="center"/>
                    <w:rPr>
                      <w:sz w:val="18"/>
                      <w:szCs w:val="18"/>
                    </w:rPr>
                  </w:pPr>
                  <w:r>
                    <w:rPr>
                      <w:sz w:val="18"/>
                      <w:szCs w:val="18"/>
                    </w:rPr>
                    <w:t>装置</w:t>
                  </w:r>
                </w:p>
              </w:tc>
              <w:tc>
                <w:tcPr>
                  <w:tcW w:w="259" w:type="dxa"/>
                  <w:vMerge w:val="restart"/>
                  <w:vAlign w:val="center"/>
                </w:tcPr>
                <w:p w14:paraId="5F6A17E4">
                  <w:pPr>
                    <w:adjustRightInd w:val="0"/>
                    <w:snapToGrid w:val="0"/>
                    <w:ind w:left="-105" w:leftChars="-50" w:right="-105" w:rightChars="-50"/>
                    <w:jc w:val="center"/>
                    <w:rPr>
                      <w:sz w:val="18"/>
                      <w:szCs w:val="18"/>
                    </w:rPr>
                  </w:pPr>
                  <w:r>
                    <w:rPr>
                      <w:sz w:val="18"/>
                      <w:szCs w:val="18"/>
                    </w:rPr>
                    <w:t>污染源</w:t>
                  </w:r>
                </w:p>
              </w:tc>
              <w:tc>
                <w:tcPr>
                  <w:tcW w:w="261" w:type="dxa"/>
                  <w:vMerge w:val="restart"/>
                  <w:vAlign w:val="center"/>
                </w:tcPr>
                <w:p w14:paraId="04237FF7">
                  <w:pPr>
                    <w:adjustRightInd w:val="0"/>
                    <w:snapToGrid w:val="0"/>
                    <w:ind w:left="-105" w:leftChars="-50" w:right="-105" w:rightChars="-50"/>
                    <w:jc w:val="center"/>
                    <w:rPr>
                      <w:sz w:val="18"/>
                      <w:szCs w:val="18"/>
                    </w:rPr>
                  </w:pPr>
                  <w:r>
                    <w:rPr>
                      <w:sz w:val="18"/>
                      <w:szCs w:val="18"/>
                    </w:rPr>
                    <w:t>污染物</w:t>
                  </w:r>
                </w:p>
              </w:tc>
              <w:tc>
                <w:tcPr>
                  <w:tcW w:w="2547" w:type="dxa"/>
                  <w:gridSpan w:val="4"/>
                  <w:vAlign w:val="center"/>
                </w:tcPr>
                <w:p w14:paraId="60F0DD0D">
                  <w:pPr>
                    <w:adjustRightInd w:val="0"/>
                    <w:snapToGrid w:val="0"/>
                    <w:ind w:left="-105" w:leftChars="-50" w:right="-105" w:rightChars="-50"/>
                    <w:jc w:val="center"/>
                    <w:rPr>
                      <w:sz w:val="18"/>
                      <w:szCs w:val="18"/>
                    </w:rPr>
                  </w:pPr>
                  <w:r>
                    <w:rPr>
                      <w:sz w:val="18"/>
                      <w:szCs w:val="18"/>
                    </w:rPr>
                    <w:t>污染物产生</w:t>
                  </w:r>
                </w:p>
              </w:tc>
              <w:tc>
                <w:tcPr>
                  <w:tcW w:w="952" w:type="dxa"/>
                  <w:gridSpan w:val="2"/>
                  <w:vAlign w:val="center"/>
                </w:tcPr>
                <w:p w14:paraId="135D3004">
                  <w:pPr>
                    <w:adjustRightInd w:val="0"/>
                    <w:snapToGrid w:val="0"/>
                    <w:ind w:left="-105" w:leftChars="-50" w:right="-105" w:rightChars="-50"/>
                    <w:jc w:val="center"/>
                    <w:rPr>
                      <w:sz w:val="18"/>
                      <w:szCs w:val="18"/>
                    </w:rPr>
                  </w:pPr>
                  <w:r>
                    <w:rPr>
                      <w:sz w:val="18"/>
                      <w:szCs w:val="18"/>
                    </w:rPr>
                    <w:t>治理措施</w:t>
                  </w:r>
                </w:p>
              </w:tc>
              <w:tc>
                <w:tcPr>
                  <w:tcW w:w="2646" w:type="dxa"/>
                  <w:gridSpan w:val="4"/>
                  <w:vAlign w:val="center"/>
                </w:tcPr>
                <w:p w14:paraId="7907B954">
                  <w:pPr>
                    <w:adjustRightInd w:val="0"/>
                    <w:snapToGrid w:val="0"/>
                    <w:ind w:left="-105" w:leftChars="-50" w:right="-105" w:rightChars="-50"/>
                    <w:jc w:val="center"/>
                    <w:rPr>
                      <w:sz w:val="18"/>
                      <w:szCs w:val="18"/>
                    </w:rPr>
                  </w:pPr>
                  <w:r>
                    <w:rPr>
                      <w:sz w:val="18"/>
                      <w:szCs w:val="18"/>
                    </w:rPr>
                    <w:t>污染物排放</w:t>
                  </w:r>
                </w:p>
              </w:tc>
              <w:tc>
                <w:tcPr>
                  <w:tcW w:w="420" w:type="dxa"/>
                  <w:vMerge w:val="restart"/>
                  <w:vAlign w:val="center"/>
                </w:tcPr>
                <w:p w14:paraId="385DCE57">
                  <w:pPr>
                    <w:adjustRightInd w:val="0"/>
                    <w:snapToGrid w:val="0"/>
                    <w:ind w:left="-105" w:leftChars="-50" w:right="-105" w:rightChars="-50"/>
                    <w:jc w:val="center"/>
                    <w:rPr>
                      <w:sz w:val="18"/>
                      <w:szCs w:val="18"/>
                    </w:rPr>
                  </w:pPr>
                  <w:r>
                    <w:rPr>
                      <w:sz w:val="18"/>
                      <w:szCs w:val="18"/>
                    </w:rPr>
                    <w:t>排放时间/h</w:t>
                  </w:r>
                </w:p>
              </w:tc>
            </w:tr>
            <w:tr w14:paraId="34A2CF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 w:hRule="atLeast"/>
              </w:trPr>
              <w:tc>
                <w:tcPr>
                  <w:tcW w:w="259" w:type="dxa"/>
                  <w:vMerge w:val="continue"/>
                  <w:vAlign w:val="center"/>
                </w:tcPr>
                <w:p w14:paraId="00CE9243">
                  <w:pPr>
                    <w:widowControl/>
                    <w:ind w:left="-105" w:leftChars="-50" w:right="-105" w:rightChars="-50"/>
                    <w:jc w:val="center"/>
                    <w:rPr>
                      <w:sz w:val="18"/>
                      <w:szCs w:val="18"/>
                    </w:rPr>
                  </w:pPr>
                </w:p>
              </w:tc>
              <w:tc>
                <w:tcPr>
                  <w:tcW w:w="259" w:type="dxa"/>
                  <w:vMerge w:val="continue"/>
                  <w:vAlign w:val="center"/>
                </w:tcPr>
                <w:p w14:paraId="0FCDC114">
                  <w:pPr>
                    <w:widowControl/>
                    <w:ind w:left="-105" w:leftChars="-50" w:right="-105" w:rightChars="-50"/>
                    <w:jc w:val="center"/>
                    <w:rPr>
                      <w:sz w:val="18"/>
                      <w:szCs w:val="18"/>
                    </w:rPr>
                  </w:pPr>
                </w:p>
              </w:tc>
              <w:tc>
                <w:tcPr>
                  <w:tcW w:w="259" w:type="dxa"/>
                  <w:vMerge w:val="continue"/>
                  <w:vAlign w:val="center"/>
                </w:tcPr>
                <w:p w14:paraId="6374D13B">
                  <w:pPr>
                    <w:widowControl/>
                    <w:ind w:left="-105" w:leftChars="-50" w:right="-105" w:rightChars="-50"/>
                    <w:jc w:val="center"/>
                    <w:rPr>
                      <w:sz w:val="18"/>
                      <w:szCs w:val="18"/>
                    </w:rPr>
                  </w:pPr>
                </w:p>
              </w:tc>
              <w:tc>
                <w:tcPr>
                  <w:tcW w:w="261" w:type="dxa"/>
                  <w:vMerge w:val="continue"/>
                  <w:vAlign w:val="center"/>
                </w:tcPr>
                <w:p w14:paraId="138BC1A0">
                  <w:pPr>
                    <w:widowControl/>
                    <w:ind w:left="-105" w:leftChars="-50" w:right="-105" w:rightChars="-50"/>
                    <w:jc w:val="center"/>
                    <w:rPr>
                      <w:sz w:val="18"/>
                      <w:szCs w:val="18"/>
                    </w:rPr>
                  </w:pPr>
                </w:p>
              </w:tc>
              <w:tc>
                <w:tcPr>
                  <w:tcW w:w="259" w:type="dxa"/>
                  <w:vAlign w:val="center"/>
                </w:tcPr>
                <w:p w14:paraId="738FC01C">
                  <w:pPr>
                    <w:adjustRightInd w:val="0"/>
                    <w:snapToGrid w:val="0"/>
                    <w:ind w:left="-105" w:leftChars="-50" w:right="-105" w:rightChars="-50"/>
                    <w:jc w:val="center"/>
                    <w:rPr>
                      <w:sz w:val="18"/>
                      <w:szCs w:val="18"/>
                    </w:rPr>
                  </w:pPr>
                  <w:r>
                    <w:rPr>
                      <w:sz w:val="18"/>
                      <w:szCs w:val="18"/>
                    </w:rPr>
                    <w:t>核算方法</w:t>
                  </w:r>
                </w:p>
              </w:tc>
              <w:tc>
                <w:tcPr>
                  <w:tcW w:w="725" w:type="dxa"/>
                  <w:vAlign w:val="center"/>
                </w:tcPr>
                <w:p w14:paraId="6CC9D9B8">
                  <w:pPr>
                    <w:adjustRightInd w:val="0"/>
                    <w:snapToGrid w:val="0"/>
                    <w:ind w:left="-105" w:leftChars="-50" w:right="-105" w:rightChars="-50"/>
                    <w:jc w:val="center"/>
                    <w:rPr>
                      <w:sz w:val="18"/>
                      <w:szCs w:val="18"/>
                    </w:rPr>
                  </w:pPr>
                  <w:r>
                    <w:rPr>
                      <w:sz w:val="18"/>
                      <w:szCs w:val="18"/>
                    </w:rPr>
                    <w:t>废气产生量（m</w:t>
                  </w:r>
                  <w:r>
                    <w:rPr>
                      <w:sz w:val="18"/>
                      <w:szCs w:val="18"/>
                      <w:vertAlign w:val="superscript"/>
                    </w:rPr>
                    <w:t>3</w:t>
                  </w:r>
                  <w:r>
                    <w:rPr>
                      <w:sz w:val="18"/>
                      <w:szCs w:val="18"/>
                    </w:rPr>
                    <w:t>/h）</w:t>
                  </w:r>
                </w:p>
              </w:tc>
              <w:tc>
                <w:tcPr>
                  <w:tcW w:w="709" w:type="dxa"/>
                  <w:vAlign w:val="center"/>
                </w:tcPr>
                <w:p w14:paraId="16B2693F">
                  <w:pPr>
                    <w:adjustRightInd w:val="0"/>
                    <w:snapToGrid w:val="0"/>
                    <w:ind w:left="-105" w:leftChars="-50" w:right="-105" w:rightChars="-50"/>
                    <w:jc w:val="center"/>
                    <w:rPr>
                      <w:sz w:val="18"/>
                      <w:szCs w:val="18"/>
                    </w:rPr>
                  </w:pPr>
                  <w:r>
                    <w:rPr>
                      <w:sz w:val="18"/>
                      <w:szCs w:val="18"/>
                    </w:rPr>
                    <w:t>产生量/（kg/h）</w:t>
                  </w:r>
                </w:p>
              </w:tc>
              <w:tc>
                <w:tcPr>
                  <w:tcW w:w="851" w:type="dxa"/>
                  <w:vAlign w:val="center"/>
                </w:tcPr>
                <w:p w14:paraId="557C6409">
                  <w:pPr>
                    <w:adjustRightInd w:val="0"/>
                    <w:snapToGrid w:val="0"/>
                    <w:ind w:left="-105" w:leftChars="-50" w:right="-105" w:rightChars="-50"/>
                    <w:jc w:val="center"/>
                    <w:rPr>
                      <w:sz w:val="18"/>
                      <w:szCs w:val="18"/>
                    </w:rPr>
                  </w:pPr>
                  <w:r>
                    <w:rPr>
                      <w:sz w:val="18"/>
                      <w:szCs w:val="18"/>
                    </w:rPr>
                    <w:t>产生浓度（mg/m</w:t>
                  </w:r>
                  <w:r>
                    <w:rPr>
                      <w:sz w:val="18"/>
                      <w:szCs w:val="18"/>
                      <w:vertAlign w:val="superscript"/>
                    </w:rPr>
                    <w:t>3</w:t>
                  </w:r>
                  <w:r>
                    <w:rPr>
                      <w:sz w:val="18"/>
                      <w:szCs w:val="18"/>
                    </w:rPr>
                    <w:t>）</w:t>
                  </w:r>
                </w:p>
              </w:tc>
              <w:tc>
                <w:tcPr>
                  <w:tcW w:w="572" w:type="dxa"/>
                  <w:vAlign w:val="center"/>
                </w:tcPr>
                <w:p w14:paraId="2016986B">
                  <w:pPr>
                    <w:adjustRightInd w:val="0"/>
                    <w:snapToGrid w:val="0"/>
                    <w:ind w:left="-105" w:leftChars="-50" w:right="-105" w:rightChars="-50"/>
                    <w:jc w:val="center"/>
                    <w:rPr>
                      <w:sz w:val="18"/>
                      <w:szCs w:val="18"/>
                    </w:rPr>
                  </w:pPr>
                  <w:r>
                    <w:rPr>
                      <w:sz w:val="18"/>
                      <w:szCs w:val="18"/>
                    </w:rPr>
                    <w:t>工艺</w:t>
                  </w:r>
                </w:p>
              </w:tc>
              <w:tc>
                <w:tcPr>
                  <w:tcW w:w="380" w:type="dxa"/>
                  <w:vAlign w:val="center"/>
                </w:tcPr>
                <w:p w14:paraId="1DE210F9">
                  <w:pPr>
                    <w:adjustRightInd w:val="0"/>
                    <w:snapToGrid w:val="0"/>
                    <w:ind w:left="-105" w:leftChars="-50" w:right="-105" w:rightChars="-50"/>
                    <w:jc w:val="center"/>
                    <w:rPr>
                      <w:sz w:val="18"/>
                      <w:szCs w:val="18"/>
                    </w:rPr>
                  </w:pPr>
                  <w:r>
                    <w:rPr>
                      <w:sz w:val="18"/>
                      <w:szCs w:val="18"/>
                    </w:rPr>
                    <w:t>效率/%</w:t>
                  </w:r>
                </w:p>
              </w:tc>
              <w:tc>
                <w:tcPr>
                  <w:tcW w:w="355" w:type="dxa"/>
                  <w:vAlign w:val="center"/>
                </w:tcPr>
                <w:p w14:paraId="04B1DA9B">
                  <w:pPr>
                    <w:adjustRightInd w:val="0"/>
                    <w:snapToGrid w:val="0"/>
                    <w:ind w:left="-105" w:leftChars="-50" w:right="-105" w:rightChars="-50"/>
                    <w:jc w:val="center"/>
                    <w:rPr>
                      <w:sz w:val="18"/>
                      <w:szCs w:val="18"/>
                    </w:rPr>
                  </w:pPr>
                  <w:r>
                    <w:rPr>
                      <w:sz w:val="18"/>
                      <w:szCs w:val="18"/>
                    </w:rPr>
                    <w:t>核算方法</w:t>
                  </w:r>
                </w:p>
              </w:tc>
              <w:tc>
                <w:tcPr>
                  <w:tcW w:w="727" w:type="dxa"/>
                  <w:vAlign w:val="center"/>
                </w:tcPr>
                <w:p w14:paraId="361C1DFD">
                  <w:pPr>
                    <w:adjustRightInd w:val="0"/>
                    <w:snapToGrid w:val="0"/>
                    <w:ind w:left="-105" w:leftChars="-50" w:right="-105" w:rightChars="-50"/>
                    <w:jc w:val="center"/>
                    <w:rPr>
                      <w:sz w:val="18"/>
                      <w:szCs w:val="18"/>
                    </w:rPr>
                  </w:pPr>
                  <w:r>
                    <w:rPr>
                      <w:sz w:val="18"/>
                      <w:szCs w:val="18"/>
                    </w:rPr>
                    <w:t>废气排放量（m</w:t>
                  </w:r>
                  <w:r>
                    <w:rPr>
                      <w:sz w:val="18"/>
                      <w:szCs w:val="18"/>
                      <w:vertAlign w:val="superscript"/>
                    </w:rPr>
                    <w:t>3</w:t>
                  </w:r>
                  <w:r>
                    <w:rPr>
                      <w:sz w:val="18"/>
                      <w:szCs w:val="18"/>
                    </w:rPr>
                    <w:t>/h）</w:t>
                  </w:r>
                </w:p>
              </w:tc>
              <w:tc>
                <w:tcPr>
                  <w:tcW w:w="711" w:type="dxa"/>
                  <w:vAlign w:val="center"/>
                </w:tcPr>
                <w:p w14:paraId="6FB736CB">
                  <w:pPr>
                    <w:adjustRightInd w:val="0"/>
                    <w:snapToGrid w:val="0"/>
                    <w:ind w:left="-105" w:leftChars="-50" w:right="-105" w:rightChars="-50"/>
                    <w:jc w:val="center"/>
                    <w:rPr>
                      <w:sz w:val="18"/>
                      <w:szCs w:val="18"/>
                    </w:rPr>
                  </w:pPr>
                  <w:r>
                    <w:rPr>
                      <w:sz w:val="18"/>
                      <w:szCs w:val="18"/>
                    </w:rPr>
                    <w:t>排放量/（kg/h）</w:t>
                  </w:r>
                </w:p>
              </w:tc>
              <w:tc>
                <w:tcPr>
                  <w:tcW w:w="851" w:type="dxa"/>
                  <w:vAlign w:val="center"/>
                </w:tcPr>
                <w:p w14:paraId="62BDF950">
                  <w:pPr>
                    <w:adjustRightInd w:val="0"/>
                    <w:snapToGrid w:val="0"/>
                    <w:ind w:left="-105" w:leftChars="-50" w:right="-105" w:rightChars="-50"/>
                    <w:jc w:val="center"/>
                    <w:rPr>
                      <w:sz w:val="18"/>
                      <w:szCs w:val="18"/>
                    </w:rPr>
                  </w:pPr>
                  <w:r>
                    <w:rPr>
                      <w:sz w:val="18"/>
                      <w:szCs w:val="18"/>
                    </w:rPr>
                    <w:t>排放浓度（mg/m</w:t>
                  </w:r>
                  <w:r>
                    <w:rPr>
                      <w:sz w:val="18"/>
                      <w:szCs w:val="18"/>
                      <w:vertAlign w:val="superscript"/>
                    </w:rPr>
                    <w:t>3</w:t>
                  </w:r>
                  <w:r>
                    <w:rPr>
                      <w:sz w:val="18"/>
                      <w:szCs w:val="18"/>
                    </w:rPr>
                    <w:t>）</w:t>
                  </w:r>
                </w:p>
              </w:tc>
              <w:tc>
                <w:tcPr>
                  <w:tcW w:w="420" w:type="dxa"/>
                  <w:vMerge w:val="continue"/>
                  <w:vAlign w:val="center"/>
                </w:tcPr>
                <w:p w14:paraId="2D125DBC">
                  <w:pPr>
                    <w:widowControl/>
                    <w:ind w:left="-105" w:leftChars="-50" w:right="-105" w:rightChars="-50"/>
                    <w:jc w:val="center"/>
                    <w:rPr>
                      <w:sz w:val="18"/>
                      <w:szCs w:val="18"/>
                    </w:rPr>
                  </w:pPr>
                </w:p>
              </w:tc>
            </w:tr>
            <w:tr w14:paraId="507CDD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2" w:hRule="atLeast"/>
              </w:trPr>
              <w:tc>
                <w:tcPr>
                  <w:tcW w:w="259" w:type="dxa"/>
                  <w:vMerge w:val="restart"/>
                  <w:vAlign w:val="center"/>
                </w:tcPr>
                <w:p w14:paraId="650B2239">
                  <w:pPr>
                    <w:adjustRightInd w:val="0"/>
                    <w:snapToGrid w:val="0"/>
                    <w:ind w:left="-105" w:leftChars="-50" w:right="-105" w:rightChars="-50"/>
                    <w:jc w:val="center"/>
                    <w:rPr>
                      <w:sz w:val="18"/>
                      <w:szCs w:val="18"/>
                    </w:rPr>
                  </w:pPr>
                  <w:r>
                    <w:rPr>
                      <w:sz w:val="18"/>
                      <w:szCs w:val="18"/>
                    </w:rPr>
                    <w:t>锅炉</w:t>
                  </w:r>
                </w:p>
              </w:tc>
              <w:tc>
                <w:tcPr>
                  <w:tcW w:w="259" w:type="dxa"/>
                  <w:vMerge w:val="restart"/>
                  <w:vAlign w:val="center"/>
                </w:tcPr>
                <w:p w14:paraId="772CBF5E">
                  <w:pPr>
                    <w:adjustRightInd w:val="0"/>
                    <w:snapToGrid w:val="0"/>
                    <w:ind w:left="-105" w:leftChars="-50" w:right="-105" w:rightChars="-50"/>
                    <w:jc w:val="center"/>
                    <w:rPr>
                      <w:sz w:val="18"/>
                      <w:szCs w:val="18"/>
                    </w:rPr>
                  </w:pPr>
                  <w:r>
                    <w:rPr>
                      <w:sz w:val="18"/>
                      <w:szCs w:val="18"/>
                    </w:rPr>
                    <w:t>燃生物质热水锅炉</w:t>
                  </w:r>
                </w:p>
              </w:tc>
              <w:tc>
                <w:tcPr>
                  <w:tcW w:w="259" w:type="dxa"/>
                  <w:vMerge w:val="restart"/>
                  <w:vAlign w:val="center"/>
                </w:tcPr>
                <w:p w14:paraId="0AB6711D">
                  <w:pPr>
                    <w:adjustRightInd w:val="0"/>
                    <w:snapToGrid w:val="0"/>
                    <w:ind w:left="-105" w:leftChars="-50" w:right="-105" w:rightChars="-50"/>
                    <w:jc w:val="center"/>
                    <w:rPr>
                      <w:sz w:val="18"/>
                      <w:szCs w:val="18"/>
                    </w:rPr>
                  </w:pPr>
                  <w:r>
                    <w:rPr>
                      <w:sz w:val="18"/>
                      <w:szCs w:val="18"/>
                    </w:rPr>
                    <w:t>有组织排放</w:t>
                  </w:r>
                </w:p>
              </w:tc>
              <w:tc>
                <w:tcPr>
                  <w:tcW w:w="261" w:type="dxa"/>
                  <w:vAlign w:val="center"/>
                </w:tcPr>
                <w:p w14:paraId="141E11AC">
                  <w:pPr>
                    <w:adjustRightInd w:val="0"/>
                    <w:snapToGrid w:val="0"/>
                    <w:ind w:left="-105" w:leftChars="-50" w:right="-105" w:rightChars="-50"/>
                    <w:jc w:val="center"/>
                    <w:rPr>
                      <w:sz w:val="18"/>
                      <w:szCs w:val="18"/>
                    </w:rPr>
                  </w:pPr>
                  <w:r>
                    <w:rPr>
                      <w:sz w:val="18"/>
                      <w:szCs w:val="18"/>
                    </w:rPr>
                    <w:t>颗粒物</w:t>
                  </w:r>
                </w:p>
              </w:tc>
              <w:tc>
                <w:tcPr>
                  <w:tcW w:w="259" w:type="dxa"/>
                  <w:vMerge w:val="restart"/>
                  <w:vAlign w:val="center"/>
                </w:tcPr>
                <w:p w14:paraId="6098A66F">
                  <w:pPr>
                    <w:adjustRightInd w:val="0"/>
                    <w:snapToGrid w:val="0"/>
                    <w:ind w:left="-105" w:leftChars="-50" w:right="-105" w:rightChars="-50"/>
                    <w:jc w:val="center"/>
                    <w:rPr>
                      <w:sz w:val="18"/>
                      <w:szCs w:val="18"/>
                    </w:rPr>
                  </w:pPr>
                  <w:bookmarkStart w:id="44" w:name="OLE_LINK61"/>
                  <w:r>
                    <w:rPr>
                      <w:sz w:val="18"/>
                      <w:szCs w:val="18"/>
                    </w:rPr>
                    <w:t>物料衡算法</w:t>
                  </w:r>
                  <w:bookmarkEnd w:id="44"/>
                </w:p>
              </w:tc>
              <w:tc>
                <w:tcPr>
                  <w:tcW w:w="725" w:type="dxa"/>
                  <w:vMerge w:val="restart"/>
                  <w:vAlign w:val="center"/>
                </w:tcPr>
                <w:p w14:paraId="5B35DDF1">
                  <w:pPr>
                    <w:pStyle w:val="7"/>
                    <w:ind w:firstLine="0" w:firstLineChars="0"/>
                    <w:rPr>
                      <w:rFonts w:ascii="Times New Roman" w:hAnsi="Times New Roman"/>
                      <w:sz w:val="18"/>
                      <w:szCs w:val="18"/>
                    </w:rPr>
                  </w:pPr>
                  <w:r>
                    <w:rPr>
                      <w:rFonts w:ascii="Times New Roman" w:hAnsi="Times New Roman"/>
                      <w:spacing w:val="-11"/>
                      <w:sz w:val="18"/>
                      <w:szCs w:val="18"/>
                    </w:rPr>
                    <w:t>6375.2</w:t>
                  </w:r>
                </w:p>
              </w:tc>
              <w:tc>
                <w:tcPr>
                  <w:tcW w:w="709" w:type="dxa"/>
                  <w:vAlign w:val="center"/>
                </w:tcPr>
                <w:p w14:paraId="3C905CCA">
                  <w:pPr>
                    <w:pStyle w:val="7"/>
                    <w:ind w:firstLine="0" w:firstLineChars="0"/>
                    <w:jc w:val="center"/>
                    <w:rPr>
                      <w:rFonts w:ascii="Times New Roman" w:hAnsi="Times New Roman"/>
                      <w:spacing w:val="-11"/>
                      <w:sz w:val="18"/>
                      <w:szCs w:val="18"/>
                    </w:rPr>
                  </w:pPr>
                  <w:r>
                    <w:rPr>
                      <w:rFonts w:ascii="Times New Roman" w:hAnsi="Times New Roman"/>
                      <w:spacing w:val="-11"/>
                      <w:sz w:val="18"/>
                      <w:szCs w:val="18"/>
                    </w:rPr>
                    <w:t>36.36</w:t>
                  </w:r>
                </w:p>
              </w:tc>
              <w:tc>
                <w:tcPr>
                  <w:tcW w:w="851" w:type="dxa"/>
                  <w:vAlign w:val="center"/>
                </w:tcPr>
                <w:p w14:paraId="09447CFD">
                  <w:pPr>
                    <w:adjustRightInd w:val="0"/>
                    <w:snapToGrid w:val="0"/>
                    <w:ind w:left="-105" w:leftChars="-50" w:right="-105" w:rightChars="-50"/>
                    <w:jc w:val="center"/>
                    <w:rPr>
                      <w:sz w:val="18"/>
                      <w:szCs w:val="18"/>
                    </w:rPr>
                  </w:pPr>
                  <w:r>
                    <w:rPr>
                      <w:sz w:val="18"/>
                      <w:szCs w:val="18"/>
                    </w:rPr>
                    <w:t>6745</w:t>
                  </w:r>
                </w:p>
              </w:tc>
              <w:tc>
                <w:tcPr>
                  <w:tcW w:w="572" w:type="dxa"/>
                  <w:vMerge w:val="restart"/>
                  <w:vAlign w:val="center"/>
                </w:tcPr>
                <w:p w14:paraId="237BB3F4">
                  <w:pPr>
                    <w:adjustRightInd w:val="0"/>
                    <w:snapToGrid w:val="0"/>
                    <w:ind w:left="-105" w:leftChars="-50" w:right="-105" w:rightChars="-50"/>
                    <w:jc w:val="center"/>
                    <w:rPr>
                      <w:sz w:val="18"/>
                      <w:szCs w:val="18"/>
                    </w:rPr>
                  </w:pPr>
                  <w:r>
                    <w:rPr>
                      <w:rFonts w:hint="eastAsia"/>
                      <w:sz w:val="18"/>
                      <w:szCs w:val="18"/>
                    </w:rPr>
                    <w:t>多管</w:t>
                  </w:r>
                  <w:r>
                    <w:rPr>
                      <w:sz w:val="18"/>
                      <w:szCs w:val="18"/>
                    </w:rPr>
                    <w:t>旋风+布袋除尘器+低氮燃烧，排入一根3</w:t>
                  </w:r>
                  <w:r>
                    <w:rPr>
                      <w:rFonts w:hint="eastAsia"/>
                      <w:sz w:val="18"/>
                      <w:szCs w:val="18"/>
                    </w:rPr>
                    <w:t>5</w:t>
                  </w:r>
                  <w:r>
                    <w:rPr>
                      <w:sz w:val="18"/>
                      <w:szCs w:val="18"/>
                    </w:rPr>
                    <w:t>m高烟囱DA001排放</w:t>
                  </w:r>
                </w:p>
              </w:tc>
              <w:tc>
                <w:tcPr>
                  <w:tcW w:w="380" w:type="dxa"/>
                  <w:vAlign w:val="center"/>
                </w:tcPr>
                <w:p w14:paraId="5BB35A66">
                  <w:pPr>
                    <w:adjustRightInd w:val="0"/>
                    <w:snapToGrid w:val="0"/>
                    <w:ind w:left="-105" w:leftChars="-50" w:right="-105" w:rightChars="-50"/>
                    <w:jc w:val="center"/>
                    <w:rPr>
                      <w:sz w:val="18"/>
                      <w:szCs w:val="18"/>
                    </w:rPr>
                  </w:pPr>
                  <w:r>
                    <w:rPr>
                      <w:sz w:val="18"/>
                      <w:szCs w:val="18"/>
                    </w:rPr>
                    <w:t>99.7</w:t>
                  </w:r>
                </w:p>
              </w:tc>
              <w:tc>
                <w:tcPr>
                  <w:tcW w:w="355" w:type="dxa"/>
                  <w:vMerge w:val="restart"/>
                  <w:vAlign w:val="center"/>
                </w:tcPr>
                <w:p w14:paraId="0A9FF531">
                  <w:pPr>
                    <w:adjustRightInd w:val="0"/>
                    <w:snapToGrid w:val="0"/>
                    <w:ind w:left="-105" w:leftChars="-50" w:right="-105" w:rightChars="-50"/>
                    <w:jc w:val="center"/>
                    <w:rPr>
                      <w:sz w:val="18"/>
                      <w:szCs w:val="18"/>
                    </w:rPr>
                  </w:pPr>
                  <w:r>
                    <w:rPr>
                      <w:sz w:val="18"/>
                      <w:szCs w:val="18"/>
                    </w:rPr>
                    <w:t>物料衡算法</w:t>
                  </w:r>
                </w:p>
              </w:tc>
              <w:tc>
                <w:tcPr>
                  <w:tcW w:w="727" w:type="dxa"/>
                  <w:vMerge w:val="restart"/>
                  <w:vAlign w:val="center"/>
                </w:tcPr>
                <w:p w14:paraId="358E0F20">
                  <w:pPr>
                    <w:pStyle w:val="7"/>
                    <w:ind w:firstLine="0" w:firstLineChars="0"/>
                    <w:rPr>
                      <w:rFonts w:ascii="Times New Roman" w:hAnsi="Times New Roman"/>
                      <w:sz w:val="18"/>
                      <w:szCs w:val="18"/>
                    </w:rPr>
                  </w:pPr>
                  <w:r>
                    <w:rPr>
                      <w:rFonts w:ascii="Times New Roman" w:hAnsi="Times New Roman"/>
                      <w:spacing w:val="-11"/>
                      <w:sz w:val="18"/>
                      <w:szCs w:val="18"/>
                    </w:rPr>
                    <w:t>6375.2</w:t>
                  </w:r>
                </w:p>
              </w:tc>
              <w:tc>
                <w:tcPr>
                  <w:tcW w:w="711" w:type="dxa"/>
                  <w:vAlign w:val="center"/>
                </w:tcPr>
                <w:p w14:paraId="25E70C8D">
                  <w:pPr>
                    <w:pStyle w:val="7"/>
                    <w:ind w:firstLine="0" w:firstLineChars="0"/>
                    <w:rPr>
                      <w:rFonts w:ascii="Times New Roman" w:hAnsi="Times New Roman"/>
                      <w:spacing w:val="-11"/>
                      <w:sz w:val="18"/>
                      <w:szCs w:val="18"/>
                    </w:rPr>
                  </w:pPr>
                  <w:r>
                    <w:rPr>
                      <w:rFonts w:ascii="Times New Roman" w:hAnsi="Times New Roman"/>
                      <w:spacing w:val="-11"/>
                      <w:sz w:val="18"/>
                      <w:szCs w:val="18"/>
                    </w:rPr>
                    <w:t>0.11</w:t>
                  </w:r>
                </w:p>
              </w:tc>
              <w:tc>
                <w:tcPr>
                  <w:tcW w:w="851" w:type="dxa"/>
                  <w:vAlign w:val="center"/>
                </w:tcPr>
                <w:p w14:paraId="2BD95377">
                  <w:pPr>
                    <w:adjustRightInd w:val="0"/>
                    <w:snapToGrid w:val="0"/>
                    <w:ind w:right="-105" w:rightChars="-50"/>
                    <w:rPr>
                      <w:sz w:val="18"/>
                      <w:szCs w:val="18"/>
                    </w:rPr>
                  </w:pPr>
                  <w:r>
                    <w:rPr>
                      <w:sz w:val="18"/>
                      <w:szCs w:val="18"/>
                    </w:rPr>
                    <w:t>17.25</w:t>
                  </w:r>
                </w:p>
              </w:tc>
              <w:tc>
                <w:tcPr>
                  <w:tcW w:w="420" w:type="dxa"/>
                  <w:vMerge w:val="restart"/>
                  <w:vAlign w:val="center"/>
                </w:tcPr>
                <w:p w14:paraId="4B63D8B1">
                  <w:pPr>
                    <w:adjustRightInd w:val="0"/>
                    <w:snapToGrid w:val="0"/>
                    <w:ind w:left="-105" w:leftChars="-50" w:right="-105" w:rightChars="-50"/>
                    <w:jc w:val="center"/>
                    <w:rPr>
                      <w:sz w:val="18"/>
                      <w:szCs w:val="18"/>
                    </w:rPr>
                  </w:pPr>
                  <w:r>
                    <w:rPr>
                      <w:rFonts w:hint="eastAsia"/>
                      <w:sz w:val="18"/>
                      <w:szCs w:val="18"/>
                    </w:rPr>
                    <w:t>220</w:t>
                  </w:r>
                  <w:r>
                    <w:rPr>
                      <w:sz w:val="18"/>
                      <w:szCs w:val="18"/>
                    </w:rPr>
                    <w:t>0</w:t>
                  </w:r>
                </w:p>
              </w:tc>
            </w:tr>
            <w:tr w14:paraId="78B483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8" w:hRule="atLeast"/>
              </w:trPr>
              <w:tc>
                <w:tcPr>
                  <w:tcW w:w="259" w:type="dxa"/>
                  <w:vMerge w:val="continue"/>
                  <w:vAlign w:val="center"/>
                </w:tcPr>
                <w:p w14:paraId="6151652E">
                  <w:pPr>
                    <w:adjustRightInd w:val="0"/>
                    <w:snapToGrid w:val="0"/>
                    <w:ind w:left="-105" w:leftChars="-50" w:right="-105" w:rightChars="-50"/>
                    <w:jc w:val="center"/>
                    <w:rPr>
                      <w:sz w:val="18"/>
                      <w:szCs w:val="18"/>
                    </w:rPr>
                  </w:pPr>
                </w:p>
              </w:tc>
              <w:tc>
                <w:tcPr>
                  <w:tcW w:w="259" w:type="dxa"/>
                  <w:vMerge w:val="continue"/>
                  <w:vAlign w:val="center"/>
                </w:tcPr>
                <w:p w14:paraId="0AA3710D">
                  <w:pPr>
                    <w:adjustRightInd w:val="0"/>
                    <w:snapToGrid w:val="0"/>
                    <w:ind w:left="-105" w:leftChars="-50" w:right="-105" w:rightChars="-50"/>
                    <w:jc w:val="center"/>
                    <w:rPr>
                      <w:sz w:val="18"/>
                      <w:szCs w:val="18"/>
                    </w:rPr>
                  </w:pPr>
                </w:p>
              </w:tc>
              <w:tc>
                <w:tcPr>
                  <w:tcW w:w="259" w:type="dxa"/>
                  <w:vMerge w:val="continue"/>
                  <w:vAlign w:val="center"/>
                </w:tcPr>
                <w:p w14:paraId="3B34C34F">
                  <w:pPr>
                    <w:adjustRightInd w:val="0"/>
                    <w:snapToGrid w:val="0"/>
                    <w:ind w:left="-105" w:leftChars="-50" w:right="-105" w:rightChars="-50"/>
                    <w:jc w:val="center"/>
                    <w:rPr>
                      <w:sz w:val="18"/>
                      <w:szCs w:val="18"/>
                    </w:rPr>
                  </w:pPr>
                </w:p>
              </w:tc>
              <w:tc>
                <w:tcPr>
                  <w:tcW w:w="261" w:type="dxa"/>
                  <w:vAlign w:val="center"/>
                </w:tcPr>
                <w:p w14:paraId="72358164">
                  <w:pPr>
                    <w:adjustRightInd w:val="0"/>
                    <w:snapToGrid w:val="0"/>
                    <w:ind w:left="-105" w:leftChars="-50" w:right="-105" w:rightChars="-50"/>
                    <w:jc w:val="center"/>
                    <w:rPr>
                      <w:sz w:val="18"/>
                      <w:szCs w:val="18"/>
                    </w:rPr>
                  </w:pPr>
                  <w:r>
                    <w:rPr>
                      <w:sz w:val="18"/>
                      <w:szCs w:val="18"/>
                    </w:rPr>
                    <w:t>二氧化硫</w:t>
                  </w:r>
                </w:p>
              </w:tc>
              <w:tc>
                <w:tcPr>
                  <w:tcW w:w="259" w:type="dxa"/>
                  <w:vMerge w:val="continue"/>
                  <w:vAlign w:val="center"/>
                </w:tcPr>
                <w:p w14:paraId="09B1D56A">
                  <w:pPr>
                    <w:adjustRightInd w:val="0"/>
                    <w:snapToGrid w:val="0"/>
                    <w:ind w:left="-105" w:leftChars="-50" w:right="-105" w:rightChars="-50"/>
                    <w:jc w:val="center"/>
                    <w:rPr>
                      <w:sz w:val="18"/>
                      <w:szCs w:val="18"/>
                    </w:rPr>
                  </w:pPr>
                </w:p>
              </w:tc>
              <w:tc>
                <w:tcPr>
                  <w:tcW w:w="725" w:type="dxa"/>
                  <w:vMerge w:val="continue"/>
                  <w:vAlign w:val="center"/>
                </w:tcPr>
                <w:p w14:paraId="0654EF32">
                  <w:pPr>
                    <w:pStyle w:val="118"/>
                    <w:ind w:left="-102" w:leftChars="-50" w:right="-105" w:rightChars="-50"/>
                    <w:rPr>
                      <w:rFonts w:ascii="Times New Roman" w:hAnsi="Times New Roman"/>
                      <w:color w:val="auto"/>
                      <w:sz w:val="18"/>
                      <w:szCs w:val="18"/>
                    </w:rPr>
                  </w:pPr>
                </w:p>
              </w:tc>
              <w:tc>
                <w:tcPr>
                  <w:tcW w:w="709" w:type="dxa"/>
                  <w:vAlign w:val="center"/>
                </w:tcPr>
                <w:p w14:paraId="036900AC">
                  <w:pPr>
                    <w:pStyle w:val="7"/>
                    <w:ind w:firstLine="0" w:firstLineChars="0"/>
                    <w:jc w:val="center"/>
                    <w:rPr>
                      <w:rFonts w:ascii="Times New Roman" w:hAnsi="Times New Roman"/>
                      <w:spacing w:val="-11"/>
                      <w:sz w:val="18"/>
                      <w:szCs w:val="18"/>
                    </w:rPr>
                  </w:pPr>
                  <w:r>
                    <w:rPr>
                      <w:rFonts w:ascii="Times New Roman" w:hAnsi="Times New Roman"/>
                      <w:spacing w:val="-11"/>
                      <w:sz w:val="18"/>
                      <w:szCs w:val="18"/>
                    </w:rPr>
                    <w:t>0.65</w:t>
                  </w:r>
                </w:p>
              </w:tc>
              <w:tc>
                <w:tcPr>
                  <w:tcW w:w="851" w:type="dxa"/>
                  <w:vAlign w:val="center"/>
                </w:tcPr>
                <w:p w14:paraId="6E4B801A">
                  <w:pPr>
                    <w:adjustRightInd w:val="0"/>
                    <w:snapToGrid w:val="0"/>
                    <w:ind w:left="-105" w:leftChars="-50" w:right="-105" w:rightChars="-50"/>
                    <w:jc w:val="center"/>
                    <w:rPr>
                      <w:sz w:val="18"/>
                      <w:szCs w:val="18"/>
                    </w:rPr>
                  </w:pPr>
                  <w:r>
                    <w:rPr>
                      <w:sz w:val="18"/>
                      <w:szCs w:val="18"/>
                    </w:rPr>
                    <w:t>101.96</w:t>
                  </w:r>
                </w:p>
              </w:tc>
              <w:tc>
                <w:tcPr>
                  <w:tcW w:w="572" w:type="dxa"/>
                  <w:vMerge w:val="continue"/>
                  <w:vAlign w:val="center"/>
                </w:tcPr>
                <w:p w14:paraId="617E596F">
                  <w:pPr>
                    <w:adjustRightInd w:val="0"/>
                    <w:snapToGrid w:val="0"/>
                    <w:ind w:left="-105" w:leftChars="-50" w:right="-105" w:rightChars="-50"/>
                    <w:jc w:val="center"/>
                    <w:rPr>
                      <w:sz w:val="18"/>
                      <w:szCs w:val="18"/>
                    </w:rPr>
                  </w:pPr>
                </w:p>
              </w:tc>
              <w:tc>
                <w:tcPr>
                  <w:tcW w:w="380" w:type="dxa"/>
                  <w:vAlign w:val="center"/>
                </w:tcPr>
                <w:p w14:paraId="4739D80E">
                  <w:pPr>
                    <w:adjustRightInd w:val="0"/>
                    <w:snapToGrid w:val="0"/>
                    <w:ind w:left="-105" w:leftChars="-50" w:right="-105" w:rightChars="-50"/>
                    <w:jc w:val="center"/>
                    <w:rPr>
                      <w:sz w:val="18"/>
                      <w:szCs w:val="18"/>
                    </w:rPr>
                  </w:pPr>
                  <w:r>
                    <w:rPr>
                      <w:sz w:val="18"/>
                      <w:szCs w:val="18"/>
                    </w:rPr>
                    <w:t>/</w:t>
                  </w:r>
                </w:p>
              </w:tc>
              <w:tc>
                <w:tcPr>
                  <w:tcW w:w="355" w:type="dxa"/>
                  <w:vMerge w:val="continue"/>
                  <w:vAlign w:val="center"/>
                </w:tcPr>
                <w:p w14:paraId="11227E09">
                  <w:pPr>
                    <w:adjustRightInd w:val="0"/>
                    <w:snapToGrid w:val="0"/>
                    <w:ind w:left="-105" w:leftChars="-50" w:right="-105" w:rightChars="-50"/>
                    <w:jc w:val="center"/>
                    <w:rPr>
                      <w:sz w:val="18"/>
                      <w:szCs w:val="18"/>
                    </w:rPr>
                  </w:pPr>
                </w:p>
              </w:tc>
              <w:tc>
                <w:tcPr>
                  <w:tcW w:w="727" w:type="dxa"/>
                  <w:vMerge w:val="continue"/>
                  <w:vAlign w:val="center"/>
                </w:tcPr>
                <w:p w14:paraId="7349D6CA">
                  <w:pPr>
                    <w:pStyle w:val="118"/>
                    <w:ind w:left="-102" w:leftChars="-50" w:right="-105" w:rightChars="-50"/>
                    <w:rPr>
                      <w:rFonts w:ascii="Times New Roman" w:hAnsi="Times New Roman"/>
                      <w:color w:val="auto"/>
                      <w:sz w:val="18"/>
                      <w:szCs w:val="18"/>
                    </w:rPr>
                  </w:pPr>
                </w:p>
              </w:tc>
              <w:tc>
                <w:tcPr>
                  <w:tcW w:w="711" w:type="dxa"/>
                  <w:vAlign w:val="center"/>
                </w:tcPr>
                <w:p w14:paraId="72C1F412">
                  <w:pPr>
                    <w:pStyle w:val="7"/>
                    <w:ind w:firstLine="0" w:firstLineChars="0"/>
                    <w:rPr>
                      <w:rFonts w:ascii="Times New Roman" w:hAnsi="Times New Roman"/>
                      <w:spacing w:val="-11"/>
                      <w:sz w:val="18"/>
                      <w:szCs w:val="18"/>
                    </w:rPr>
                  </w:pPr>
                  <w:r>
                    <w:rPr>
                      <w:rFonts w:ascii="Times New Roman" w:hAnsi="Times New Roman"/>
                      <w:spacing w:val="-11"/>
                      <w:sz w:val="18"/>
                      <w:szCs w:val="18"/>
                    </w:rPr>
                    <w:t>0.65</w:t>
                  </w:r>
                </w:p>
              </w:tc>
              <w:tc>
                <w:tcPr>
                  <w:tcW w:w="851" w:type="dxa"/>
                  <w:vAlign w:val="center"/>
                </w:tcPr>
                <w:p w14:paraId="15BD5DF0">
                  <w:pPr>
                    <w:adjustRightInd w:val="0"/>
                    <w:snapToGrid w:val="0"/>
                    <w:ind w:right="-105" w:rightChars="-50"/>
                    <w:rPr>
                      <w:sz w:val="18"/>
                      <w:szCs w:val="18"/>
                    </w:rPr>
                  </w:pPr>
                  <w:r>
                    <w:rPr>
                      <w:sz w:val="18"/>
                      <w:szCs w:val="18"/>
                    </w:rPr>
                    <w:t>101.96</w:t>
                  </w:r>
                </w:p>
              </w:tc>
              <w:tc>
                <w:tcPr>
                  <w:tcW w:w="420" w:type="dxa"/>
                  <w:vMerge w:val="continue"/>
                  <w:vAlign w:val="center"/>
                </w:tcPr>
                <w:p w14:paraId="1CC97C5B">
                  <w:pPr>
                    <w:adjustRightInd w:val="0"/>
                    <w:snapToGrid w:val="0"/>
                    <w:ind w:left="-105" w:leftChars="-50" w:right="-105" w:rightChars="-50"/>
                    <w:jc w:val="center"/>
                    <w:rPr>
                      <w:sz w:val="18"/>
                      <w:szCs w:val="18"/>
                    </w:rPr>
                  </w:pPr>
                </w:p>
              </w:tc>
            </w:tr>
            <w:tr w14:paraId="34FF95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128" w:hRule="atLeast"/>
              </w:trPr>
              <w:tc>
                <w:tcPr>
                  <w:tcW w:w="259" w:type="dxa"/>
                  <w:vMerge w:val="continue"/>
                  <w:vAlign w:val="center"/>
                </w:tcPr>
                <w:p w14:paraId="4022DAAB">
                  <w:pPr>
                    <w:adjustRightInd w:val="0"/>
                    <w:snapToGrid w:val="0"/>
                    <w:ind w:left="-105" w:leftChars="-50" w:right="-105" w:rightChars="-50"/>
                    <w:jc w:val="center"/>
                    <w:rPr>
                      <w:sz w:val="18"/>
                      <w:szCs w:val="18"/>
                    </w:rPr>
                  </w:pPr>
                </w:p>
              </w:tc>
              <w:tc>
                <w:tcPr>
                  <w:tcW w:w="259" w:type="dxa"/>
                  <w:vMerge w:val="continue"/>
                  <w:vAlign w:val="center"/>
                </w:tcPr>
                <w:p w14:paraId="142BA585">
                  <w:pPr>
                    <w:adjustRightInd w:val="0"/>
                    <w:snapToGrid w:val="0"/>
                    <w:ind w:left="-105" w:leftChars="-50" w:right="-105" w:rightChars="-50"/>
                    <w:jc w:val="center"/>
                    <w:rPr>
                      <w:sz w:val="18"/>
                      <w:szCs w:val="18"/>
                    </w:rPr>
                  </w:pPr>
                </w:p>
              </w:tc>
              <w:tc>
                <w:tcPr>
                  <w:tcW w:w="259" w:type="dxa"/>
                  <w:vMerge w:val="continue"/>
                  <w:vAlign w:val="center"/>
                </w:tcPr>
                <w:p w14:paraId="69799929">
                  <w:pPr>
                    <w:adjustRightInd w:val="0"/>
                    <w:snapToGrid w:val="0"/>
                    <w:ind w:left="-105" w:leftChars="-50" w:right="-105" w:rightChars="-50"/>
                    <w:jc w:val="center"/>
                    <w:rPr>
                      <w:sz w:val="18"/>
                      <w:szCs w:val="18"/>
                    </w:rPr>
                  </w:pPr>
                </w:p>
              </w:tc>
              <w:tc>
                <w:tcPr>
                  <w:tcW w:w="261" w:type="dxa"/>
                  <w:vAlign w:val="center"/>
                </w:tcPr>
                <w:p w14:paraId="78F59C6C">
                  <w:pPr>
                    <w:adjustRightInd w:val="0"/>
                    <w:snapToGrid w:val="0"/>
                    <w:ind w:left="-105" w:leftChars="-50" w:right="-105" w:rightChars="-50"/>
                    <w:jc w:val="center"/>
                    <w:rPr>
                      <w:sz w:val="18"/>
                      <w:szCs w:val="18"/>
                    </w:rPr>
                  </w:pPr>
                  <w:r>
                    <w:rPr>
                      <w:sz w:val="18"/>
                      <w:szCs w:val="18"/>
                    </w:rPr>
                    <w:t>氮氧化物</w:t>
                  </w:r>
                </w:p>
              </w:tc>
              <w:tc>
                <w:tcPr>
                  <w:tcW w:w="259" w:type="dxa"/>
                  <w:vAlign w:val="center"/>
                </w:tcPr>
                <w:p w14:paraId="017ED5F9">
                  <w:pPr>
                    <w:adjustRightInd w:val="0"/>
                    <w:snapToGrid w:val="0"/>
                    <w:ind w:left="-105" w:leftChars="-50" w:right="-105" w:rightChars="-50"/>
                    <w:jc w:val="center"/>
                    <w:rPr>
                      <w:sz w:val="18"/>
                      <w:szCs w:val="18"/>
                    </w:rPr>
                  </w:pPr>
                  <w:r>
                    <w:rPr>
                      <w:sz w:val="18"/>
                      <w:szCs w:val="18"/>
                    </w:rPr>
                    <w:t>产污系数法</w:t>
                  </w:r>
                </w:p>
              </w:tc>
              <w:tc>
                <w:tcPr>
                  <w:tcW w:w="725" w:type="dxa"/>
                  <w:vMerge w:val="continue"/>
                  <w:vAlign w:val="center"/>
                </w:tcPr>
                <w:p w14:paraId="79E352F2">
                  <w:pPr>
                    <w:pStyle w:val="118"/>
                    <w:ind w:left="-102" w:leftChars="-50" w:right="-105" w:rightChars="-50"/>
                    <w:rPr>
                      <w:rFonts w:ascii="Times New Roman" w:hAnsi="Times New Roman"/>
                      <w:color w:val="auto"/>
                      <w:sz w:val="18"/>
                      <w:szCs w:val="18"/>
                    </w:rPr>
                  </w:pPr>
                </w:p>
              </w:tc>
              <w:tc>
                <w:tcPr>
                  <w:tcW w:w="709" w:type="dxa"/>
                  <w:vAlign w:val="center"/>
                </w:tcPr>
                <w:p w14:paraId="20F2158A">
                  <w:pPr>
                    <w:pStyle w:val="7"/>
                    <w:ind w:firstLine="0" w:firstLineChars="0"/>
                    <w:jc w:val="center"/>
                    <w:rPr>
                      <w:rFonts w:ascii="Times New Roman" w:hAnsi="Times New Roman"/>
                      <w:spacing w:val="-11"/>
                      <w:sz w:val="18"/>
                      <w:szCs w:val="18"/>
                    </w:rPr>
                  </w:pPr>
                  <w:r>
                    <w:rPr>
                      <w:rFonts w:ascii="Times New Roman" w:hAnsi="Times New Roman"/>
                      <w:spacing w:val="-11"/>
                      <w:sz w:val="18"/>
                      <w:szCs w:val="18"/>
                    </w:rPr>
                    <w:t>1.15</w:t>
                  </w:r>
                </w:p>
              </w:tc>
              <w:tc>
                <w:tcPr>
                  <w:tcW w:w="851" w:type="dxa"/>
                  <w:vAlign w:val="center"/>
                </w:tcPr>
                <w:p w14:paraId="0231054F">
                  <w:pPr>
                    <w:adjustRightInd w:val="0"/>
                    <w:snapToGrid w:val="0"/>
                    <w:ind w:left="-105" w:leftChars="-50" w:right="-105" w:rightChars="-50"/>
                    <w:jc w:val="center"/>
                    <w:rPr>
                      <w:sz w:val="18"/>
                      <w:szCs w:val="18"/>
                    </w:rPr>
                  </w:pPr>
                  <w:r>
                    <w:rPr>
                      <w:sz w:val="18"/>
                      <w:szCs w:val="18"/>
                    </w:rPr>
                    <w:t>180</w:t>
                  </w:r>
                </w:p>
              </w:tc>
              <w:tc>
                <w:tcPr>
                  <w:tcW w:w="572" w:type="dxa"/>
                  <w:vMerge w:val="continue"/>
                  <w:vAlign w:val="center"/>
                </w:tcPr>
                <w:p w14:paraId="2DA567B0">
                  <w:pPr>
                    <w:adjustRightInd w:val="0"/>
                    <w:snapToGrid w:val="0"/>
                    <w:ind w:left="-105" w:leftChars="-50" w:right="-105" w:rightChars="-50"/>
                    <w:jc w:val="center"/>
                    <w:rPr>
                      <w:sz w:val="18"/>
                      <w:szCs w:val="18"/>
                    </w:rPr>
                  </w:pPr>
                </w:p>
              </w:tc>
              <w:tc>
                <w:tcPr>
                  <w:tcW w:w="380" w:type="dxa"/>
                  <w:vAlign w:val="center"/>
                </w:tcPr>
                <w:p w14:paraId="3D87A96D">
                  <w:pPr>
                    <w:adjustRightInd w:val="0"/>
                    <w:snapToGrid w:val="0"/>
                    <w:ind w:left="-105" w:leftChars="-50" w:right="-105" w:rightChars="-50"/>
                    <w:jc w:val="center"/>
                    <w:rPr>
                      <w:sz w:val="18"/>
                      <w:szCs w:val="18"/>
                    </w:rPr>
                  </w:pPr>
                  <w:r>
                    <w:rPr>
                      <w:sz w:val="18"/>
                      <w:szCs w:val="18"/>
                    </w:rPr>
                    <w:t>30</w:t>
                  </w:r>
                </w:p>
              </w:tc>
              <w:tc>
                <w:tcPr>
                  <w:tcW w:w="355" w:type="dxa"/>
                  <w:vAlign w:val="center"/>
                </w:tcPr>
                <w:p w14:paraId="187B86F4">
                  <w:pPr>
                    <w:adjustRightInd w:val="0"/>
                    <w:snapToGrid w:val="0"/>
                    <w:ind w:left="-105" w:leftChars="-50" w:right="-105" w:rightChars="-50"/>
                    <w:jc w:val="center"/>
                    <w:rPr>
                      <w:sz w:val="18"/>
                      <w:szCs w:val="18"/>
                    </w:rPr>
                  </w:pPr>
                  <w:r>
                    <w:rPr>
                      <w:sz w:val="18"/>
                      <w:szCs w:val="18"/>
                    </w:rPr>
                    <w:t>产污系数法</w:t>
                  </w:r>
                </w:p>
              </w:tc>
              <w:tc>
                <w:tcPr>
                  <w:tcW w:w="727" w:type="dxa"/>
                  <w:vMerge w:val="continue"/>
                  <w:vAlign w:val="center"/>
                </w:tcPr>
                <w:p w14:paraId="55F4F5A3">
                  <w:pPr>
                    <w:pStyle w:val="118"/>
                    <w:ind w:left="-102" w:leftChars="-50" w:right="-105" w:rightChars="-50"/>
                    <w:rPr>
                      <w:rFonts w:ascii="Times New Roman" w:hAnsi="Times New Roman"/>
                      <w:color w:val="auto"/>
                      <w:sz w:val="18"/>
                      <w:szCs w:val="18"/>
                    </w:rPr>
                  </w:pPr>
                </w:p>
              </w:tc>
              <w:tc>
                <w:tcPr>
                  <w:tcW w:w="711" w:type="dxa"/>
                  <w:vAlign w:val="center"/>
                </w:tcPr>
                <w:p w14:paraId="3180547E">
                  <w:pPr>
                    <w:pStyle w:val="7"/>
                    <w:ind w:firstLine="0" w:firstLineChars="0"/>
                    <w:jc w:val="center"/>
                    <w:rPr>
                      <w:rFonts w:ascii="Times New Roman" w:hAnsi="Times New Roman"/>
                      <w:spacing w:val="-11"/>
                      <w:sz w:val="18"/>
                      <w:szCs w:val="18"/>
                    </w:rPr>
                  </w:pPr>
                  <w:r>
                    <w:rPr>
                      <w:rFonts w:ascii="Times New Roman" w:hAnsi="Times New Roman"/>
                      <w:spacing w:val="-11"/>
                      <w:sz w:val="18"/>
                      <w:szCs w:val="18"/>
                    </w:rPr>
                    <w:t>0.8</w:t>
                  </w:r>
                </w:p>
              </w:tc>
              <w:tc>
                <w:tcPr>
                  <w:tcW w:w="851" w:type="dxa"/>
                  <w:vAlign w:val="center"/>
                </w:tcPr>
                <w:p w14:paraId="23363D4B">
                  <w:pPr>
                    <w:adjustRightInd w:val="0"/>
                    <w:snapToGrid w:val="0"/>
                    <w:ind w:left="-105" w:leftChars="-50" w:right="-105" w:rightChars="-50"/>
                    <w:jc w:val="center"/>
                    <w:rPr>
                      <w:sz w:val="18"/>
                      <w:szCs w:val="18"/>
                    </w:rPr>
                  </w:pPr>
                  <w:r>
                    <w:rPr>
                      <w:sz w:val="18"/>
                      <w:szCs w:val="18"/>
                    </w:rPr>
                    <w:t>126</w:t>
                  </w:r>
                </w:p>
              </w:tc>
              <w:tc>
                <w:tcPr>
                  <w:tcW w:w="420" w:type="dxa"/>
                  <w:vMerge w:val="continue"/>
                  <w:vAlign w:val="center"/>
                </w:tcPr>
                <w:p w14:paraId="72DA1FB7">
                  <w:pPr>
                    <w:adjustRightInd w:val="0"/>
                    <w:snapToGrid w:val="0"/>
                    <w:ind w:left="-105" w:leftChars="-50" w:right="-105" w:rightChars="-50"/>
                    <w:jc w:val="center"/>
                    <w:rPr>
                      <w:sz w:val="18"/>
                      <w:szCs w:val="18"/>
                    </w:rPr>
                  </w:pPr>
                </w:p>
              </w:tc>
            </w:tr>
            <w:tr w14:paraId="71F7B6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212" w:hRule="atLeast"/>
              </w:trPr>
              <w:tc>
                <w:tcPr>
                  <w:tcW w:w="259" w:type="dxa"/>
                  <w:vAlign w:val="center"/>
                </w:tcPr>
                <w:p w14:paraId="4C186B88">
                  <w:pPr>
                    <w:adjustRightInd w:val="0"/>
                    <w:snapToGrid w:val="0"/>
                    <w:ind w:left="-105" w:leftChars="-50" w:right="-105" w:rightChars="-50"/>
                    <w:jc w:val="center"/>
                    <w:rPr>
                      <w:sz w:val="18"/>
                      <w:szCs w:val="18"/>
                    </w:rPr>
                  </w:pPr>
                  <w:r>
                    <w:rPr>
                      <w:sz w:val="18"/>
                      <w:szCs w:val="18"/>
                    </w:rPr>
                    <w:t>运营</w:t>
                  </w:r>
                </w:p>
              </w:tc>
              <w:tc>
                <w:tcPr>
                  <w:tcW w:w="259" w:type="dxa"/>
                  <w:vAlign w:val="center"/>
                </w:tcPr>
                <w:p w14:paraId="5FE2142D">
                  <w:pPr>
                    <w:adjustRightInd w:val="0"/>
                    <w:snapToGrid w:val="0"/>
                    <w:ind w:left="-105" w:leftChars="-50" w:right="-105" w:rightChars="-50"/>
                    <w:jc w:val="center"/>
                    <w:rPr>
                      <w:sz w:val="18"/>
                      <w:szCs w:val="18"/>
                    </w:rPr>
                  </w:pPr>
                  <w:r>
                    <w:rPr>
                      <w:sz w:val="18"/>
                      <w:szCs w:val="18"/>
                    </w:rPr>
                    <w:t>餐厅</w:t>
                  </w:r>
                </w:p>
              </w:tc>
              <w:tc>
                <w:tcPr>
                  <w:tcW w:w="259" w:type="dxa"/>
                  <w:vAlign w:val="center"/>
                </w:tcPr>
                <w:p w14:paraId="7F2CDF08">
                  <w:pPr>
                    <w:adjustRightInd w:val="0"/>
                    <w:snapToGrid w:val="0"/>
                    <w:ind w:left="-105" w:leftChars="-50" w:right="-105" w:rightChars="-50"/>
                    <w:jc w:val="center"/>
                    <w:rPr>
                      <w:sz w:val="18"/>
                      <w:szCs w:val="18"/>
                    </w:rPr>
                  </w:pPr>
                  <w:r>
                    <w:rPr>
                      <w:sz w:val="18"/>
                      <w:szCs w:val="18"/>
                    </w:rPr>
                    <w:t>无组织排放</w:t>
                  </w:r>
                </w:p>
              </w:tc>
              <w:tc>
                <w:tcPr>
                  <w:tcW w:w="261" w:type="dxa"/>
                  <w:vAlign w:val="center"/>
                </w:tcPr>
                <w:p w14:paraId="77752A31">
                  <w:pPr>
                    <w:adjustRightInd w:val="0"/>
                    <w:snapToGrid w:val="0"/>
                    <w:ind w:left="-105" w:leftChars="-50" w:right="-105" w:rightChars="-50"/>
                    <w:jc w:val="center"/>
                    <w:rPr>
                      <w:sz w:val="18"/>
                      <w:szCs w:val="18"/>
                    </w:rPr>
                  </w:pPr>
                  <w:r>
                    <w:rPr>
                      <w:sz w:val="18"/>
                      <w:szCs w:val="18"/>
                    </w:rPr>
                    <w:t>油烟</w:t>
                  </w:r>
                </w:p>
              </w:tc>
              <w:tc>
                <w:tcPr>
                  <w:tcW w:w="259" w:type="dxa"/>
                  <w:vAlign w:val="center"/>
                </w:tcPr>
                <w:p w14:paraId="64E09668">
                  <w:pPr>
                    <w:adjustRightInd w:val="0"/>
                    <w:snapToGrid w:val="0"/>
                    <w:ind w:left="-105" w:leftChars="-50" w:right="-105" w:rightChars="-50"/>
                    <w:jc w:val="center"/>
                    <w:rPr>
                      <w:sz w:val="18"/>
                      <w:szCs w:val="18"/>
                    </w:rPr>
                  </w:pPr>
                  <w:r>
                    <w:rPr>
                      <w:sz w:val="18"/>
                      <w:szCs w:val="18"/>
                    </w:rPr>
                    <w:t>类比法</w:t>
                  </w:r>
                </w:p>
              </w:tc>
              <w:tc>
                <w:tcPr>
                  <w:tcW w:w="725" w:type="dxa"/>
                  <w:vAlign w:val="center"/>
                </w:tcPr>
                <w:p w14:paraId="16F6F052">
                  <w:pPr>
                    <w:pStyle w:val="118"/>
                    <w:ind w:left="-102" w:leftChars="-50" w:right="-105" w:rightChars="-50"/>
                    <w:rPr>
                      <w:rFonts w:ascii="Times New Roman" w:hAnsi="Times New Roman"/>
                      <w:color w:val="auto"/>
                      <w:sz w:val="18"/>
                      <w:szCs w:val="18"/>
                    </w:rPr>
                  </w:pPr>
                  <w:r>
                    <w:rPr>
                      <w:rFonts w:hint="eastAsia" w:ascii="Times New Roman" w:hAnsi="Times New Roman"/>
                      <w:color w:val="auto"/>
                      <w:sz w:val="18"/>
                      <w:szCs w:val="18"/>
                    </w:rPr>
                    <w:t>12</w:t>
                  </w:r>
                  <w:r>
                    <w:rPr>
                      <w:rFonts w:ascii="Times New Roman" w:hAnsi="Times New Roman"/>
                      <w:color w:val="auto"/>
                      <w:sz w:val="18"/>
                      <w:szCs w:val="18"/>
                    </w:rPr>
                    <w:t>000</w:t>
                  </w:r>
                </w:p>
              </w:tc>
              <w:tc>
                <w:tcPr>
                  <w:tcW w:w="709" w:type="dxa"/>
                  <w:vAlign w:val="center"/>
                </w:tcPr>
                <w:p w14:paraId="1A6E39C8">
                  <w:pPr>
                    <w:pStyle w:val="7"/>
                    <w:ind w:firstLine="0" w:firstLineChars="0"/>
                    <w:jc w:val="center"/>
                    <w:rPr>
                      <w:rFonts w:ascii="Times New Roman" w:hAnsi="Times New Roman"/>
                      <w:spacing w:val="-11"/>
                      <w:sz w:val="18"/>
                      <w:szCs w:val="18"/>
                    </w:rPr>
                  </w:pPr>
                  <w:r>
                    <w:rPr>
                      <w:rFonts w:ascii="Times New Roman" w:hAnsi="Times New Roman"/>
                      <w:sz w:val="18"/>
                      <w:szCs w:val="18"/>
                    </w:rPr>
                    <w:t>0.</w:t>
                  </w:r>
                  <w:r>
                    <w:rPr>
                      <w:rFonts w:hint="eastAsia" w:ascii="Times New Roman" w:hAnsi="Times New Roman"/>
                      <w:sz w:val="18"/>
                      <w:szCs w:val="18"/>
                    </w:rPr>
                    <w:t>15</w:t>
                  </w:r>
                </w:p>
              </w:tc>
              <w:tc>
                <w:tcPr>
                  <w:tcW w:w="851" w:type="dxa"/>
                  <w:vAlign w:val="center"/>
                </w:tcPr>
                <w:p w14:paraId="11AB65C8">
                  <w:pPr>
                    <w:adjustRightInd w:val="0"/>
                    <w:snapToGrid w:val="0"/>
                    <w:ind w:left="-105" w:leftChars="-50" w:right="-105" w:rightChars="-50"/>
                    <w:jc w:val="center"/>
                    <w:rPr>
                      <w:sz w:val="18"/>
                      <w:szCs w:val="18"/>
                    </w:rPr>
                  </w:pPr>
                  <w:r>
                    <w:rPr>
                      <w:rFonts w:hint="eastAsia"/>
                      <w:sz w:val="18"/>
                      <w:szCs w:val="18"/>
                    </w:rPr>
                    <w:t>12.8</w:t>
                  </w:r>
                </w:p>
              </w:tc>
              <w:tc>
                <w:tcPr>
                  <w:tcW w:w="572" w:type="dxa"/>
                  <w:vAlign w:val="center"/>
                </w:tcPr>
                <w:p w14:paraId="776C5F01">
                  <w:pPr>
                    <w:adjustRightInd w:val="0"/>
                    <w:snapToGrid w:val="0"/>
                    <w:ind w:left="-105" w:leftChars="-50" w:right="-105" w:rightChars="-50"/>
                    <w:jc w:val="center"/>
                    <w:rPr>
                      <w:sz w:val="18"/>
                      <w:szCs w:val="18"/>
                    </w:rPr>
                  </w:pPr>
                  <w:r>
                    <w:rPr>
                      <w:sz w:val="18"/>
                      <w:szCs w:val="18"/>
                    </w:rPr>
                    <w:t>油烟净化器</w:t>
                  </w:r>
                </w:p>
              </w:tc>
              <w:tc>
                <w:tcPr>
                  <w:tcW w:w="380" w:type="dxa"/>
                  <w:vAlign w:val="center"/>
                </w:tcPr>
                <w:p w14:paraId="13858FCB">
                  <w:pPr>
                    <w:adjustRightInd w:val="0"/>
                    <w:snapToGrid w:val="0"/>
                    <w:ind w:left="-105" w:leftChars="-50" w:right="-105" w:rightChars="-50"/>
                    <w:jc w:val="center"/>
                    <w:rPr>
                      <w:sz w:val="18"/>
                      <w:szCs w:val="18"/>
                    </w:rPr>
                  </w:pPr>
                  <w:r>
                    <w:rPr>
                      <w:rFonts w:hint="eastAsia"/>
                      <w:sz w:val="18"/>
                      <w:szCs w:val="18"/>
                    </w:rPr>
                    <w:t>8</w:t>
                  </w:r>
                  <w:r>
                    <w:rPr>
                      <w:sz w:val="18"/>
                      <w:szCs w:val="18"/>
                    </w:rPr>
                    <w:t>5</w:t>
                  </w:r>
                </w:p>
              </w:tc>
              <w:tc>
                <w:tcPr>
                  <w:tcW w:w="355" w:type="dxa"/>
                  <w:vAlign w:val="center"/>
                </w:tcPr>
                <w:p w14:paraId="05EA1DEA">
                  <w:pPr>
                    <w:jc w:val="center"/>
                    <w:rPr>
                      <w:sz w:val="18"/>
                      <w:szCs w:val="18"/>
                    </w:rPr>
                  </w:pPr>
                  <w:r>
                    <w:rPr>
                      <w:sz w:val="18"/>
                      <w:szCs w:val="18"/>
                    </w:rPr>
                    <w:t>物料平衡法</w:t>
                  </w:r>
                </w:p>
                <w:p w14:paraId="018A5235">
                  <w:pPr>
                    <w:adjustRightInd w:val="0"/>
                    <w:snapToGrid w:val="0"/>
                    <w:ind w:left="-105" w:leftChars="-50" w:right="-105" w:rightChars="-50"/>
                    <w:jc w:val="center"/>
                    <w:rPr>
                      <w:sz w:val="18"/>
                      <w:szCs w:val="18"/>
                    </w:rPr>
                  </w:pPr>
                </w:p>
              </w:tc>
              <w:tc>
                <w:tcPr>
                  <w:tcW w:w="727" w:type="dxa"/>
                  <w:vAlign w:val="center"/>
                </w:tcPr>
                <w:p w14:paraId="32807793">
                  <w:pPr>
                    <w:pStyle w:val="118"/>
                    <w:ind w:left="-102" w:leftChars="-50" w:right="-105" w:rightChars="-50"/>
                    <w:rPr>
                      <w:rFonts w:ascii="Times New Roman" w:hAnsi="Times New Roman"/>
                      <w:color w:val="auto"/>
                      <w:sz w:val="18"/>
                      <w:szCs w:val="18"/>
                    </w:rPr>
                  </w:pPr>
                  <w:r>
                    <w:rPr>
                      <w:rFonts w:hint="eastAsia" w:ascii="Times New Roman" w:hAnsi="Times New Roman"/>
                      <w:color w:val="auto"/>
                      <w:sz w:val="18"/>
                      <w:szCs w:val="18"/>
                    </w:rPr>
                    <w:t>12</w:t>
                  </w:r>
                  <w:r>
                    <w:rPr>
                      <w:rFonts w:ascii="Times New Roman" w:hAnsi="Times New Roman"/>
                      <w:color w:val="auto"/>
                      <w:sz w:val="18"/>
                      <w:szCs w:val="18"/>
                    </w:rPr>
                    <w:t>000</w:t>
                  </w:r>
                </w:p>
              </w:tc>
              <w:tc>
                <w:tcPr>
                  <w:tcW w:w="711" w:type="dxa"/>
                  <w:vAlign w:val="center"/>
                </w:tcPr>
                <w:p w14:paraId="0577FE5A">
                  <w:pPr>
                    <w:pStyle w:val="7"/>
                    <w:ind w:firstLine="0" w:firstLineChars="0"/>
                    <w:rPr>
                      <w:rFonts w:ascii="Times New Roman" w:hAnsi="Times New Roman"/>
                      <w:spacing w:val="-11"/>
                      <w:sz w:val="18"/>
                      <w:szCs w:val="18"/>
                    </w:rPr>
                  </w:pPr>
                  <w:r>
                    <w:rPr>
                      <w:rFonts w:ascii="Times New Roman" w:hAnsi="Times New Roman"/>
                      <w:sz w:val="18"/>
                      <w:szCs w:val="18"/>
                    </w:rPr>
                    <w:t>0.0</w:t>
                  </w:r>
                  <w:r>
                    <w:rPr>
                      <w:rFonts w:hint="eastAsia" w:ascii="Times New Roman" w:hAnsi="Times New Roman"/>
                      <w:sz w:val="18"/>
                      <w:szCs w:val="18"/>
                    </w:rPr>
                    <w:t>23</w:t>
                  </w:r>
                </w:p>
              </w:tc>
              <w:tc>
                <w:tcPr>
                  <w:tcW w:w="851" w:type="dxa"/>
                  <w:vAlign w:val="center"/>
                </w:tcPr>
                <w:p w14:paraId="6765674C">
                  <w:pPr>
                    <w:adjustRightInd w:val="0"/>
                    <w:snapToGrid w:val="0"/>
                    <w:ind w:left="-105" w:leftChars="-50" w:right="-105" w:rightChars="-50"/>
                    <w:jc w:val="center"/>
                    <w:rPr>
                      <w:sz w:val="18"/>
                      <w:szCs w:val="18"/>
                    </w:rPr>
                  </w:pPr>
                  <w:r>
                    <w:rPr>
                      <w:sz w:val="18"/>
                      <w:szCs w:val="18"/>
                    </w:rPr>
                    <w:t>1.</w:t>
                  </w:r>
                  <w:r>
                    <w:rPr>
                      <w:rFonts w:hint="eastAsia"/>
                      <w:sz w:val="18"/>
                      <w:szCs w:val="18"/>
                    </w:rPr>
                    <w:t>92</w:t>
                  </w:r>
                </w:p>
              </w:tc>
              <w:tc>
                <w:tcPr>
                  <w:tcW w:w="420" w:type="dxa"/>
                  <w:vAlign w:val="center"/>
                </w:tcPr>
                <w:p w14:paraId="3838B154">
                  <w:pPr>
                    <w:adjustRightInd w:val="0"/>
                    <w:snapToGrid w:val="0"/>
                    <w:ind w:left="-105" w:leftChars="-50" w:right="-105" w:rightChars="-50"/>
                    <w:jc w:val="center"/>
                    <w:rPr>
                      <w:sz w:val="18"/>
                      <w:szCs w:val="18"/>
                    </w:rPr>
                  </w:pPr>
                  <w:r>
                    <w:rPr>
                      <w:rFonts w:hint="eastAsia"/>
                      <w:sz w:val="18"/>
                      <w:szCs w:val="18"/>
                    </w:rPr>
                    <w:t>3285</w:t>
                  </w:r>
                </w:p>
              </w:tc>
            </w:tr>
          </w:tbl>
          <w:p w14:paraId="47114A46">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18</w:t>
            </w:r>
            <w:r>
              <w:rPr>
                <w:color w:val="000000" w:themeColor="text1"/>
                <w14:textFill>
                  <w14:solidFill>
                    <w14:schemeClr w14:val="tx1"/>
                  </w14:solidFill>
                </w14:textFill>
              </w:rPr>
              <w:t xml:space="preserve"> 排气口基本情况一览表</w:t>
            </w:r>
          </w:p>
          <w:tbl>
            <w:tblPr>
              <w:tblStyle w:val="1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1120"/>
              <w:gridCol w:w="642"/>
              <w:gridCol w:w="721"/>
              <w:gridCol w:w="882"/>
              <w:gridCol w:w="665"/>
              <w:gridCol w:w="763"/>
              <w:gridCol w:w="1283"/>
              <w:gridCol w:w="1185"/>
            </w:tblGrid>
            <w:tr w14:paraId="7CED8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9" w:type="pct"/>
                  <w:vMerge w:val="restart"/>
                  <w:vAlign w:val="center"/>
                </w:tcPr>
                <w:p w14:paraId="7D5B4900">
                  <w:pPr>
                    <w:jc w:val="center"/>
                    <w:rPr>
                      <w:bCs/>
                      <w:kern w:val="0"/>
                      <w:sz w:val="18"/>
                      <w:szCs w:val="18"/>
                    </w:rPr>
                  </w:pPr>
                  <w:r>
                    <w:rPr>
                      <w:bCs/>
                      <w:kern w:val="0"/>
                      <w:sz w:val="18"/>
                      <w:szCs w:val="18"/>
                    </w:rPr>
                    <w:t>序号</w:t>
                  </w:r>
                </w:p>
              </w:tc>
              <w:tc>
                <w:tcPr>
                  <w:tcW w:w="731" w:type="pct"/>
                  <w:vMerge w:val="restart"/>
                  <w:vAlign w:val="center"/>
                </w:tcPr>
                <w:p w14:paraId="320C8295">
                  <w:pPr>
                    <w:jc w:val="center"/>
                    <w:rPr>
                      <w:bCs/>
                      <w:kern w:val="0"/>
                      <w:sz w:val="18"/>
                      <w:szCs w:val="18"/>
                    </w:rPr>
                  </w:pPr>
                  <w:r>
                    <w:rPr>
                      <w:bCs/>
                      <w:kern w:val="0"/>
                      <w:sz w:val="18"/>
                      <w:szCs w:val="18"/>
                    </w:rPr>
                    <w:t>编号及名称</w:t>
                  </w:r>
                </w:p>
              </w:tc>
              <w:tc>
                <w:tcPr>
                  <w:tcW w:w="419" w:type="pct"/>
                  <w:vMerge w:val="restart"/>
                  <w:vAlign w:val="center"/>
                </w:tcPr>
                <w:p w14:paraId="24FA5217">
                  <w:pPr>
                    <w:jc w:val="center"/>
                    <w:rPr>
                      <w:bCs/>
                      <w:kern w:val="0"/>
                      <w:sz w:val="18"/>
                      <w:szCs w:val="18"/>
                    </w:rPr>
                  </w:pPr>
                  <w:r>
                    <w:rPr>
                      <w:bCs/>
                      <w:kern w:val="0"/>
                      <w:sz w:val="18"/>
                      <w:szCs w:val="18"/>
                    </w:rPr>
                    <w:t>类型</w:t>
                  </w:r>
                </w:p>
              </w:tc>
              <w:tc>
                <w:tcPr>
                  <w:tcW w:w="471" w:type="pct"/>
                  <w:vMerge w:val="restart"/>
                  <w:vAlign w:val="center"/>
                </w:tcPr>
                <w:p w14:paraId="322C0C88">
                  <w:pPr>
                    <w:jc w:val="center"/>
                    <w:rPr>
                      <w:bCs/>
                      <w:kern w:val="0"/>
                      <w:sz w:val="18"/>
                      <w:szCs w:val="18"/>
                    </w:rPr>
                  </w:pPr>
                  <w:r>
                    <w:rPr>
                      <w:bCs/>
                      <w:kern w:val="0"/>
                      <w:sz w:val="18"/>
                      <w:szCs w:val="18"/>
                    </w:rPr>
                    <w:t>高度（m）</w:t>
                  </w:r>
                </w:p>
              </w:tc>
              <w:tc>
                <w:tcPr>
                  <w:tcW w:w="576" w:type="pct"/>
                  <w:vMerge w:val="restart"/>
                  <w:vAlign w:val="center"/>
                </w:tcPr>
                <w:p w14:paraId="5EE97E84">
                  <w:pPr>
                    <w:jc w:val="center"/>
                    <w:rPr>
                      <w:bCs/>
                      <w:kern w:val="0"/>
                      <w:sz w:val="18"/>
                      <w:szCs w:val="18"/>
                    </w:rPr>
                  </w:pPr>
                  <w:r>
                    <w:rPr>
                      <w:bCs/>
                      <w:kern w:val="0"/>
                      <w:sz w:val="18"/>
                      <w:szCs w:val="18"/>
                    </w:rPr>
                    <w:t>排气筒内径（m）</w:t>
                  </w:r>
                </w:p>
              </w:tc>
              <w:tc>
                <w:tcPr>
                  <w:tcW w:w="434" w:type="pct"/>
                  <w:vMerge w:val="restart"/>
                  <w:vAlign w:val="center"/>
                </w:tcPr>
                <w:p w14:paraId="3EA7883D">
                  <w:pPr>
                    <w:jc w:val="center"/>
                    <w:rPr>
                      <w:bCs/>
                      <w:kern w:val="0"/>
                      <w:sz w:val="18"/>
                      <w:szCs w:val="18"/>
                    </w:rPr>
                  </w:pPr>
                  <w:r>
                    <w:rPr>
                      <w:bCs/>
                      <w:kern w:val="0"/>
                      <w:sz w:val="18"/>
                      <w:szCs w:val="18"/>
                    </w:rPr>
                    <w:t>污染物</w:t>
                  </w:r>
                </w:p>
              </w:tc>
              <w:tc>
                <w:tcPr>
                  <w:tcW w:w="498" w:type="pct"/>
                  <w:vMerge w:val="restart"/>
                  <w:vAlign w:val="center"/>
                </w:tcPr>
                <w:p w14:paraId="3C22506C">
                  <w:pPr>
                    <w:jc w:val="center"/>
                    <w:rPr>
                      <w:bCs/>
                      <w:kern w:val="0"/>
                      <w:sz w:val="18"/>
                      <w:szCs w:val="18"/>
                    </w:rPr>
                  </w:pPr>
                  <w:r>
                    <w:rPr>
                      <w:bCs/>
                      <w:kern w:val="0"/>
                      <w:sz w:val="18"/>
                      <w:szCs w:val="18"/>
                    </w:rPr>
                    <w:t>温度（</w:t>
                  </w:r>
                  <w:r>
                    <w:rPr>
                      <w:sz w:val="18"/>
                      <w:szCs w:val="18"/>
                    </w:rPr>
                    <w:t>℃</w:t>
                  </w:r>
                  <w:r>
                    <w:rPr>
                      <w:bCs/>
                      <w:kern w:val="0"/>
                      <w:sz w:val="18"/>
                      <w:szCs w:val="18"/>
                    </w:rPr>
                    <w:t>）</w:t>
                  </w:r>
                </w:p>
              </w:tc>
              <w:tc>
                <w:tcPr>
                  <w:tcW w:w="1612" w:type="pct"/>
                  <w:gridSpan w:val="2"/>
                  <w:vAlign w:val="center"/>
                </w:tcPr>
                <w:p w14:paraId="0B7404EC">
                  <w:pPr>
                    <w:jc w:val="center"/>
                    <w:rPr>
                      <w:bCs/>
                      <w:kern w:val="0"/>
                      <w:sz w:val="18"/>
                      <w:szCs w:val="18"/>
                    </w:rPr>
                  </w:pPr>
                  <w:r>
                    <w:rPr>
                      <w:bCs/>
                      <w:kern w:val="0"/>
                      <w:sz w:val="18"/>
                      <w:szCs w:val="18"/>
                    </w:rPr>
                    <w:t>地理坐标</w:t>
                  </w:r>
                </w:p>
              </w:tc>
            </w:tr>
            <w:tr w14:paraId="733E6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9" w:type="pct"/>
                  <w:vMerge w:val="continue"/>
                  <w:vAlign w:val="center"/>
                </w:tcPr>
                <w:p w14:paraId="3EAEFF34">
                  <w:pPr>
                    <w:jc w:val="center"/>
                    <w:rPr>
                      <w:sz w:val="18"/>
                      <w:szCs w:val="18"/>
                    </w:rPr>
                  </w:pPr>
                </w:p>
              </w:tc>
              <w:tc>
                <w:tcPr>
                  <w:tcW w:w="731" w:type="pct"/>
                  <w:vMerge w:val="continue"/>
                  <w:vAlign w:val="center"/>
                </w:tcPr>
                <w:p w14:paraId="5A814A6D">
                  <w:pPr>
                    <w:jc w:val="center"/>
                    <w:rPr>
                      <w:sz w:val="18"/>
                      <w:szCs w:val="18"/>
                    </w:rPr>
                  </w:pPr>
                </w:p>
              </w:tc>
              <w:tc>
                <w:tcPr>
                  <w:tcW w:w="419" w:type="pct"/>
                  <w:vMerge w:val="continue"/>
                  <w:vAlign w:val="center"/>
                </w:tcPr>
                <w:p w14:paraId="2D111DF4">
                  <w:pPr>
                    <w:jc w:val="center"/>
                    <w:rPr>
                      <w:sz w:val="18"/>
                      <w:szCs w:val="18"/>
                    </w:rPr>
                  </w:pPr>
                </w:p>
              </w:tc>
              <w:tc>
                <w:tcPr>
                  <w:tcW w:w="471" w:type="pct"/>
                  <w:vMerge w:val="continue"/>
                  <w:vAlign w:val="center"/>
                </w:tcPr>
                <w:p w14:paraId="04B6D1C4">
                  <w:pPr>
                    <w:jc w:val="center"/>
                    <w:rPr>
                      <w:sz w:val="18"/>
                      <w:szCs w:val="18"/>
                    </w:rPr>
                  </w:pPr>
                </w:p>
              </w:tc>
              <w:tc>
                <w:tcPr>
                  <w:tcW w:w="576" w:type="pct"/>
                  <w:vMerge w:val="continue"/>
                  <w:vAlign w:val="center"/>
                </w:tcPr>
                <w:p w14:paraId="749A018D">
                  <w:pPr>
                    <w:jc w:val="center"/>
                    <w:rPr>
                      <w:sz w:val="18"/>
                      <w:szCs w:val="18"/>
                    </w:rPr>
                  </w:pPr>
                </w:p>
              </w:tc>
              <w:tc>
                <w:tcPr>
                  <w:tcW w:w="434" w:type="pct"/>
                  <w:vMerge w:val="continue"/>
                  <w:vAlign w:val="center"/>
                </w:tcPr>
                <w:p w14:paraId="533A64A6">
                  <w:pPr>
                    <w:jc w:val="center"/>
                    <w:rPr>
                      <w:sz w:val="18"/>
                      <w:szCs w:val="18"/>
                    </w:rPr>
                  </w:pPr>
                </w:p>
              </w:tc>
              <w:tc>
                <w:tcPr>
                  <w:tcW w:w="498" w:type="pct"/>
                  <w:vMerge w:val="continue"/>
                  <w:vAlign w:val="center"/>
                </w:tcPr>
                <w:p w14:paraId="023419D6">
                  <w:pPr>
                    <w:jc w:val="center"/>
                    <w:rPr>
                      <w:sz w:val="18"/>
                      <w:szCs w:val="18"/>
                    </w:rPr>
                  </w:pPr>
                </w:p>
              </w:tc>
              <w:tc>
                <w:tcPr>
                  <w:tcW w:w="838" w:type="pct"/>
                  <w:vAlign w:val="center"/>
                </w:tcPr>
                <w:p w14:paraId="23CFDEF1">
                  <w:pPr>
                    <w:jc w:val="center"/>
                    <w:rPr>
                      <w:bCs/>
                      <w:kern w:val="0"/>
                      <w:sz w:val="18"/>
                      <w:szCs w:val="18"/>
                    </w:rPr>
                  </w:pPr>
                  <w:r>
                    <w:rPr>
                      <w:bCs/>
                      <w:kern w:val="0"/>
                      <w:sz w:val="18"/>
                      <w:szCs w:val="18"/>
                    </w:rPr>
                    <w:t>经度</w:t>
                  </w:r>
                </w:p>
              </w:tc>
              <w:tc>
                <w:tcPr>
                  <w:tcW w:w="774" w:type="pct"/>
                  <w:vAlign w:val="center"/>
                </w:tcPr>
                <w:p w14:paraId="78A87FDE">
                  <w:pPr>
                    <w:jc w:val="center"/>
                    <w:rPr>
                      <w:bCs/>
                      <w:kern w:val="0"/>
                      <w:sz w:val="18"/>
                      <w:szCs w:val="18"/>
                    </w:rPr>
                  </w:pPr>
                  <w:r>
                    <w:rPr>
                      <w:bCs/>
                      <w:kern w:val="0"/>
                      <w:sz w:val="18"/>
                      <w:szCs w:val="18"/>
                    </w:rPr>
                    <w:t>纬度</w:t>
                  </w:r>
                </w:p>
              </w:tc>
            </w:tr>
            <w:tr w14:paraId="6F212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59" w:type="pct"/>
                  <w:vAlign w:val="center"/>
                </w:tcPr>
                <w:p w14:paraId="3B1A73D7">
                  <w:pPr>
                    <w:jc w:val="center"/>
                    <w:rPr>
                      <w:sz w:val="18"/>
                      <w:szCs w:val="18"/>
                    </w:rPr>
                  </w:pPr>
                  <w:r>
                    <w:rPr>
                      <w:sz w:val="18"/>
                      <w:szCs w:val="18"/>
                    </w:rPr>
                    <w:t>1</w:t>
                  </w:r>
                </w:p>
              </w:tc>
              <w:tc>
                <w:tcPr>
                  <w:tcW w:w="731" w:type="pct"/>
                  <w:vAlign w:val="center"/>
                </w:tcPr>
                <w:p w14:paraId="00DADB0C">
                  <w:pPr>
                    <w:jc w:val="center"/>
                    <w:rPr>
                      <w:kern w:val="0"/>
                      <w:sz w:val="18"/>
                      <w:szCs w:val="18"/>
                    </w:rPr>
                  </w:pPr>
                  <w:r>
                    <w:rPr>
                      <w:kern w:val="0"/>
                      <w:sz w:val="18"/>
                      <w:szCs w:val="18"/>
                    </w:rPr>
                    <w:t>DA001</w:t>
                  </w:r>
                </w:p>
                <w:p w14:paraId="671209F6">
                  <w:pPr>
                    <w:jc w:val="center"/>
                    <w:rPr>
                      <w:sz w:val="18"/>
                      <w:szCs w:val="18"/>
                    </w:rPr>
                  </w:pPr>
                  <w:r>
                    <w:rPr>
                      <w:kern w:val="0"/>
                      <w:sz w:val="18"/>
                      <w:szCs w:val="18"/>
                    </w:rPr>
                    <w:t>排气筒</w:t>
                  </w:r>
                </w:p>
              </w:tc>
              <w:tc>
                <w:tcPr>
                  <w:tcW w:w="419" w:type="pct"/>
                  <w:vAlign w:val="center"/>
                </w:tcPr>
                <w:p w14:paraId="3A1521D2">
                  <w:pPr>
                    <w:jc w:val="center"/>
                    <w:rPr>
                      <w:sz w:val="18"/>
                      <w:szCs w:val="18"/>
                    </w:rPr>
                  </w:pPr>
                  <w:r>
                    <w:rPr>
                      <w:kern w:val="0"/>
                      <w:sz w:val="18"/>
                      <w:szCs w:val="18"/>
                    </w:rPr>
                    <w:t>一般排放口</w:t>
                  </w:r>
                </w:p>
              </w:tc>
              <w:tc>
                <w:tcPr>
                  <w:tcW w:w="471" w:type="pct"/>
                  <w:vAlign w:val="center"/>
                </w:tcPr>
                <w:p w14:paraId="57BF5978">
                  <w:pPr>
                    <w:jc w:val="center"/>
                    <w:rPr>
                      <w:sz w:val="18"/>
                      <w:szCs w:val="18"/>
                    </w:rPr>
                  </w:pPr>
                  <w:r>
                    <w:rPr>
                      <w:sz w:val="18"/>
                      <w:szCs w:val="18"/>
                    </w:rPr>
                    <w:t>35</w:t>
                  </w:r>
                </w:p>
              </w:tc>
              <w:tc>
                <w:tcPr>
                  <w:tcW w:w="576" w:type="pct"/>
                  <w:vAlign w:val="center"/>
                </w:tcPr>
                <w:p w14:paraId="62D824D0">
                  <w:pPr>
                    <w:jc w:val="center"/>
                    <w:rPr>
                      <w:sz w:val="18"/>
                      <w:szCs w:val="18"/>
                    </w:rPr>
                  </w:pPr>
                  <w:r>
                    <w:rPr>
                      <w:sz w:val="18"/>
                      <w:szCs w:val="18"/>
                    </w:rPr>
                    <w:t>1.5</w:t>
                  </w:r>
                </w:p>
              </w:tc>
              <w:tc>
                <w:tcPr>
                  <w:tcW w:w="434" w:type="pct"/>
                  <w:vAlign w:val="center"/>
                </w:tcPr>
                <w:p w14:paraId="19091FB3">
                  <w:pPr>
                    <w:jc w:val="center"/>
                    <w:rPr>
                      <w:sz w:val="18"/>
                      <w:szCs w:val="18"/>
                    </w:rPr>
                  </w:pPr>
                  <w:r>
                    <w:rPr>
                      <w:kern w:val="0"/>
                      <w:sz w:val="18"/>
                      <w:szCs w:val="18"/>
                    </w:rPr>
                    <w:t>颗粒物、二氧化硫、氮氧化物、林格曼黑度</w:t>
                  </w:r>
                </w:p>
              </w:tc>
              <w:tc>
                <w:tcPr>
                  <w:tcW w:w="498" w:type="pct"/>
                  <w:vAlign w:val="center"/>
                </w:tcPr>
                <w:p w14:paraId="0E11CB3B">
                  <w:pPr>
                    <w:jc w:val="center"/>
                    <w:rPr>
                      <w:sz w:val="18"/>
                      <w:szCs w:val="18"/>
                    </w:rPr>
                  </w:pPr>
                  <w:r>
                    <w:rPr>
                      <w:sz w:val="18"/>
                      <w:szCs w:val="18"/>
                    </w:rPr>
                    <w:t>120</w:t>
                  </w:r>
                </w:p>
              </w:tc>
              <w:tc>
                <w:tcPr>
                  <w:tcW w:w="838" w:type="pct"/>
                  <w:vAlign w:val="center"/>
                </w:tcPr>
                <w:p w14:paraId="5BAE488F">
                  <w:pPr>
                    <w:jc w:val="center"/>
                    <w:rPr>
                      <w:bCs/>
                      <w:kern w:val="0"/>
                      <w:sz w:val="18"/>
                      <w:szCs w:val="18"/>
                    </w:rPr>
                  </w:pPr>
                  <w:r>
                    <w:rPr>
                      <w:bCs/>
                      <w:kern w:val="0"/>
                      <w:sz w:val="18"/>
                      <w:szCs w:val="18"/>
                    </w:rPr>
                    <w:t>129.03940201</w:t>
                  </w:r>
                </w:p>
              </w:tc>
              <w:tc>
                <w:tcPr>
                  <w:tcW w:w="774" w:type="pct"/>
                  <w:vAlign w:val="center"/>
                </w:tcPr>
                <w:p w14:paraId="482283A5">
                  <w:pPr>
                    <w:jc w:val="center"/>
                    <w:rPr>
                      <w:bCs/>
                      <w:kern w:val="0"/>
                      <w:sz w:val="18"/>
                      <w:szCs w:val="18"/>
                    </w:rPr>
                  </w:pPr>
                  <w:r>
                    <w:rPr>
                      <w:bCs/>
                      <w:kern w:val="0"/>
                      <w:sz w:val="18"/>
                      <w:szCs w:val="18"/>
                    </w:rPr>
                    <w:t>47.79686877</w:t>
                  </w:r>
                </w:p>
              </w:tc>
            </w:tr>
          </w:tbl>
          <w:p w14:paraId="66001180">
            <w:pPr>
              <w:spacing w:line="360" w:lineRule="auto"/>
              <w:ind w:firstLine="420" w:firstLineChars="200"/>
              <w:contextualSpacing/>
              <w:rPr>
                <w:szCs w:val="21"/>
              </w:rPr>
            </w:pPr>
            <w:r>
              <w:rPr>
                <w:rFonts w:hint="eastAsia"/>
                <w:szCs w:val="21"/>
              </w:rPr>
              <w:t>（5）</w:t>
            </w:r>
            <w:r>
              <w:rPr>
                <w:szCs w:val="21"/>
              </w:rPr>
              <w:t>非正常工况</w:t>
            </w:r>
          </w:p>
          <w:p w14:paraId="2BAC406E">
            <w:pPr>
              <w:spacing w:line="360" w:lineRule="auto"/>
              <w:ind w:firstLine="420" w:firstLineChars="200"/>
              <w:rPr>
                <w:szCs w:val="21"/>
              </w:rPr>
            </w:pPr>
            <w:r>
              <w:rPr>
                <w:szCs w:val="21"/>
              </w:rPr>
              <w:t>污染物非正常排放情况为：废气治理措施发生故障，废气未经处理直接排放。</w:t>
            </w:r>
          </w:p>
          <w:p w14:paraId="0309E101">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19</w:t>
            </w:r>
            <w:r>
              <w:rPr>
                <w:color w:val="000000" w:themeColor="text1"/>
                <w14:textFill>
                  <w14:solidFill>
                    <w14:schemeClr w14:val="tx1"/>
                  </w14:solidFill>
                </w14:textFill>
              </w:rPr>
              <w:t xml:space="preserve">  非正常工况源强核算结果及相关参数一览表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1380"/>
              <w:gridCol w:w="955"/>
              <w:gridCol w:w="1446"/>
              <w:gridCol w:w="928"/>
              <w:gridCol w:w="937"/>
              <w:gridCol w:w="1089"/>
            </w:tblGrid>
            <w:tr w14:paraId="15E07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Align w:val="center"/>
                </w:tcPr>
                <w:p w14:paraId="2D099C4F">
                  <w:pPr>
                    <w:jc w:val="center"/>
                    <w:rPr>
                      <w:sz w:val="18"/>
                      <w:szCs w:val="18"/>
                    </w:rPr>
                  </w:pPr>
                  <w:r>
                    <w:rPr>
                      <w:sz w:val="18"/>
                      <w:szCs w:val="18"/>
                    </w:rPr>
                    <w:t>非正常排放源</w:t>
                  </w:r>
                </w:p>
              </w:tc>
              <w:tc>
                <w:tcPr>
                  <w:tcW w:w="1573" w:type="dxa"/>
                  <w:vAlign w:val="center"/>
                </w:tcPr>
                <w:p w14:paraId="64BE5E56">
                  <w:pPr>
                    <w:jc w:val="center"/>
                    <w:rPr>
                      <w:sz w:val="18"/>
                      <w:szCs w:val="18"/>
                    </w:rPr>
                  </w:pPr>
                  <w:r>
                    <w:rPr>
                      <w:sz w:val="18"/>
                      <w:szCs w:val="18"/>
                    </w:rPr>
                    <w:t>非正常排放原因</w:t>
                  </w:r>
                </w:p>
              </w:tc>
              <w:tc>
                <w:tcPr>
                  <w:tcW w:w="1090" w:type="dxa"/>
                  <w:vAlign w:val="center"/>
                </w:tcPr>
                <w:p w14:paraId="7635FFB3">
                  <w:pPr>
                    <w:jc w:val="center"/>
                    <w:rPr>
                      <w:sz w:val="18"/>
                      <w:szCs w:val="18"/>
                    </w:rPr>
                  </w:pPr>
                  <w:r>
                    <w:rPr>
                      <w:sz w:val="18"/>
                      <w:szCs w:val="18"/>
                    </w:rPr>
                    <w:t>污染物</w:t>
                  </w:r>
                </w:p>
              </w:tc>
              <w:tc>
                <w:tcPr>
                  <w:tcW w:w="1529" w:type="dxa"/>
                  <w:vAlign w:val="center"/>
                </w:tcPr>
                <w:p w14:paraId="109F7CE7">
                  <w:pPr>
                    <w:jc w:val="center"/>
                    <w:rPr>
                      <w:sz w:val="18"/>
                      <w:szCs w:val="18"/>
                    </w:rPr>
                  </w:pPr>
                  <w:r>
                    <w:rPr>
                      <w:sz w:val="18"/>
                      <w:szCs w:val="18"/>
                    </w:rPr>
                    <w:t>非正常排放速率/(kg/h)</w:t>
                  </w:r>
                </w:p>
              </w:tc>
              <w:tc>
                <w:tcPr>
                  <w:tcW w:w="1056" w:type="dxa"/>
                  <w:vAlign w:val="center"/>
                </w:tcPr>
                <w:p w14:paraId="51875B98">
                  <w:pPr>
                    <w:jc w:val="center"/>
                    <w:rPr>
                      <w:sz w:val="18"/>
                      <w:szCs w:val="18"/>
                    </w:rPr>
                  </w:pPr>
                  <w:r>
                    <w:rPr>
                      <w:sz w:val="18"/>
                      <w:szCs w:val="18"/>
                    </w:rPr>
                    <w:t>单次持续时间/h</w:t>
                  </w:r>
                </w:p>
              </w:tc>
              <w:tc>
                <w:tcPr>
                  <w:tcW w:w="1067" w:type="dxa"/>
                  <w:vAlign w:val="center"/>
                </w:tcPr>
                <w:p w14:paraId="50D1C077">
                  <w:pPr>
                    <w:jc w:val="center"/>
                    <w:rPr>
                      <w:sz w:val="18"/>
                      <w:szCs w:val="18"/>
                    </w:rPr>
                  </w:pPr>
                  <w:r>
                    <w:rPr>
                      <w:sz w:val="18"/>
                      <w:szCs w:val="18"/>
                    </w:rPr>
                    <w:t>年发生频次/次</w:t>
                  </w:r>
                </w:p>
              </w:tc>
              <w:tc>
                <w:tcPr>
                  <w:tcW w:w="1212" w:type="dxa"/>
                  <w:vAlign w:val="center"/>
                </w:tcPr>
                <w:p w14:paraId="19D184CD">
                  <w:pPr>
                    <w:jc w:val="center"/>
                    <w:rPr>
                      <w:sz w:val="18"/>
                      <w:szCs w:val="18"/>
                    </w:rPr>
                  </w:pPr>
                  <w:r>
                    <w:rPr>
                      <w:sz w:val="18"/>
                      <w:szCs w:val="18"/>
                    </w:rPr>
                    <w:t>治理措施</w:t>
                  </w:r>
                </w:p>
              </w:tc>
            </w:tr>
            <w:tr w14:paraId="5797E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Merge w:val="restart"/>
                  <w:vAlign w:val="center"/>
                </w:tcPr>
                <w:p w14:paraId="5E77004C">
                  <w:pPr>
                    <w:jc w:val="center"/>
                    <w:rPr>
                      <w:sz w:val="18"/>
                      <w:szCs w:val="18"/>
                    </w:rPr>
                  </w:pPr>
                  <w:r>
                    <w:rPr>
                      <w:sz w:val="18"/>
                      <w:szCs w:val="18"/>
                    </w:rPr>
                    <w:t>DA001</w:t>
                  </w:r>
                </w:p>
              </w:tc>
              <w:tc>
                <w:tcPr>
                  <w:tcW w:w="1573" w:type="dxa"/>
                  <w:vAlign w:val="center"/>
                </w:tcPr>
                <w:p w14:paraId="165351C2">
                  <w:pPr>
                    <w:jc w:val="center"/>
                    <w:rPr>
                      <w:sz w:val="18"/>
                      <w:szCs w:val="18"/>
                    </w:rPr>
                  </w:pPr>
                  <w:r>
                    <w:rPr>
                      <w:sz w:val="18"/>
                      <w:szCs w:val="18"/>
                    </w:rPr>
                    <w:t>布袋除尘器发生故障，处理效率为80%</w:t>
                  </w:r>
                </w:p>
              </w:tc>
              <w:tc>
                <w:tcPr>
                  <w:tcW w:w="1090" w:type="dxa"/>
                  <w:vAlign w:val="center"/>
                </w:tcPr>
                <w:p w14:paraId="15743368">
                  <w:pPr>
                    <w:jc w:val="center"/>
                    <w:rPr>
                      <w:sz w:val="18"/>
                      <w:szCs w:val="18"/>
                    </w:rPr>
                  </w:pPr>
                  <w:r>
                    <w:rPr>
                      <w:sz w:val="18"/>
                      <w:szCs w:val="18"/>
                    </w:rPr>
                    <w:t>颗粒物</w:t>
                  </w:r>
                </w:p>
              </w:tc>
              <w:tc>
                <w:tcPr>
                  <w:tcW w:w="1529" w:type="dxa"/>
                  <w:vAlign w:val="center"/>
                </w:tcPr>
                <w:p w14:paraId="25E4CB8A">
                  <w:pPr>
                    <w:pStyle w:val="119"/>
                    <w:ind w:firstLine="480"/>
                    <w:rPr>
                      <w:sz w:val="18"/>
                      <w:szCs w:val="18"/>
                    </w:rPr>
                  </w:pPr>
                  <w:r>
                    <w:rPr>
                      <w:rFonts w:hint="eastAsia"/>
                      <w:sz w:val="18"/>
                      <w:szCs w:val="18"/>
                    </w:rPr>
                    <w:t>7.272</w:t>
                  </w:r>
                </w:p>
              </w:tc>
              <w:tc>
                <w:tcPr>
                  <w:tcW w:w="1056" w:type="dxa"/>
                  <w:vAlign w:val="center"/>
                </w:tcPr>
                <w:p w14:paraId="55612DCC">
                  <w:pPr>
                    <w:jc w:val="center"/>
                    <w:rPr>
                      <w:sz w:val="18"/>
                      <w:szCs w:val="18"/>
                    </w:rPr>
                  </w:pPr>
                  <w:r>
                    <w:rPr>
                      <w:sz w:val="18"/>
                      <w:szCs w:val="18"/>
                    </w:rPr>
                    <w:t>＜1</w:t>
                  </w:r>
                </w:p>
              </w:tc>
              <w:tc>
                <w:tcPr>
                  <w:tcW w:w="1067" w:type="dxa"/>
                  <w:vAlign w:val="center"/>
                </w:tcPr>
                <w:p w14:paraId="0C26BB96">
                  <w:pPr>
                    <w:jc w:val="center"/>
                    <w:rPr>
                      <w:sz w:val="18"/>
                      <w:szCs w:val="18"/>
                    </w:rPr>
                  </w:pPr>
                  <w:r>
                    <w:rPr>
                      <w:sz w:val="18"/>
                      <w:szCs w:val="18"/>
                    </w:rPr>
                    <w:t>1</w:t>
                  </w:r>
                </w:p>
              </w:tc>
              <w:tc>
                <w:tcPr>
                  <w:tcW w:w="1212" w:type="dxa"/>
                  <w:vAlign w:val="center"/>
                </w:tcPr>
                <w:p w14:paraId="44F7201D">
                  <w:pPr>
                    <w:jc w:val="center"/>
                    <w:rPr>
                      <w:sz w:val="18"/>
                      <w:szCs w:val="18"/>
                    </w:rPr>
                  </w:pPr>
                  <w:r>
                    <w:rPr>
                      <w:sz w:val="18"/>
                      <w:szCs w:val="18"/>
                    </w:rPr>
                    <w:t>设备停止运行，进行检修维护</w:t>
                  </w:r>
                </w:p>
              </w:tc>
            </w:tr>
            <w:tr w14:paraId="377EC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Merge w:val="continue"/>
                  <w:vAlign w:val="center"/>
                </w:tcPr>
                <w:p w14:paraId="78D2C2FF">
                  <w:pPr>
                    <w:jc w:val="center"/>
                    <w:rPr>
                      <w:sz w:val="18"/>
                      <w:szCs w:val="18"/>
                    </w:rPr>
                  </w:pPr>
                </w:p>
              </w:tc>
              <w:tc>
                <w:tcPr>
                  <w:tcW w:w="1573" w:type="dxa"/>
                  <w:vAlign w:val="center"/>
                </w:tcPr>
                <w:p w14:paraId="488FB4F6">
                  <w:pPr>
                    <w:jc w:val="center"/>
                    <w:rPr>
                      <w:sz w:val="18"/>
                      <w:szCs w:val="18"/>
                    </w:rPr>
                  </w:pPr>
                  <w:r>
                    <w:rPr>
                      <w:sz w:val="18"/>
                      <w:szCs w:val="18"/>
                    </w:rPr>
                    <w:t>低氮燃烧器故障，处理效率为0</w:t>
                  </w:r>
                </w:p>
              </w:tc>
              <w:tc>
                <w:tcPr>
                  <w:tcW w:w="1090" w:type="dxa"/>
                  <w:vAlign w:val="center"/>
                </w:tcPr>
                <w:p w14:paraId="4C1E12D0">
                  <w:pPr>
                    <w:jc w:val="center"/>
                    <w:rPr>
                      <w:sz w:val="18"/>
                      <w:szCs w:val="18"/>
                    </w:rPr>
                  </w:pPr>
                  <w:r>
                    <w:rPr>
                      <w:sz w:val="18"/>
                      <w:szCs w:val="18"/>
                    </w:rPr>
                    <w:t>氮氧化物</w:t>
                  </w:r>
                </w:p>
              </w:tc>
              <w:tc>
                <w:tcPr>
                  <w:tcW w:w="1529" w:type="dxa"/>
                  <w:vAlign w:val="center"/>
                </w:tcPr>
                <w:p w14:paraId="38C4A069">
                  <w:pPr>
                    <w:pStyle w:val="119"/>
                    <w:ind w:firstLine="480"/>
                    <w:rPr>
                      <w:sz w:val="18"/>
                      <w:szCs w:val="18"/>
                    </w:rPr>
                  </w:pPr>
                  <w:r>
                    <w:rPr>
                      <w:sz w:val="18"/>
                      <w:szCs w:val="18"/>
                    </w:rPr>
                    <w:t>1.15</w:t>
                  </w:r>
                </w:p>
              </w:tc>
              <w:tc>
                <w:tcPr>
                  <w:tcW w:w="1056" w:type="dxa"/>
                  <w:vAlign w:val="center"/>
                </w:tcPr>
                <w:p w14:paraId="6A4AB6BB">
                  <w:pPr>
                    <w:jc w:val="center"/>
                    <w:rPr>
                      <w:sz w:val="18"/>
                      <w:szCs w:val="18"/>
                    </w:rPr>
                  </w:pPr>
                  <w:r>
                    <w:rPr>
                      <w:sz w:val="18"/>
                      <w:szCs w:val="18"/>
                    </w:rPr>
                    <w:t>＜1</w:t>
                  </w:r>
                </w:p>
              </w:tc>
              <w:tc>
                <w:tcPr>
                  <w:tcW w:w="1067" w:type="dxa"/>
                  <w:vAlign w:val="center"/>
                </w:tcPr>
                <w:p w14:paraId="4F5114ED">
                  <w:pPr>
                    <w:jc w:val="center"/>
                    <w:rPr>
                      <w:sz w:val="18"/>
                      <w:szCs w:val="18"/>
                    </w:rPr>
                  </w:pPr>
                  <w:r>
                    <w:rPr>
                      <w:sz w:val="18"/>
                      <w:szCs w:val="18"/>
                    </w:rPr>
                    <w:t>1</w:t>
                  </w:r>
                </w:p>
              </w:tc>
              <w:tc>
                <w:tcPr>
                  <w:tcW w:w="1212" w:type="dxa"/>
                  <w:vAlign w:val="center"/>
                </w:tcPr>
                <w:p w14:paraId="749C9EA3">
                  <w:pPr>
                    <w:jc w:val="center"/>
                    <w:rPr>
                      <w:sz w:val="18"/>
                      <w:szCs w:val="18"/>
                    </w:rPr>
                  </w:pPr>
                  <w:r>
                    <w:rPr>
                      <w:sz w:val="18"/>
                      <w:szCs w:val="18"/>
                    </w:rPr>
                    <w:t>设备停止运行，进行检修维护</w:t>
                  </w:r>
                </w:p>
              </w:tc>
            </w:tr>
          </w:tbl>
          <w:p w14:paraId="1653AF46">
            <w:pPr>
              <w:pStyle w:val="109"/>
              <w:adjustRightInd w:val="0"/>
              <w:spacing w:line="336" w:lineRule="auto"/>
              <w:ind w:firstLine="420"/>
              <w:rPr>
                <w:szCs w:val="21"/>
              </w:rPr>
            </w:pPr>
            <w:r>
              <w:rPr>
                <w:rFonts w:hint="eastAsia"/>
                <w:szCs w:val="21"/>
              </w:rPr>
              <w:t>（6）</w:t>
            </w:r>
            <w:r>
              <w:rPr>
                <w:szCs w:val="21"/>
              </w:rPr>
              <w:t>废气治理措施可行性</w:t>
            </w:r>
          </w:p>
          <w:p w14:paraId="2377DC1C">
            <w:pPr>
              <w:pStyle w:val="109"/>
              <w:adjustRightInd w:val="0"/>
              <w:spacing w:line="336" w:lineRule="auto"/>
              <w:ind w:firstLine="420"/>
              <w:rPr>
                <w:szCs w:val="21"/>
              </w:rPr>
            </w:pPr>
            <w:bookmarkStart w:id="45" w:name="_Hlk111667044"/>
            <w:r>
              <w:rPr>
                <w:szCs w:val="21"/>
              </w:rPr>
              <w:fldChar w:fldCharType="begin"/>
            </w:r>
            <w:r>
              <w:rPr>
                <w:szCs w:val="21"/>
              </w:rPr>
              <w:instrText xml:space="preserve"> </w:instrText>
            </w:r>
            <w:r>
              <w:rPr>
                <w:rFonts w:hint="eastAsia"/>
                <w:szCs w:val="21"/>
              </w:rPr>
              <w:instrText xml:space="preserve">= 1 \* GB3</w:instrText>
            </w:r>
            <w:r>
              <w:rPr>
                <w:szCs w:val="21"/>
              </w:rPr>
              <w:instrText xml:space="preserve"> </w:instrText>
            </w:r>
            <w:r>
              <w:rPr>
                <w:szCs w:val="21"/>
              </w:rPr>
              <w:fldChar w:fldCharType="separate"/>
            </w:r>
            <w:r>
              <w:rPr>
                <w:rFonts w:hint="eastAsia"/>
                <w:szCs w:val="21"/>
              </w:rPr>
              <w:t>①</w:t>
            </w:r>
            <w:r>
              <w:rPr>
                <w:szCs w:val="21"/>
              </w:rPr>
              <w:fldChar w:fldCharType="end"/>
            </w:r>
            <w:r>
              <w:rPr>
                <w:szCs w:val="21"/>
              </w:rPr>
              <w:t>治理措施</w:t>
            </w:r>
          </w:p>
          <w:p w14:paraId="4843E32E">
            <w:pPr>
              <w:pStyle w:val="109"/>
              <w:adjustRightInd w:val="0"/>
              <w:spacing w:line="336" w:lineRule="auto"/>
              <w:ind w:firstLine="420"/>
              <w:rPr>
                <w:szCs w:val="21"/>
              </w:rPr>
            </w:pPr>
            <w:r>
              <w:rPr>
                <w:szCs w:val="21"/>
              </w:rPr>
              <w:t>本项目</w:t>
            </w:r>
            <w:r>
              <w:rPr>
                <w:rFonts w:hint="eastAsia"/>
                <w:szCs w:val="21"/>
              </w:rPr>
              <w:t>3.</w:t>
            </w:r>
            <w:r>
              <w:rPr>
                <w:szCs w:val="21"/>
              </w:rPr>
              <w:t>5MW专用生物质热水锅炉</w:t>
            </w:r>
            <w:r>
              <w:rPr>
                <w:rFonts w:hint="eastAsia"/>
                <w:szCs w:val="21"/>
              </w:rPr>
              <w:t>烟气采用多管旋风+布袋除尘器+低氮燃烧器，通过一根35m高烟囱高空排放（DA001）。颗粒物、二氧化硫、氮氧化物的排放浓度和烟气黑度均满足《锅炉大气污染物排放标准》（GB13271-2014）表2中燃煤锅炉大气污染物排放限值要求。</w:t>
            </w:r>
          </w:p>
          <w:p w14:paraId="6F6F40B6">
            <w:pPr>
              <w:pStyle w:val="109"/>
              <w:adjustRightInd w:val="0"/>
              <w:spacing w:line="336" w:lineRule="auto"/>
              <w:ind w:firstLine="420"/>
              <w:rPr>
                <w:szCs w:val="21"/>
              </w:rPr>
            </w:pPr>
            <w:r>
              <w:rPr>
                <w:rFonts w:hint="eastAsia"/>
                <w:szCs w:val="21"/>
              </w:rPr>
              <w:t>锅炉灰渣由密封袋收集，收集后暂存在锅炉房内的灰渣间，灰渣转运过程中采取洒水降尘措施，灰渣间为全封闭，贮存过程中锅炉房定期洒水降尘。通过以上措施厂界颗粒物无组织排放浓度满足《大气污染物综合排放标准》（GB16297-1996）表2中无组织排放监控浓度限值要求。</w:t>
            </w:r>
          </w:p>
          <w:bookmarkEnd w:id="45"/>
          <w:p w14:paraId="1A1280A1">
            <w:pPr>
              <w:pStyle w:val="109"/>
              <w:adjustRightInd w:val="0"/>
              <w:spacing w:line="336" w:lineRule="auto"/>
              <w:ind w:firstLine="420"/>
              <w:rPr>
                <w:szCs w:val="21"/>
              </w:rPr>
            </w:pPr>
            <w:r>
              <w:rPr>
                <w:szCs w:val="21"/>
              </w:rPr>
              <w:fldChar w:fldCharType="begin"/>
            </w:r>
            <w:r>
              <w:rPr>
                <w:szCs w:val="21"/>
              </w:rPr>
              <w:instrText xml:space="preserve"> </w:instrText>
            </w:r>
            <w:r>
              <w:rPr>
                <w:rFonts w:hint="eastAsia"/>
                <w:szCs w:val="21"/>
              </w:rPr>
              <w:instrText xml:space="preserve">= 2 \* GB3</w:instrText>
            </w:r>
            <w:r>
              <w:rPr>
                <w:szCs w:val="21"/>
              </w:rPr>
              <w:instrText xml:space="preserve"> </w:instrText>
            </w:r>
            <w:r>
              <w:rPr>
                <w:szCs w:val="21"/>
              </w:rPr>
              <w:fldChar w:fldCharType="separate"/>
            </w:r>
            <w:r>
              <w:rPr>
                <w:rFonts w:hint="eastAsia"/>
                <w:szCs w:val="21"/>
              </w:rPr>
              <w:t>②</w:t>
            </w:r>
            <w:r>
              <w:rPr>
                <w:szCs w:val="21"/>
              </w:rPr>
              <w:fldChar w:fldCharType="end"/>
            </w:r>
            <w:r>
              <w:rPr>
                <w:szCs w:val="21"/>
              </w:rPr>
              <w:t>技术可行性分析</w:t>
            </w:r>
          </w:p>
          <w:p w14:paraId="52DD535D">
            <w:pPr>
              <w:pStyle w:val="109"/>
              <w:adjustRightInd w:val="0"/>
              <w:spacing w:line="336" w:lineRule="auto"/>
              <w:ind w:firstLine="420"/>
              <w:rPr>
                <w:szCs w:val="21"/>
              </w:rPr>
            </w:pPr>
            <w:bookmarkStart w:id="46" w:name="_Hlk170223809"/>
            <w:r>
              <w:rPr>
                <w:szCs w:val="21"/>
              </w:rPr>
              <w:t>根据《工业锅炉污染防治可行技术指南》（HJ 1178—2021）</w:t>
            </w:r>
            <w:r>
              <w:rPr>
                <w:rFonts w:hint="eastAsia"/>
                <w:szCs w:val="21"/>
              </w:rPr>
              <w:t>和</w:t>
            </w:r>
            <w:r>
              <w:rPr>
                <w:szCs w:val="21"/>
              </w:rPr>
              <w:t>《排污许可证申请与核发技术规范 锅炉》（HJ953-2018）6.2废气6.2.1可行技术表7锅炉烟气污染防治可行技术中要求的燃生物质锅炉颗粒物配备“旋风除尘和袋式除尘组合技术”，氮氧化物一般地区的可行性技术包含低氮燃烧技术。因此本项目生物质热水锅炉除尘和脱硝为可行性技术。</w:t>
            </w:r>
          </w:p>
          <w:p w14:paraId="0FD3FD71">
            <w:pPr>
              <w:pStyle w:val="5"/>
              <w:spacing w:before="0" w:after="0" w:line="360" w:lineRule="auto"/>
              <w:ind w:firstLine="420" w:firstLineChars="200"/>
              <w:rPr>
                <w:sz w:val="21"/>
                <w:szCs w:val="21"/>
              </w:rPr>
            </w:pPr>
            <w:r>
              <w:rPr>
                <w:sz w:val="21"/>
                <w:szCs w:val="21"/>
              </w:rPr>
              <w:t>根据《锅炉大气污染物排放标准》（GB13271-2014）中对于锅炉排气筒的要求可知，排气筒应高于周边 200m 范围最高建筑高度3m以上，本项目燃生物质热水锅炉烟囱高度</w:t>
            </w:r>
            <w:r>
              <w:rPr>
                <w:rFonts w:hint="eastAsia"/>
                <w:sz w:val="21"/>
                <w:szCs w:val="21"/>
              </w:rPr>
              <w:t>35m</w:t>
            </w:r>
            <w:r>
              <w:rPr>
                <w:sz w:val="21"/>
                <w:szCs w:val="21"/>
              </w:rPr>
              <w:t>，</w:t>
            </w:r>
            <w:r>
              <w:rPr>
                <w:rFonts w:hint="eastAsia"/>
                <w:sz w:val="21"/>
                <w:szCs w:val="21"/>
              </w:rPr>
              <w:t>排气筒周边</w:t>
            </w:r>
            <w:r>
              <w:rPr>
                <w:sz w:val="21"/>
                <w:szCs w:val="21"/>
              </w:rPr>
              <w:t>200m范围内最高建筑物</w:t>
            </w:r>
            <w:r>
              <w:rPr>
                <w:rFonts w:hint="eastAsia"/>
                <w:sz w:val="21"/>
                <w:szCs w:val="21"/>
              </w:rPr>
              <w:t>为本项目建设的酒店，高度为16.5m，因此本项目建设的烟囱高度</w:t>
            </w:r>
            <w:r>
              <w:rPr>
                <w:sz w:val="21"/>
                <w:szCs w:val="21"/>
              </w:rPr>
              <w:t>高于周边200m范围内最高建筑物高度3m以上，符合《锅炉大气污染物排放标准》（GB13271-2014）对于锅炉高度的要求。</w:t>
            </w:r>
          </w:p>
          <w:bookmarkEnd w:id="46"/>
          <w:p w14:paraId="55CC60C4">
            <w:pPr>
              <w:pStyle w:val="109"/>
              <w:adjustRightInd w:val="0"/>
              <w:spacing w:line="336" w:lineRule="auto"/>
              <w:ind w:firstLine="420"/>
              <w:rPr>
                <w:szCs w:val="21"/>
              </w:rPr>
            </w:pPr>
            <w:r>
              <w:rPr>
                <w:rFonts w:hint="eastAsia"/>
                <w:szCs w:val="21"/>
              </w:rPr>
              <w:t>（7）</w:t>
            </w:r>
            <w:r>
              <w:rPr>
                <w:szCs w:val="21"/>
              </w:rPr>
              <w:t>监测计划</w:t>
            </w:r>
          </w:p>
          <w:p w14:paraId="1CA9172C">
            <w:pPr>
              <w:adjustRightInd w:val="0"/>
              <w:snapToGrid w:val="0"/>
              <w:spacing w:line="360" w:lineRule="auto"/>
              <w:ind w:firstLine="400" w:firstLineChars="200"/>
              <w:rPr>
                <w:spacing w:val="-5"/>
                <w:szCs w:val="21"/>
              </w:rPr>
            </w:pPr>
            <w:r>
              <w:rPr>
                <w:spacing w:val="-5"/>
                <w:szCs w:val="21"/>
              </w:rPr>
              <w:t>根据《排污单位自行监测技术指南 总则》（HJ819-2017），</w:t>
            </w:r>
            <w:r>
              <w:rPr>
                <w:szCs w:val="21"/>
              </w:rPr>
              <w:t>和《排污单位自行监测技术指南 火力发电及锅炉》（HJ820-2017），</w:t>
            </w:r>
            <w:r>
              <w:rPr>
                <w:spacing w:val="-5"/>
                <w:szCs w:val="21"/>
              </w:rPr>
              <w:t>并结合本项目的实际排污状况制定废气监测计划。</w:t>
            </w:r>
          </w:p>
          <w:p w14:paraId="1DEAAFE7">
            <w:pPr>
              <w:pStyle w:val="46"/>
              <w:rPr>
                <w:color w:val="000000" w:themeColor="text1"/>
                <w14:textFill>
                  <w14:solidFill>
                    <w14:schemeClr w14:val="tx1"/>
                  </w14:solidFill>
                </w14:textFill>
              </w:rPr>
            </w:pPr>
            <w:r>
              <w:rPr>
                <w:color w:val="000000" w:themeColor="text1"/>
                <w14:textFill>
                  <w14:solidFill>
                    <w14:schemeClr w14:val="tx1"/>
                  </w14:solidFill>
                </w14:textFill>
              </w:rPr>
              <w:t>表4-</w:t>
            </w:r>
            <w:r>
              <w:rPr>
                <w:rFonts w:hint="eastAsia"/>
                <w:color w:val="000000" w:themeColor="text1"/>
                <w14:textFill>
                  <w14:solidFill>
                    <w14:schemeClr w14:val="tx1"/>
                  </w14:solidFill>
                </w14:textFill>
              </w:rPr>
              <w:t>20</w:t>
            </w:r>
            <w:r>
              <w:rPr>
                <w:color w:val="000000" w:themeColor="text1"/>
                <w14:textFill>
                  <w14:solidFill>
                    <w14:schemeClr w14:val="tx1"/>
                  </w14:solidFill>
                </w14:textFill>
              </w:rPr>
              <w:t xml:space="preserve"> 本项目大气污染源监测计划</w:t>
            </w:r>
          </w:p>
          <w:tbl>
            <w:tblPr>
              <w:tblStyle w:val="19"/>
              <w:tblW w:w="7635" w:type="dxa"/>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7"/>
              <w:gridCol w:w="1232"/>
              <w:gridCol w:w="998"/>
              <w:gridCol w:w="4318"/>
            </w:tblGrid>
            <w:tr w14:paraId="1E5FA676">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087" w:type="dxa"/>
                  <w:vAlign w:val="center"/>
                </w:tcPr>
                <w:p w14:paraId="4F6AFE3E">
                  <w:pPr>
                    <w:jc w:val="center"/>
                    <w:rPr>
                      <w:sz w:val="18"/>
                      <w:szCs w:val="18"/>
                    </w:rPr>
                  </w:pPr>
                  <w:r>
                    <w:rPr>
                      <w:sz w:val="18"/>
                      <w:szCs w:val="18"/>
                    </w:rPr>
                    <w:t>监测点位</w:t>
                  </w:r>
                </w:p>
              </w:tc>
              <w:tc>
                <w:tcPr>
                  <w:tcW w:w="1232" w:type="dxa"/>
                  <w:vAlign w:val="center"/>
                </w:tcPr>
                <w:p w14:paraId="56A87BBF">
                  <w:pPr>
                    <w:jc w:val="center"/>
                    <w:rPr>
                      <w:sz w:val="18"/>
                      <w:szCs w:val="18"/>
                    </w:rPr>
                  </w:pPr>
                  <w:r>
                    <w:rPr>
                      <w:sz w:val="18"/>
                      <w:szCs w:val="18"/>
                    </w:rPr>
                    <w:t>监测因子</w:t>
                  </w:r>
                </w:p>
              </w:tc>
              <w:tc>
                <w:tcPr>
                  <w:tcW w:w="998" w:type="dxa"/>
                  <w:vAlign w:val="center"/>
                </w:tcPr>
                <w:p w14:paraId="18A02575">
                  <w:pPr>
                    <w:jc w:val="center"/>
                    <w:rPr>
                      <w:sz w:val="18"/>
                      <w:szCs w:val="18"/>
                    </w:rPr>
                  </w:pPr>
                  <w:r>
                    <w:rPr>
                      <w:sz w:val="18"/>
                      <w:szCs w:val="18"/>
                    </w:rPr>
                    <w:t>日常监测计划</w:t>
                  </w:r>
                </w:p>
              </w:tc>
              <w:tc>
                <w:tcPr>
                  <w:tcW w:w="4318" w:type="dxa"/>
                  <w:vAlign w:val="center"/>
                </w:tcPr>
                <w:p w14:paraId="52C9AF87">
                  <w:pPr>
                    <w:jc w:val="center"/>
                    <w:rPr>
                      <w:sz w:val="18"/>
                      <w:szCs w:val="18"/>
                    </w:rPr>
                  </w:pPr>
                  <w:r>
                    <w:rPr>
                      <w:sz w:val="18"/>
                      <w:szCs w:val="18"/>
                    </w:rPr>
                    <w:t>执行标准</w:t>
                  </w:r>
                </w:p>
              </w:tc>
            </w:tr>
            <w:tr w14:paraId="59396202">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087" w:type="dxa"/>
                  <w:vAlign w:val="center"/>
                </w:tcPr>
                <w:p w14:paraId="5681BD3B">
                  <w:pPr>
                    <w:jc w:val="center"/>
                    <w:rPr>
                      <w:sz w:val="18"/>
                      <w:szCs w:val="18"/>
                    </w:rPr>
                  </w:pPr>
                  <w:r>
                    <w:rPr>
                      <w:sz w:val="18"/>
                      <w:szCs w:val="18"/>
                    </w:rPr>
                    <w:t>DA001</w:t>
                  </w:r>
                </w:p>
              </w:tc>
              <w:tc>
                <w:tcPr>
                  <w:tcW w:w="1232" w:type="dxa"/>
                  <w:vAlign w:val="center"/>
                </w:tcPr>
                <w:p w14:paraId="4A455B65">
                  <w:pPr>
                    <w:jc w:val="center"/>
                    <w:rPr>
                      <w:sz w:val="18"/>
                      <w:szCs w:val="18"/>
                    </w:rPr>
                  </w:pPr>
                  <w:r>
                    <w:rPr>
                      <w:kern w:val="0"/>
                      <w:sz w:val="18"/>
                      <w:szCs w:val="18"/>
                    </w:rPr>
                    <w:t>颗粒物、二氧化硫、氮氧化物、林格曼黑度</w:t>
                  </w:r>
                </w:p>
              </w:tc>
              <w:tc>
                <w:tcPr>
                  <w:tcW w:w="998" w:type="dxa"/>
                  <w:vAlign w:val="center"/>
                </w:tcPr>
                <w:p w14:paraId="61D01F29">
                  <w:pPr>
                    <w:jc w:val="center"/>
                    <w:rPr>
                      <w:sz w:val="18"/>
                      <w:szCs w:val="18"/>
                    </w:rPr>
                  </w:pPr>
                  <w:r>
                    <w:rPr>
                      <w:sz w:val="18"/>
                      <w:szCs w:val="18"/>
                    </w:rPr>
                    <w:t>1次/月</w:t>
                  </w:r>
                </w:p>
              </w:tc>
              <w:tc>
                <w:tcPr>
                  <w:tcW w:w="4318" w:type="dxa"/>
                  <w:vAlign w:val="center"/>
                </w:tcPr>
                <w:p w14:paraId="08485033">
                  <w:pPr>
                    <w:jc w:val="center"/>
                    <w:rPr>
                      <w:sz w:val="18"/>
                      <w:szCs w:val="18"/>
                    </w:rPr>
                  </w:pPr>
                  <w:r>
                    <w:rPr>
                      <w:sz w:val="18"/>
                      <w:szCs w:val="18"/>
                    </w:rPr>
                    <w:t>《锅炉大气污染物排放标准》（GB13271-2014）中表</w:t>
                  </w:r>
                  <w:r>
                    <w:rPr>
                      <w:rFonts w:hint="eastAsia"/>
                      <w:sz w:val="18"/>
                      <w:szCs w:val="18"/>
                    </w:rPr>
                    <w:t>2</w:t>
                  </w:r>
                </w:p>
              </w:tc>
            </w:tr>
            <w:tr w14:paraId="719B116A">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087" w:type="dxa"/>
                  <w:vAlign w:val="center"/>
                </w:tcPr>
                <w:p w14:paraId="0971CA63">
                  <w:pPr>
                    <w:jc w:val="center"/>
                    <w:rPr>
                      <w:sz w:val="18"/>
                      <w:szCs w:val="18"/>
                    </w:rPr>
                  </w:pPr>
                  <w:r>
                    <w:rPr>
                      <w:rFonts w:hint="eastAsia"/>
                      <w:sz w:val="18"/>
                      <w:szCs w:val="18"/>
                    </w:rPr>
                    <w:t>食堂烟道</w:t>
                  </w:r>
                </w:p>
              </w:tc>
              <w:tc>
                <w:tcPr>
                  <w:tcW w:w="1232" w:type="dxa"/>
                  <w:vAlign w:val="center"/>
                </w:tcPr>
                <w:p w14:paraId="6D6DDB67">
                  <w:pPr>
                    <w:jc w:val="center"/>
                    <w:rPr>
                      <w:kern w:val="0"/>
                      <w:sz w:val="18"/>
                      <w:szCs w:val="18"/>
                    </w:rPr>
                  </w:pPr>
                  <w:r>
                    <w:rPr>
                      <w:rFonts w:hint="eastAsia"/>
                      <w:kern w:val="0"/>
                      <w:sz w:val="18"/>
                      <w:szCs w:val="18"/>
                    </w:rPr>
                    <w:t>油烟</w:t>
                  </w:r>
                </w:p>
              </w:tc>
              <w:tc>
                <w:tcPr>
                  <w:tcW w:w="998" w:type="dxa"/>
                  <w:vAlign w:val="center"/>
                </w:tcPr>
                <w:p w14:paraId="2A86FB66">
                  <w:pPr>
                    <w:jc w:val="center"/>
                    <w:rPr>
                      <w:sz w:val="18"/>
                      <w:szCs w:val="18"/>
                    </w:rPr>
                  </w:pPr>
                  <w:r>
                    <w:rPr>
                      <w:sz w:val="18"/>
                      <w:szCs w:val="18"/>
                    </w:rPr>
                    <w:t>1次/</w:t>
                  </w:r>
                  <w:r>
                    <w:rPr>
                      <w:rFonts w:hint="eastAsia"/>
                      <w:sz w:val="18"/>
                      <w:szCs w:val="18"/>
                    </w:rPr>
                    <w:t>年</w:t>
                  </w:r>
                </w:p>
              </w:tc>
              <w:tc>
                <w:tcPr>
                  <w:tcW w:w="4318" w:type="dxa"/>
                  <w:vAlign w:val="center"/>
                </w:tcPr>
                <w:p w14:paraId="176750FF">
                  <w:pPr>
                    <w:jc w:val="center"/>
                    <w:rPr>
                      <w:kern w:val="0"/>
                      <w:sz w:val="18"/>
                      <w:szCs w:val="18"/>
                    </w:rPr>
                  </w:pPr>
                  <w:r>
                    <w:rPr>
                      <w:kern w:val="0"/>
                      <w:sz w:val="18"/>
                      <w:szCs w:val="18"/>
                    </w:rPr>
                    <w:t>《饮食业油烟排放标准（试行）》（GB18483-2001）</w:t>
                  </w:r>
                </w:p>
              </w:tc>
            </w:tr>
            <w:tr w14:paraId="2DC065F6">
              <w:tblPrEx>
                <w:tblCellMar>
                  <w:top w:w="0" w:type="dxa"/>
                  <w:left w:w="108" w:type="dxa"/>
                  <w:bottom w:w="0" w:type="dxa"/>
                  <w:right w:w="108" w:type="dxa"/>
                </w:tblCellMar>
              </w:tblPrEx>
              <w:trPr>
                <w:trHeight w:val="699" w:hRule="atLeast"/>
              </w:trPr>
              <w:tc>
                <w:tcPr>
                  <w:tcW w:w="1087" w:type="dxa"/>
                  <w:vAlign w:val="center"/>
                </w:tcPr>
                <w:p w14:paraId="64F7F3FC">
                  <w:pPr>
                    <w:jc w:val="center"/>
                    <w:rPr>
                      <w:sz w:val="18"/>
                      <w:szCs w:val="18"/>
                    </w:rPr>
                  </w:pPr>
                  <w:r>
                    <w:rPr>
                      <w:sz w:val="18"/>
                      <w:szCs w:val="18"/>
                    </w:rPr>
                    <w:t>厂界</w:t>
                  </w:r>
                </w:p>
              </w:tc>
              <w:tc>
                <w:tcPr>
                  <w:tcW w:w="1232" w:type="dxa"/>
                  <w:vAlign w:val="center"/>
                </w:tcPr>
                <w:p w14:paraId="1757FAB8">
                  <w:pPr>
                    <w:jc w:val="center"/>
                    <w:rPr>
                      <w:sz w:val="18"/>
                      <w:szCs w:val="18"/>
                    </w:rPr>
                  </w:pPr>
                  <w:r>
                    <w:rPr>
                      <w:sz w:val="18"/>
                      <w:szCs w:val="18"/>
                    </w:rPr>
                    <w:t>颗粒物</w:t>
                  </w:r>
                </w:p>
              </w:tc>
              <w:tc>
                <w:tcPr>
                  <w:tcW w:w="998" w:type="dxa"/>
                  <w:vAlign w:val="center"/>
                </w:tcPr>
                <w:p w14:paraId="253A1519">
                  <w:pPr>
                    <w:jc w:val="center"/>
                    <w:textAlignment w:val="center"/>
                    <w:rPr>
                      <w:sz w:val="18"/>
                      <w:szCs w:val="18"/>
                    </w:rPr>
                  </w:pPr>
                  <w:r>
                    <w:rPr>
                      <w:sz w:val="18"/>
                      <w:szCs w:val="18"/>
                    </w:rPr>
                    <w:t>1次/季度</w:t>
                  </w:r>
                </w:p>
              </w:tc>
              <w:tc>
                <w:tcPr>
                  <w:tcW w:w="4318" w:type="dxa"/>
                  <w:vAlign w:val="center"/>
                </w:tcPr>
                <w:p w14:paraId="40483906">
                  <w:pPr>
                    <w:jc w:val="center"/>
                    <w:rPr>
                      <w:b/>
                      <w:bCs/>
                      <w:sz w:val="18"/>
                      <w:szCs w:val="18"/>
                    </w:rPr>
                  </w:pPr>
                  <w:r>
                    <w:rPr>
                      <w:kern w:val="0"/>
                      <w:sz w:val="18"/>
                      <w:szCs w:val="18"/>
                    </w:rPr>
                    <w:t>《大气污染物综合排放标准》（GB16297-1996）中无组织排放监控浓度限值</w:t>
                  </w:r>
                </w:p>
              </w:tc>
            </w:tr>
          </w:tbl>
          <w:p w14:paraId="5897C8E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5、生态环境</w:t>
            </w:r>
          </w:p>
          <w:p w14:paraId="5202B40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根据水资源和水生态条件以及维护河流健康和改善人居环境的要求，通过河道疏浚，对项目区生态环境改善有积极的正面作用。工程根据河道现状，建立良好的生态平衡系统，有利于维持和提升项目区生态系统稳定性。因此本项目建成后，对项目区生态环境主要为正面影响，基本无不良影响。</w:t>
            </w:r>
          </w:p>
          <w:p w14:paraId="4CC0A1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6、事故污染风险环境影响分析</w:t>
            </w:r>
          </w:p>
          <w:p w14:paraId="6C74CAD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河流污染事故主要来源于交通事故，当过往车辆发生事故，车辆泄漏的污染物由于处理不当而被雨水等冲刷将可能对水体产生污染。因此，本项目水污染事故为车辆发生的交通事故，本身携带的汽油(或柴油)和机油泄漏，通过地表径流流入附近水体。</w:t>
            </w:r>
          </w:p>
          <w:p w14:paraId="119973A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对河流岸坡进行生态防护，通过清淤工程的实施，有利于稳定河道，通过建立良好的生态平衡系统，有利于维持和提升项目区生态系统稳定性，对项目区生态环境改善有积极的正面作用，因此项目对河流水体质量及生态环境有积极改善的作用。</w:t>
            </w:r>
          </w:p>
          <w:p w14:paraId="0787D7FA">
            <w:pPr>
              <w:pStyle w:val="47"/>
              <w:ind w:firstLine="199" w:firstLineChars="95"/>
              <w:rPr>
                <w:color w:val="000000" w:themeColor="text1"/>
                <w14:textFill>
                  <w14:solidFill>
                    <w14:schemeClr w14:val="tx1"/>
                  </w14:solidFill>
                </w14:textFill>
              </w:rPr>
            </w:pPr>
          </w:p>
        </w:tc>
      </w:tr>
      <w:tr w14:paraId="59D40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2" w:type="pct"/>
            <w:vAlign w:val="center"/>
          </w:tcPr>
          <w:p w14:paraId="0C437706">
            <w:pPr>
              <w:pStyle w:val="47"/>
              <w:ind w:firstLine="0" w:firstLineChars="0"/>
              <w:jc w:val="center"/>
              <w:rPr>
                <w:rFonts w:hint="eastAsia" w:ascii="宋体" w:hAnsi="宋体" w:cs="宋体"/>
                <w:color w:val="000000" w:themeColor="text1"/>
                <w:kern w:val="0"/>
                <w:sz w:val="24"/>
                <w14:textFill>
                  <w14:solidFill>
                    <w14:schemeClr w14:val="tx1"/>
                  </w14:solidFill>
                </w14:textFill>
              </w:rPr>
            </w:pPr>
            <w:r>
              <w:rPr>
                <w:bCs/>
                <w:color w:val="000000" w:themeColor="text1"/>
                <w:szCs w:val="21"/>
                <w14:textFill>
                  <w14:solidFill>
                    <w14:schemeClr w14:val="tx1"/>
                  </w14:solidFill>
                </w14:textFill>
              </w:rPr>
              <w:t>选址选线环境合理性分析</w:t>
            </w:r>
          </w:p>
        </w:tc>
        <w:tc>
          <w:tcPr>
            <w:tcW w:w="4578" w:type="pct"/>
          </w:tcPr>
          <w:p w14:paraId="1339E0A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一、工程选址合理性分析</w:t>
            </w:r>
          </w:p>
          <w:p w14:paraId="5953A53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本项目工程选址不涉及生态保护红线，不涉及自然保护区、风景名胜区、饮用水水源保护区等环境敏感区域，无环境制约因素，工程临时用地周边5</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m范围内无饮用水水源地保护区</w:t>
            </w:r>
            <w:bookmarkStart w:id="47" w:name="_Hlk186792089"/>
            <w:r>
              <w:rPr>
                <w:rFonts w:hint="eastAsia"/>
                <w:color w:val="000000" w:themeColor="text1"/>
                <w14:textFill>
                  <w14:solidFill>
                    <w14:schemeClr w14:val="tx1"/>
                  </w14:solidFill>
                </w14:textFill>
              </w:rPr>
              <w:t>。</w:t>
            </w:r>
            <w:bookmarkEnd w:id="47"/>
            <w:r>
              <w:rPr>
                <w:rFonts w:hint="eastAsia"/>
                <w:color w:val="000000" w:themeColor="text1"/>
                <w14:textFill>
                  <w14:solidFill>
                    <w14:schemeClr w14:val="tx1"/>
                  </w14:solidFill>
                </w14:textFill>
              </w:rPr>
              <w:t>本项目不在生态保护红线内，不涉及占用基本农田；结合《黑龙江省湿地名录》调查，本项目选址选线区域不涉及重要湿地，符合《关于进一步做好用地用海要素保障的通知》（自然资发〔2023〕89号）中相关要求。</w:t>
            </w:r>
          </w:p>
          <w:p w14:paraId="35C441A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本项目施工期尽可能减少对环境的扰动，在采取各项保护措施后，污染物排放能够达到相应的排放标准，且污染主要集中在施工期，施工期结束后污染随即消失，不会造成区域环境污染和生态破坏。</w:t>
            </w:r>
          </w:p>
          <w:p w14:paraId="7F4FF76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进行裁弯取直，为满足河道设计行洪、河势稳定安全及河道管理运用的要求，本次工程内容主要是河道清淤，对河岸冲刷严重段进行防护。外环境没有对本项目影响较大的环境制约因素，所在区域的空气环境质量、水环境质量、声环境质量等现状良好。项目区占地均为临时占地，不占用基本农田。</w:t>
            </w:r>
          </w:p>
          <w:p w14:paraId="1EE3360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于黑龙江省伊春市伊美区，工程开挖破坏原地表植被，各施工场地占压土地，在短期内会使水土流失加剧，对生态环境产生一定的负面影响。施工结束后对地表植被进行及时恢复，该影响随施工期结束而结束。采取相应防护措施后，本项目根据水资源和水生态条件以及维护河流健康和改善人居环境的要求，对项目区生态环境改善有积极的正面作用。因此本项目建成后，对项目区生态环境主要为正面影响，基本无不良影响。本项目临时占地影响在施工期结束后会恢复，不会造成较大影响，因此本项目工程选址选线基本合理。</w:t>
            </w:r>
          </w:p>
          <w:p w14:paraId="16857D1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二、施工临时道路选址合理性分析</w:t>
            </w:r>
          </w:p>
          <w:p w14:paraId="1A1DA24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道路主要利用现有道路，施工过程中尽可能减少施工道路占地，避免对施工边界以外的土地产生扰动，为方便机械设备进场施工，降低机械及车辆对原地貌的扰动，在场地占压位置铺设10mm厚钢板，施工道路采取限速行驶及保持路面清洁，同时适当洒水等措施，可以减少汽车扬尘，施工结束后，通过全面整地后进行植被恢复，恢复原有地类，基本不会造成用地资源损失，因此施工道路的临时建设、运输过程对周边环境影响较小，施工道路区选址合理。</w:t>
            </w:r>
          </w:p>
          <w:p w14:paraId="7DE6F7A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三、施工生产生活区选址合理性分析</w:t>
            </w:r>
          </w:p>
          <w:p w14:paraId="1985EAA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本着经济合理，有利生产，方便生活和尽可能充分利用工程临时占地的原则，采用集中与分散相结合的方式进行施工总布置。本项目施工生产生活区布设不涉及自然保护区、生态红线、重要湿地等环境敏感区。</w:t>
            </w:r>
          </w:p>
          <w:p w14:paraId="1E0F895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砂石料等用料全部采用从商业料场外购，项目施工不设置混凝土拌合站。本工程淤泥堆放场地临时占地类型为水域及水利设施用地，施工生产生活区设置在淤泥堆放场地内；施工结束后，通过全面整地后进行撒播种草，加强绿化，恢复原有地类，基本不会造成土地资源损失，因此各施工作业区临时占地布置是合理可行的。</w:t>
            </w:r>
          </w:p>
          <w:p w14:paraId="20B7793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各施工作业区根据工程建设需要，选择在相对平坦的地块，场地平整工程量小，工程实施时，严格控制施工占地，对于施工场地扰动地表和破坏植被面积以及所造成的水土流失，采取工程和植物相结合的水土保持措施予以治理。同时，考虑项目河道周边存在居民敏感点，采取表土保护措施、隔声屏障、淤泥覆盖及喷洒除臭剂、施工结束后迹地恢复等切实可行的污染防治措施可以大大减少施工期对周边居民敏感点的影响，本项目的施工生产生活区布置环境合理。</w:t>
            </w:r>
          </w:p>
          <w:p w14:paraId="3DE16B7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4、弃土场选址选线合理性分析</w:t>
            </w:r>
          </w:p>
          <w:p w14:paraId="5F8A6E89">
            <w:pPr>
              <w:pStyle w:val="47"/>
              <w:ind w:firstLine="420"/>
              <w:rPr>
                <w:color w:val="000000" w:themeColor="text1"/>
                <w:szCs w:val="32"/>
                <w14:textFill>
                  <w14:solidFill>
                    <w14:schemeClr w14:val="tx1"/>
                  </w14:solidFill>
                </w14:textFill>
              </w:rPr>
            </w:pPr>
            <w:r>
              <w:rPr>
                <w:rFonts w:hint="eastAsia"/>
                <w:color w:val="000000" w:themeColor="text1"/>
                <w14:textFill>
                  <w14:solidFill>
                    <w14:schemeClr w14:val="tx1"/>
                  </w14:solidFill>
                </w14:textFill>
              </w:rPr>
              <w:t>本项目施工过程产生的弃方为14.32万m</w:t>
            </w:r>
            <w:r>
              <w:rPr>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w:t>
            </w:r>
            <w:r>
              <w:rPr>
                <w:rFonts w:hint="eastAsia"/>
                <w:color w:val="000000" w:themeColor="text1"/>
                <w:szCs w:val="32"/>
                <w14:textFill>
                  <w14:solidFill>
                    <w14:schemeClr w14:val="tx1"/>
                  </w14:solidFill>
                </w14:textFill>
              </w:rPr>
              <w:t>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p>
          <w:p w14:paraId="2512343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综上所述，本工程的选址选线合理。</w:t>
            </w:r>
          </w:p>
          <w:p w14:paraId="76377750">
            <w:pPr>
              <w:pStyle w:val="47"/>
              <w:ind w:firstLine="420"/>
              <w:rPr>
                <w:color w:val="000000" w:themeColor="text1"/>
                <w14:textFill>
                  <w14:solidFill>
                    <w14:schemeClr w14:val="tx1"/>
                  </w14:solidFill>
                </w14:textFill>
              </w:rPr>
            </w:pPr>
          </w:p>
          <w:p w14:paraId="6D29CE98">
            <w:pPr>
              <w:pStyle w:val="47"/>
              <w:ind w:firstLine="420"/>
              <w:rPr>
                <w:color w:val="000000" w:themeColor="text1"/>
                <w14:textFill>
                  <w14:solidFill>
                    <w14:schemeClr w14:val="tx1"/>
                  </w14:solidFill>
                </w14:textFill>
              </w:rPr>
            </w:pPr>
          </w:p>
          <w:p w14:paraId="5471DB88">
            <w:pPr>
              <w:pStyle w:val="47"/>
              <w:ind w:firstLine="420"/>
              <w:rPr>
                <w:color w:val="000000" w:themeColor="text1"/>
                <w14:textFill>
                  <w14:solidFill>
                    <w14:schemeClr w14:val="tx1"/>
                  </w14:solidFill>
                </w14:textFill>
              </w:rPr>
            </w:pPr>
          </w:p>
          <w:p w14:paraId="2899868F">
            <w:pPr>
              <w:pStyle w:val="47"/>
              <w:ind w:firstLine="420"/>
              <w:rPr>
                <w:color w:val="000000" w:themeColor="text1"/>
                <w14:textFill>
                  <w14:solidFill>
                    <w14:schemeClr w14:val="tx1"/>
                  </w14:solidFill>
                </w14:textFill>
              </w:rPr>
            </w:pPr>
          </w:p>
          <w:p w14:paraId="6109EBBB">
            <w:pPr>
              <w:pStyle w:val="47"/>
              <w:ind w:firstLine="420"/>
              <w:rPr>
                <w:color w:val="000000" w:themeColor="text1"/>
                <w14:textFill>
                  <w14:solidFill>
                    <w14:schemeClr w14:val="tx1"/>
                  </w14:solidFill>
                </w14:textFill>
              </w:rPr>
            </w:pPr>
          </w:p>
          <w:p w14:paraId="673FCBBB">
            <w:pPr>
              <w:pStyle w:val="47"/>
              <w:ind w:firstLine="420"/>
              <w:rPr>
                <w:color w:val="000000" w:themeColor="text1"/>
                <w14:textFill>
                  <w14:solidFill>
                    <w14:schemeClr w14:val="tx1"/>
                  </w14:solidFill>
                </w14:textFill>
              </w:rPr>
            </w:pPr>
          </w:p>
          <w:p w14:paraId="2C6B7D10">
            <w:pPr>
              <w:pStyle w:val="47"/>
              <w:ind w:firstLine="420"/>
              <w:rPr>
                <w:color w:val="000000" w:themeColor="text1"/>
                <w14:textFill>
                  <w14:solidFill>
                    <w14:schemeClr w14:val="tx1"/>
                  </w14:solidFill>
                </w14:textFill>
              </w:rPr>
            </w:pPr>
          </w:p>
          <w:p w14:paraId="319561E5">
            <w:pPr>
              <w:pStyle w:val="47"/>
              <w:ind w:firstLine="420"/>
              <w:rPr>
                <w:color w:val="000000" w:themeColor="text1"/>
                <w14:textFill>
                  <w14:solidFill>
                    <w14:schemeClr w14:val="tx1"/>
                  </w14:solidFill>
                </w14:textFill>
              </w:rPr>
            </w:pPr>
          </w:p>
          <w:p w14:paraId="0D513C6F">
            <w:pPr>
              <w:pStyle w:val="47"/>
              <w:ind w:firstLine="420"/>
              <w:rPr>
                <w:color w:val="000000" w:themeColor="text1"/>
                <w14:textFill>
                  <w14:solidFill>
                    <w14:schemeClr w14:val="tx1"/>
                  </w14:solidFill>
                </w14:textFill>
              </w:rPr>
            </w:pPr>
          </w:p>
          <w:p w14:paraId="39B11735">
            <w:pPr>
              <w:pStyle w:val="47"/>
              <w:ind w:firstLine="0" w:firstLineChars="0"/>
              <w:rPr>
                <w:color w:val="000000" w:themeColor="text1"/>
                <w14:textFill>
                  <w14:solidFill>
                    <w14:schemeClr w14:val="tx1"/>
                  </w14:solidFill>
                </w14:textFill>
              </w:rPr>
            </w:pPr>
          </w:p>
        </w:tc>
      </w:tr>
    </w:tbl>
    <w:p w14:paraId="3725C22A">
      <w:pPr>
        <w:pStyle w:val="15"/>
        <w:jc w:val="center"/>
        <w:rPr>
          <w:rFonts w:ascii="Times New Roman" w:hAnsi="Times New Roman" w:eastAsia="黑体"/>
          <w:snapToGrid w:val="0"/>
          <w:color w:val="000000" w:themeColor="text1"/>
          <w:sz w:val="36"/>
          <w:szCs w:val="36"/>
          <w14:textFill>
            <w14:solidFill>
              <w14:schemeClr w14:val="tx1"/>
            </w14:solidFill>
          </w14:textFill>
        </w:rPr>
        <w:sectPr>
          <w:pgSz w:w="11906" w:h="16838"/>
          <w:pgMar w:top="1440" w:right="1800" w:bottom="1440" w:left="1800" w:header="851" w:footer="1077" w:gutter="0"/>
          <w:cols w:space="425" w:num="1"/>
          <w:docGrid w:linePitch="312" w:charSpace="0"/>
        </w:sectPr>
      </w:pPr>
    </w:p>
    <w:p w14:paraId="3E969309">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48" w:name="_Toc232073027"/>
      <w:r>
        <w:rPr>
          <w:rFonts w:ascii="Times New Roman" w:hAnsi="Times New Roman" w:eastAsia="黑体"/>
          <w:snapToGrid w:val="0"/>
          <w:color w:val="000000" w:themeColor="text1"/>
          <w:sz w:val="30"/>
          <w:szCs w:val="30"/>
          <w14:textFill>
            <w14:solidFill>
              <w14:schemeClr w14:val="tx1"/>
            </w14:solidFill>
          </w14:textFill>
        </w:rPr>
        <w:t>五、主要生态环境保护措施</w:t>
      </w:r>
      <w:bookmarkEnd w:id="48"/>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7730"/>
      </w:tblGrid>
      <w:tr w14:paraId="0E434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2" w:hRule="atLeast"/>
          <w:jc w:val="center"/>
        </w:trPr>
        <w:tc>
          <w:tcPr>
            <w:tcW w:w="336" w:type="pct"/>
            <w:tcMar>
              <w:left w:w="28" w:type="dxa"/>
              <w:right w:w="28" w:type="dxa"/>
            </w:tcMar>
            <w:vAlign w:val="center"/>
          </w:tcPr>
          <w:p w14:paraId="31938894">
            <w:pPr>
              <w:adjustRightInd w:val="0"/>
              <w:snapToGrid w:val="0"/>
              <w:jc w:val="center"/>
              <w:rPr>
                <w:bCs/>
                <w:color w:val="000000" w:themeColor="text1"/>
                <w:szCs w:val="21"/>
                <w14:textFill>
                  <w14:solidFill>
                    <w14:schemeClr w14:val="tx1"/>
                  </w14:solidFill>
                </w14:textFill>
              </w:rPr>
            </w:pPr>
            <w:r>
              <w:rPr>
                <w:bCs/>
                <w:color w:val="000000" w:themeColor="text1"/>
                <w:spacing w:val="10"/>
                <w:szCs w:val="21"/>
                <w14:textFill>
                  <w14:solidFill>
                    <w14:schemeClr w14:val="tx1"/>
                  </w14:solidFill>
                </w14:textFill>
              </w:rPr>
              <w:t>施工期生态环境保护措施</w:t>
            </w:r>
          </w:p>
        </w:tc>
        <w:tc>
          <w:tcPr>
            <w:tcW w:w="4664" w:type="pct"/>
          </w:tcPr>
          <w:p w14:paraId="62B90FD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（一）生态环境保护措施</w:t>
            </w:r>
          </w:p>
          <w:p w14:paraId="76066E7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1、大气污染防治措施</w:t>
            </w:r>
          </w:p>
          <w:p w14:paraId="6FC7CEB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施工期大气污染物主要为</w:t>
            </w:r>
            <w:r>
              <w:rPr>
                <w:rFonts w:hint="eastAsia"/>
                <w:color w:val="000000" w:themeColor="text1"/>
                <w14:textFill>
                  <w14:solidFill>
                    <w14:schemeClr w14:val="tx1"/>
                  </w14:solidFill>
                </w14:textFill>
              </w:rPr>
              <w:t>施工填筑过程</w:t>
            </w:r>
            <w:r>
              <w:rPr>
                <w:color w:val="000000" w:themeColor="text1"/>
                <w14:textFill>
                  <w14:solidFill>
                    <w14:schemeClr w14:val="tx1"/>
                  </w14:solidFill>
                </w14:textFill>
              </w:rPr>
              <w:t>扬尘、动力机械及运输车辆排出的尾气等。</w:t>
            </w:r>
          </w:p>
          <w:p w14:paraId="5F51875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为控制扬尘的污染，工程中将采取洒水抑尘措施，禁止大风天气施工，施工场地周边应设置围挡等措施。采取上述措施后，扬尘影响和污染程度会明显减轻。</w:t>
            </w:r>
          </w:p>
          <w:p w14:paraId="55C2C8A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在施工期间对</w:t>
            </w:r>
            <w:r>
              <w:rPr>
                <w:rFonts w:hint="eastAsia"/>
                <w:color w:val="000000" w:themeColor="text1"/>
                <w14:textFill>
                  <w14:solidFill>
                    <w14:schemeClr w14:val="tx1"/>
                  </w14:solidFill>
                </w14:textFill>
              </w:rPr>
              <w:t>物料运输</w:t>
            </w:r>
            <w:r>
              <w:rPr>
                <w:color w:val="000000" w:themeColor="text1"/>
                <w14:textFill>
                  <w14:solidFill>
                    <w14:schemeClr w14:val="tx1"/>
                  </w14:solidFill>
                </w14:textFill>
              </w:rPr>
              <w:t>车辆行驶的路面实施洒水抑尘，每天洒水4～5次，可使扬尘减少70%左右。表5-1为施工场地洒水抑尘的试验结果，结果表明实施每天洒水4～5次进行抑尘，可有效地控制施工扬尘，可将TSP污染距离缩小到20～50m范围。</w:t>
            </w:r>
          </w:p>
          <w:p w14:paraId="2C97E47E">
            <w:pPr>
              <w:pStyle w:val="46"/>
              <w:rPr>
                <w:color w:val="000000" w:themeColor="text1"/>
                <w14:textFill>
                  <w14:solidFill>
                    <w14:schemeClr w14:val="tx1"/>
                  </w14:solidFill>
                </w14:textFill>
              </w:rPr>
            </w:pPr>
            <w:r>
              <w:rPr>
                <w:color w:val="000000" w:themeColor="text1"/>
                <w14:textFill>
                  <w14:solidFill>
                    <w14:schemeClr w14:val="tx1"/>
                  </w14:solidFill>
                </w14:textFill>
              </w:rPr>
              <w:t>表5-1 施工场地洒水抑尘试验结果</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93"/>
              <w:gridCol w:w="1460"/>
              <w:gridCol w:w="1027"/>
              <w:gridCol w:w="872"/>
              <w:gridCol w:w="890"/>
              <w:gridCol w:w="872"/>
            </w:tblGrid>
            <w:tr w14:paraId="08BCE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435" w:type="dxa"/>
                  <w:gridSpan w:val="2"/>
                  <w:vAlign w:val="center"/>
                </w:tcPr>
                <w:p w14:paraId="5A256FFE">
                  <w:pPr>
                    <w:pStyle w:val="43"/>
                    <w:rPr>
                      <w:color w:val="000000" w:themeColor="text1"/>
                      <w14:textFill>
                        <w14:solidFill>
                          <w14:schemeClr w14:val="tx1"/>
                        </w14:solidFill>
                      </w14:textFill>
                    </w:rPr>
                  </w:pPr>
                  <w:r>
                    <w:rPr>
                      <w:color w:val="000000" w:themeColor="text1"/>
                      <w14:textFill>
                        <w14:solidFill>
                          <w14:schemeClr w14:val="tx1"/>
                        </w14:solidFill>
                      </w14:textFill>
                    </w:rPr>
                    <w:t>距离（m）</w:t>
                  </w:r>
                </w:p>
              </w:tc>
              <w:tc>
                <w:tcPr>
                  <w:tcW w:w="1125" w:type="dxa"/>
                  <w:vAlign w:val="center"/>
                </w:tcPr>
                <w:p w14:paraId="69464248">
                  <w:pPr>
                    <w:pStyle w:val="43"/>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5" w:type="dxa"/>
                  <w:vAlign w:val="center"/>
                </w:tcPr>
                <w:p w14:paraId="4769AA49">
                  <w:pPr>
                    <w:pStyle w:val="43"/>
                    <w:rPr>
                      <w:color w:val="000000" w:themeColor="text1"/>
                      <w14:textFill>
                        <w14:solidFill>
                          <w14:schemeClr w14:val="tx1"/>
                        </w14:solidFill>
                      </w14:textFill>
                    </w:rPr>
                  </w:pPr>
                  <w:r>
                    <w:rPr>
                      <w:color w:val="000000" w:themeColor="text1"/>
                      <w14:textFill>
                        <w14:solidFill>
                          <w14:schemeClr w14:val="tx1"/>
                        </w14:solidFill>
                      </w14:textFill>
                    </w:rPr>
                    <w:t>20</w:t>
                  </w:r>
                </w:p>
              </w:tc>
              <w:tc>
                <w:tcPr>
                  <w:tcW w:w="955" w:type="dxa"/>
                  <w:vAlign w:val="center"/>
                </w:tcPr>
                <w:p w14:paraId="3BB67C1A">
                  <w:pPr>
                    <w:pStyle w:val="43"/>
                    <w:rPr>
                      <w:color w:val="000000" w:themeColor="text1"/>
                      <w14:textFill>
                        <w14:solidFill>
                          <w14:schemeClr w14:val="tx1"/>
                        </w14:solidFill>
                      </w14:textFill>
                    </w:rPr>
                  </w:pPr>
                  <w:r>
                    <w:rPr>
                      <w:color w:val="000000" w:themeColor="text1"/>
                      <w14:textFill>
                        <w14:solidFill>
                          <w14:schemeClr w14:val="tx1"/>
                        </w14:solidFill>
                      </w14:textFill>
                    </w:rPr>
                    <w:t>50</w:t>
                  </w:r>
                </w:p>
              </w:tc>
              <w:tc>
                <w:tcPr>
                  <w:tcW w:w="954" w:type="dxa"/>
                  <w:vAlign w:val="center"/>
                </w:tcPr>
                <w:p w14:paraId="62C3B328">
                  <w:pPr>
                    <w:pStyle w:val="43"/>
                    <w:rPr>
                      <w:color w:val="000000" w:themeColor="text1"/>
                      <w14:textFill>
                        <w14:solidFill>
                          <w14:schemeClr w14:val="tx1"/>
                        </w14:solidFill>
                      </w14:textFill>
                    </w:rPr>
                  </w:pPr>
                  <w:r>
                    <w:rPr>
                      <w:color w:val="000000" w:themeColor="text1"/>
                      <w14:textFill>
                        <w14:solidFill>
                          <w14:schemeClr w14:val="tx1"/>
                        </w14:solidFill>
                      </w14:textFill>
                    </w:rPr>
                    <w:t>100</w:t>
                  </w:r>
                </w:p>
              </w:tc>
            </w:tr>
            <w:tr w14:paraId="01D7B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7" w:type="dxa"/>
                  <w:vMerge w:val="restart"/>
                  <w:vAlign w:val="center"/>
                </w:tcPr>
                <w:p w14:paraId="5289DD65">
                  <w:pPr>
                    <w:pStyle w:val="43"/>
                    <w:rPr>
                      <w:color w:val="000000" w:themeColor="text1"/>
                      <w14:textFill>
                        <w14:solidFill>
                          <w14:schemeClr w14:val="tx1"/>
                        </w14:solidFill>
                      </w14:textFill>
                    </w:rPr>
                  </w:pPr>
                  <w:r>
                    <w:rPr>
                      <w:color w:val="000000" w:themeColor="text1"/>
                      <w14:textFill>
                        <w14:solidFill>
                          <w14:schemeClr w14:val="tx1"/>
                        </w14:solidFill>
                      </w14:textFill>
                    </w:rPr>
                    <w:t>TSP小时平均浓度</w:t>
                  </w:r>
                </w:p>
                <w:p w14:paraId="0DFF5ABD">
                  <w:pPr>
                    <w:pStyle w:val="43"/>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tc>
              <w:tc>
                <w:tcPr>
                  <w:tcW w:w="1718" w:type="dxa"/>
                  <w:vAlign w:val="center"/>
                </w:tcPr>
                <w:p w14:paraId="1848BF7B">
                  <w:pPr>
                    <w:pStyle w:val="43"/>
                    <w:rPr>
                      <w:color w:val="000000" w:themeColor="text1"/>
                      <w14:textFill>
                        <w14:solidFill>
                          <w14:schemeClr w14:val="tx1"/>
                        </w14:solidFill>
                      </w14:textFill>
                    </w:rPr>
                  </w:pPr>
                  <w:r>
                    <w:rPr>
                      <w:color w:val="000000" w:themeColor="text1"/>
                      <w14:textFill>
                        <w14:solidFill>
                          <w14:schemeClr w14:val="tx1"/>
                        </w14:solidFill>
                      </w14:textFill>
                    </w:rPr>
                    <w:t>不洒水</w:t>
                  </w:r>
                </w:p>
              </w:tc>
              <w:tc>
                <w:tcPr>
                  <w:tcW w:w="1125" w:type="dxa"/>
                  <w:vAlign w:val="center"/>
                </w:tcPr>
                <w:p w14:paraId="39E69BB7">
                  <w:pPr>
                    <w:pStyle w:val="43"/>
                    <w:rPr>
                      <w:color w:val="000000" w:themeColor="text1"/>
                      <w14:textFill>
                        <w14:solidFill>
                          <w14:schemeClr w14:val="tx1"/>
                        </w14:solidFill>
                      </w14:textFill>
                    </w:rPr>
                  </w:pPr>
                  <w:r>
                    <w:rPr>
                      <w:color w:val="000000" w:themeColor="text1"/>
                      <w14:textFill>
                        <w14:solidFill>
                          <w14:schemeClr w14:val="tx1"/>
                        </w14:solidFill>
                      </w14:textFill>
                    </w:rPr>
                    <w:t>10.14</w:t>
                  </w:r>
                </w:p>
              </w:tc>
              <w:tc>
                <w:tcPr>
                  <w:tcW w:w="955" w:type="dxa"/>
                  <w:vAlign w:val="center"/>
                </w:tcPr>
                <w:p w14:paraId="5EF080A3">
                  <w:pPr>
                    <w:pStyle w:val="43"/>
                    <w:rPr>
                      <w:color w:val="000000" w:themeColor="text1"/>
                      <w14:textFill>
                        <w14:solidFill>
                          <w14:schemeClr w14:val="tx1"/>
                        </w14:solidFill>
                      </w14:textFill>
                    </w:rPr>
                  </w:pPr>
                  <w:r>
                    <w:rPr>
                      <w:color w:val="000000" w:themeColor="text1"/>
                      <w14:textFill>
                        <w14:solidFill>
                          <w14:schemeClr w14:val="tx1"/>
                        </w14:solidFill>
                      </w14:textFill>
                    </w:rPr>
                    <w:t>2.89</w:t>
                  </w:r>
                </w:p>
              </w:tc>
              <w:tc>
                <w:tcPr>
                  <w:tcW w:w="955" w:type="dxa"/>
                  <w:vAlign w:val="center"/>
                </w:tcPr>
                <w:p w14:paraId="4B83E028">
                  <w:pPr>
                    <w:pStyle w:val="43"/>
                    <w:rPr>
                      <w:color w:val="000000" w:themeColor="text1"/>
                      <w14:textFill>
                        <w14:solidFill>
                          <w14:schemeClr w14:val="tx1"/>
                        </w14:solidFill>
                      </w14:textFill>
                    </w:rPr>
                  </w:pPr>
                  <w:r>
                    <w:rPr>
                      <w:color w:val="000000" w:themeColor="text1"/>
                      <w14:textFill>
                        <w14:solidFill>
                          <w14:schemeClr w14:val="tx1"/>
                        </w14:solidFill>
                      </w14:textFill>
                    </w:rPr>
                    <w:t>1.15</w:t>
                  </w:r>
                </w:p>
              </w:tc>
              <w:tc>
                <w:tcPr>
                  <w:tcW w:w="954" w:type="dxa"/>
                  <w:vAlign w:val="center"/>
                </w:tcPr>
                <w:p w14:paraId="1D3B2A70">
                  <w:pPr>
                    <w:pStyle w:val="43"/>
                    <w:rPr>
                      <w:color w:val="000000" w:themeColor="text1"/>
                      <w14:textFill>
                        <w14:solidFill>
                          <w14:schemeClr w14:val="tx1"/>
                        </w14:solidFill>
                      </w14:textFill>
                    </w:rPr>
                  </w:pPr>
                  <w:r>
                    <w:rPr>
                      <w:color w:val="000000" w:themeColor="text1"/>
                      <w14:textFill>
                        <w14:solidFill>
                          <w14:schemeClr w14:val="tx1"/>
                        </w14:solidFill>
                      </w14:textFill>
                    </w:rPr>
                    <w:t>0.86</w:t>
                  </w:r>
                </w:p>
              </w:tc>
            </w:tr>
            <w:tr w14:paraId="2143B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17" w:type="dxa"/>
                  <w:vMerge w:val="continue"/>
                  <w:vAlign w:val="center"/>
                </w:tcPr>
                <w:p w14:paraId="4CAA02CD">
                  <w:pPr>
                    <w:pStyle w:val="43"/>
                    <w:rPr>
                      <w:color w:val="000000" w:themeColor="text1"/>
                      <w14:textFill>
                        <w14:solidFill>
                          <w14:schemeClr w14:val="tx1"/>
                        </w14:solidFill>
                      </w14:textFill>
                    </w:rPr>
                  </w:pPr>
                </w:p>
              </w:tc>
              <w:tc>
                <w:tcPr>
                  <w:tcW w:w="1718" w:type="dxa"/>
                  <w:vAlign w:val="center"/>
                </w:tcPr>
                <w:p w14:paraId="313A47BF">
                  <w:pPr>
                    <w:pStyle w:val="43"/>
                    <w:rPr>
                      <w:color w:val="000000" w:themeColor="text1"/>
                      <w14:textFill>
                        <w14:solidFill>
                          <w14:schemeClr w14:val="tx1"/>
                        </w14:solidFill>
                      </w14:textFill>
                    </w:rPr>
                  </w:pPr>
                  <w:r>
                    <w:rPr>
                      <w:color w:val="000000" w:themeColor="text1"/>
                      <w14:textFill>
                        <w14:solidFill>
                          <w14:schemeClr w14:val="tx1"/>
                        </w14:solidFill>
                      </w14:textFill>
                    </w:rPr>
                    <w:t>洒水</w:t>
                  </w:r>
                </w:p>
              </w:tc>
              <w:tc>
                <w:tcPr>
                  <w:tcW w:w="1125" w:type="dxa"/>
                  <w:vAlign w:val="center"/>
                </w:tcPr>
                <w:p w14:paraId="23DF29A1">
                  <w:pPr>
                    <w:pStyle w:val="43"/>
                    <w:rPr>
                      <w:color w:val="000000" w:themeColor="text1"/>
                      <w14:textFill>
                        <w14:solidFill>
                          <w14:schemeClr w14:val="tx1"/>
                        </w14:solidFill>
                      </w14:textFill>
                    </w:rPr>
                  </w:pPr>
                  <w:r>
                    <w:rPr>
                      <w:color w:val="000000" w:themeColor="text1"/>
                      <w14:textFill>
                        <w14:solidFill>
                          <w14:schemeClr w14:val="tx1"/>
                        </w14:solidFill>
                      </w14:textFill>
                    </w:rPr>
                    <w:t>2.01</w:t>
                  </w:r>
                </w:p>
              </w:tc>
              <w:tc>
                <w:tcPr>
                  <w:tcW w:w="955" w:type="dxa"/>
                  <w:vAlign w:val="center"/>
                </w:tcPr>
                <w:p w14:paraId="434CC4A7">
                  <w:pPr>
                    <w:pStyle w:val="43"/>
                    <w:rPr>
                      <w:color w:val="000000" w:themeColor="text1"/>
                      <w14:textFill>
                        <w14:solidFill>
                          <w14:schemeClr w14:val="tx1"/>
                        </w14:solidFill>
                      </w14:textFill>
                    </w:rPr>
                  </w:pPr>
                  <w:r>
                    <w:rPr>
                      <w:color w:val="000000" w:themeColor="text1"/>
                      <w14:textFill>
                        <w14:solidFill>
                          <w14:schemeClr w14:val="tx1"/>
                        </w14:solidFill>
                      </w14:textFill>
                    </w:rPr>
                    <w:t>1.20</w:t>
                  </w:r>
                </w:p>
              </w:tc>
              <w:tc>
                <w:tcPr>
                  <w:tcW w:w="955" w:type="dxa"/>
                  <w:vAlign w:val="center"/>
                </w:tcPr>
                <w:p w14:paraId="7321193A">
                  <w:pPr>
                    <w:pStyle w:val="43"/>
                    <w:rPr>
                      <w:color w:val="000000" w:themeColor="text1"/>
                      <w14:textFill>
                        <w14:solidFill>
                          <w14:schemeClr w14:val="tx1"/>
                        </w14:solidFill>
                      </w14:textFill>
                    </w:rPr>
                  </w:pPr>
                  <w:r>
                    <w:rPr>
                      <w:color w:val="000000" w:themeColor="text1"/>
                      <w14:textFill>
                        <w14:solidFill>
                          <w14:schemeClr w14:val="tx1"/>
                        </w14:solidFill>
                      </w14:textFill>
                    </w:rPr>
                    <w:t>0.867</w:t>
                  </w:r>
                </w:p>
              </w:tc>
              <w:tc>
                <w:tcPr>
                  <w:tcW w:w="954" w:type="dxa"/>
                  <w:vAlign w:val="center"/>
                </w:tcPr>
                <w:p w14:paraId="57D1A8C0">
                  <w:pPr>
                    <w:pStyle w:val="43"/>
                    <w:rPr>
                      <w:color w:val="000000" w:themeColor="text1"/>
                      <w14:textFill>
                        <w14:solidFill>
                          <w14:schemeClr w14:val="tx1"/>
                        </w14:solidFill>
                      </w14:textFill>
                    </w:rPr>
                  </w:pPr>
                  <w:r>
                    <w:rPr>
                      <w:color w:val="000000" w:themeColor="text1"/>
                      <w14:textFill>
                        <w14:solidFill>
                          <w14:schemeClr w14:val="tx1"/>
                        </w14:solidFill>
                      </w14:textFill>
                    </w:rPr>
                    <w:t>0.60</w:t>
                  </w:r>
                </w:p>
              </w:tc>
            </w:tr>
          </w:tbl>
          <w:p w14:paraId="3CC8CEC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因此，限速行驶及保持路面清洁，同时适当洒水是减少汽车扬尘的有效手段。</w:t>
            </w:r>
            <w:r>
              <w:rPr>
                <w:rFonts w:hint="eastAsia"/>
                <w:color w:val="000000" w:themeColor="text1"/>
                <w14:textFill>
                  <w14:solidFill>
                    <w14:schemeClr w14:val="tx1"/>
                  </w14:solidFill>
                </w14:textFill>
              </w:rPr>
              <w:t>同时确保物料运输远离敏感目标。</w:t>
            </w:r>
          </w:p>
          <w:p w14:paraId="7EB1C4F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）施工临时占地及施工营地均远离居民布设，</w:t>
            </w:r>
            <w:r>
              <w:rPr>
                <w:color w:val="000000" w:themeColor="text1"/>
                <w14:textFill>
                  <w14:solidFill>
                    <w14:schemeClr w14:val="tx1"/>
                  </w14:solidFill>
                </w14:textFill>
              </w:rPr>
              <w:t>项目在建设过程中，对物料堆放场采取洒水保湿、苫布覆盖等措施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可有效减小堆场扬尘。</w:t>
            </w:r>
            <w:r>
              <w:rPr>
                <w:rFonts w:hint="eastAsia"/>
                <w:color w:val="000000" w:themeColor="text1"/>
                <w14:textFill>
                  <w14:solidFill>
                    <w14:schemeClr w14:val="tx1"/>
                  </w14:solidFill>
                </w14:textFill>
              </w:rPr>
              <w:t>施工现场应做好防护工作，通过洒水、蓬布遮挡、施工区设置简易防风棚等措施，可有效地防止扬尘的产生，降低对周围环境空气的影响。按照国家有关劳动保护的规定，对产尘量较大的现场作业人员，发放防尘劳保用品如防尘口罩等。</w:t>
            </w:r>
            <w:r>
              <w:rPr>
                <w:color w:val="000000" w:themeColor="text1"/>
                <w14:textFill>
                  <w14:solidFill>
                    <w14:schemeClr w14:val="tx1"/>
                  </w14:solidFill>
                </w14:textFill>
              </w:rPr>
              <w:t>本项目建设工期相对较短，废气产生量较少，对周围大气环境及敏感点影响较小。</w:t>
            </w:r>
          </w:p>
          <w:p w14:paraId="04DE30A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加强施工区内道路管理及路面养护，并且施工机械完好率要求在90%以上，定期检查、维修，确保施工机械和车辆各项环保指标符合尾气排放要求。运输车辆和施工机械选用优质、污染小的燃油。合理安排施工运输车辆行驶时间，缩短道路扬尘影响时段。施工期，对于发动机耗油多、效率低、排放尾气严重超标的老、旧车辆，要及时更新。</w:t>
            </w:r>
          </w:p>
          <w:p w14:paraId="4DE9E5D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河道清淤工程应选择在枯水期分段进行，清淤过程中，为减少臭气的排放，在施工场地周围建设围栏；对施工工人采取保护措施，如佩戴口罩、面具等；每处清淤作业区完成后，淤泥堆放在淤泥临时堆放场地的临时占地进行晾晒，晾晒过程做好拦挡、遮盖等措施，并及时喷洒除臭剂，干化后立即同工程弃方一同运至</w:t>
            </w:r>
            <w:r>
              <w:rPr>
                <w:color w:val="000000" w:themeColor="text1"/>
                <w:szCs w:val="32"/>
                <w14:textFill>
                  <w14:solidFill>
                    <w14:schemeClr w14:val="tx1"/>
                  </w14:solidFill>
                </w14:textFill>
              </w:rPr>
              <w:t>临时堆土区进行暂存</w:t>
            </w:r>
            <w:r>
              <w:rPr>
                <w:rFonts w:hint="eastAsia"/>
                <w:color w:val="000000" w:themeColor="text1"/>
                <w14:textFill>
                  <w14:solidFill>
                    <w14:schemeClr w14:val="tx1"/>
                  </w14:solidFill>
                </w14:textFill>
              </w:rPr>
              <w:t>，以缩短堆放点恶臭的影响时间。</w:t>
            </w:r>
          </w:p>
          <w:p w14:paraId="5AFDCA3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采取上述措施后，扬尘、汽车尾气和淤泥恶臭的污染程度会明显减轻，故该措施技术可行、经济合理、降尘效果可达。</w:t>
            </w:r>
          </w:p>
          <w:p w14:paraId="55428ADF">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w:t>
            </w:r>
            <w:r>
              <w:rPr>
                <w:bCs/>
                <w:color w:val="000000" w:themeColor="text1"/>
                <w14:textFill>
                  <w14:solidFill>
                    <w14:schemeClr w14:val="tx1"/>
                  </w14:solidFill>
                </w14:textFill>
              </w:rPr>
              <w:t>水污染防治措施</w:t>
            </w:r>
          </w:p>
          <w:p w14:paraId="74D67B61">
            <w:pPr>
              <w:pStyle w:val="47"/>
              <w:ind w:firstLine="460"/>
              <w:rPr>
                <w:color w:val="000000" w:themeColor="text1"/>
                <w14:textFill>
                  <w14:solidFill>
                    <w14:schemeClr w14:val="tx1"/>
                  </w14:solidFill>
                </w14:textFill>
              </w:rPr>
            </w:pPr>
            <w:r>
              <w:rPr>
                <w:bCs/>
                <w:color w:val="000000" w:themeColor="text1"/>
                <w:spacing w:val="10"/>
                <w14:textFill>
                  <w14:solidFill>
                    <w14:schemeClr w14:val="tx1"/>
                  </w14:solidFill>
                </w14:textFill>
              </w:rPr>
              <w:t>（1）</w:t>
            </w:r>
            <w:r>
              <w:rPr>
                <w:color w:val="000000" w:themeColor="text1"/>
                <w14:textFill>
                  <w14:solidFill>
                    <w14:schemeClr w14:val="tx1"/>
                  </w14:solidFill>
                </w14:textFill>
              </w:rPr>
              <w:t>生活污水</w:t>
            </w:r>
            <w:r>
              <w:rPr>
                <w:color w:val="000000" w:themeColor="text1"/>
                <w:lang w:val="zh-CN"/>
                <w14:textFill>
                  <w14:solidFill>
                    <w14:schemeClr w14:val="tx1"/>
                  </w14:solidFill>
                </w14:textFill>
              </w:rPr>
              <w:t>处理措施</w:t>
            </w:r>
          </w:p>
          <w:p w14:paraId="6348276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项目产生的生活污水集中排入自建的临时防渗旱厕，定期清掏，</w:t>
            </w:r>
            <w:r>
              <w:rPr>
                <w:rFonts w:hint="eastAsia"/>
                <w:color w:val="000000" w:themeColor="text1"/>
                <w14:textFill>
                  <w14:solidFill>
                    <w14:schemeClr w14:val="tx1"/>
                  </w14:solidFill>
                </w14:textFill>
              </w:rPr>
              <w:t>外运堆肥。</w:t>
            </w:r>
            <w:r>
              <w:rPr>
                <w:color w:val="000000" w:themeColor="text1"/>
                <w14:textFill>
                  <w14:solidFill>
                    <w14:schemeClr w14:val="tx1"/>
                  </w14:solidFill>
                </w14:textFill>
              </w:rPr>
              <w:t>严禁将生活污水随意泼洒。防渗旱厕施工结束后及时拆除并做好消毒工作，并填埋压实。</w:t>
            </w:r>
            <w:r>
              <w:rPr>
                <w:rFonts w:hint="eastAsia"/>
                <w:color w:val="000000" w:themeColor="text1"/>
                <w:szCs w:val="21"/>
                <w14:textFill>
                  <w14:solidFill>
                    <w14:schemeClr w14:val="tx1"/>
                  </w14:solidFill>
                </w14:textFill>
              </w:rPr>
              <w:t>施工期临时防渗旱厕采用不饱和聚酯树脂+玻璃纤维+无捻粗纱布防渗。渗透系数为1.0×10</w:t>
            </w:r>
            <w:r>
              <w:rPr>
                <w:rFonts w:hint="eastAsia"/>
                <w:color w:val="000000" w:themeColor="text1"/>
                <w:szCs w:val="21"/>
                <w:vertAlign w:val="superscript"/>
                <w14:textFill>
                  <w14:solidFill>
                    <w14:schemeClr w14:val="tx1"/>
                  </w14:solidFill>
                </w14:textFill>
              </w:rPr>
              <w:t>-7</w:t>
            </w:r>
            <w:r>
              <w:rPr>
                <w:rFonts w:hint="eastAsia"/>
                <w:color w:val="000000" w:themeColor="text1"/>
                <w:szCs w:val="21"/>
                <w14:textFill>
                  <w14:solidFill>
                    <w14:schemeClr w14:val="tx1"/>
                  </w14:solidFill>
                </w14:textFill>
              </w:rPr>
              <w:t>cm/s。</w:t>
            </w:r>
            <w:r>
              <w:rPr>
                <w:rFonts w:hint="eastAsia"/>
                <w:color w:val="000000" w:themeColor="text1"/>
                <w14:textFill>
                  <w14:solidFill>
                    <w14:schemeClr w14:val="tx1"/>
                  </w14:solidFill>
                </w14:textFill>
              </w:rPr>
              <w:t>防渗旱厕施工结束后拆除。</w:t>
            </w:r>
          </w:p>
          <w:p w14:paraId="621D9614">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（2）施工废水</w:t>
            </w:r>
            <w:r>
              <w:rPr>
                <w:color w:val="000000" w:themeColor="text1"/>
                <w:lang w:val="zh-CN"/>
                <w14:textFill>
                  <w14:solidFill>
                    <w14:schemeClr w14:val="tx1"/>
                  </w14:solidFill>
                </w14:textFill>
              </w:rPr>
              <w:t>处理措施</w:t>
            </w:r>
          </w:p>
          <w:p w14:paraId="2BCBDDDC">
            <w:pPr>
              <w:pStyle w:val="47"/>
              <w:ind w:firstLine="420"/>
              <w:rPr>
                <w:bCs/>
                <w:color w:val="000000" w:themeColor="text1"/>
                <w:spacing w:val="10"/>
                <w14:textFill>
                  <w14:solidFill>
                    <w14:schemeClr w14:val="tx1"/>
                  </w14:solidFill>
                </w14:textFill>
              </w:rPr>
            </w:pPr>
            <w:r>
              <w:rPr>
                <w:color w:val="000000" w:themeColor="text1"/>
                <w14:textFill>
                  <w14:solidFill>
                    <w14:schemeClr w14:val="tx1"/>
                  </w14:solidFill>
                </w14:textFill>
              </w:rPr>
              <w:t>施工废水主要污染物为SS，经</w:t>
            </w:r>
            <w:r>
              <w:rPr>
                <w:rFonts w:hint="eastAsia"/>
                <w:color w:val="000000" w:themeColor="text1"/>
                <w14:textFill>
                  <w14:solidFill>
                    <w14:schemeClr w14:val="tx1"/>
                  </w14:solidFill>
                </w14:textFill>
              </w:rPr>
              <w:t>沉淀</w:t>
            </w:r>
            <w:r>
              <w:rPr>
                <w:color w:val="000000" w:themeColor="text1"/>
                <w14:textFill>
                  <w14:solidFill>
                    <w14:schemeClr w14:val="tx1"/>
                  </w14:solidFill>
                </w14:textFill>
              </w:rPr>
              <w:t>处理后回用于临时道路、施工场地洒水降尘。</w:t>
            </w:r>
          </w:p>
          <w:p w14:paraId="0900DBA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施工结束后</w:t>
            </w:r>
            <w:r>
              <w:rPr>
                <w:color w:val="000000" w:themeColor="text1"/>
                <w14:textFill>
                  <w14:solidFill>
                    <w14:schemeClr w14:val="tx1"/>
                  </w14:solidFill>
                </w14:textFill>
              </w:rPr>
              <w:t>首先清除沉淀池内的上清液和池内的沉淀物，然后拆除沉淀池，</w:t>
            </w:r>
            <w:r>
              <w:rPr>
                <w:rFonts w:hint="eastAsia"/>
                <w:color w:val="000000" w:themeColor="text1"/>
                <w14:textFill>
                  <w14:solidFill>
                    <w14:schemeClr w14:val="tx1"/>
                  </w14:solidFill>
                </w14:textFill>
              </w:rPr>
              <w:t>交于厂家回收处置。</w:t>
            </w:r>
          </w:p>
          <w:p w14:paraId="58C9A3B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（3）河道清理疏挖过程水环境影响减缓措施</w:t>
            </w:r>
          </w:p>
          <w:p w14:paraId="592B848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河道清理疏挖过程中一定要加强对施工泥浆、废水、废料的收集与管理，杜绝任意排放，使涉水施工对河道水质的影响降到最低程度。河道开挖施工在枯水期进行，避开雨季施工，枯水期水流速度慢，采取挖掘机作业，施工作业时对河底扰动量极小，主要为水中泥沙的悬浮，悬浮的泥沙经过一定的时间和距离后会逐渐沉积，这个过程不会造成水质污染物总量增加，水体浑浊度增加仅限于局部地区的短时期内，且这一不利影响将随施工结束而消失，疏挖工程考虑河岸坡的安全稳定即可。</w:t>
            </w:r>
          </w:p>
          <w:p w14:paraId="09B3F0C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本次河道疏浚在确保自然岸坡稳定，不降低河床高程的基础上，对河道内淤积的泥沙、碎石等进行清理，因此本次河道清理疏挖后可使河道河水过流正常，从而使河势趋于稳定。</w:t>
            </w:r>
          </w:p>
          <w:p w14:paraId="594732E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在疏浚过程期间设置过滤网、防泥幕布等措施，降低颗粒物质在水中的流动。在河道进行疏浚工程时，在河道下游离疏浚位一百米处设置防泥幕布。这样可以最大程度的拦截悬浮泥沙。通过在一些工程中的实验类比分析，防泥幕布对悬浮泥沙的防治作用明显，如果严格按照设置标准进行操作，甚至会消除悬浮物对生态环境的破坏，大大减少悬浮物对河道下游影响，采取过滤网、防泥幕布等措施后，确保疏浚施工区下游污染物悬浮物不会超过其原有背景值。</w:t>
            </w:r>
          </w:p>
          <w:p w14:paraId="1300344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（4）淤泥沥水污染防治措施</w:t>
            </w:r>
          </w:p>
          <w:p w14:paraId="6D56F3B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淤泥沥水中污染物含量随泥浆沉降时间增加而降低，将淤泥临时堆场平整后铺设防渗土工膜，在堆场最低处设置防渗集水坑，通过小型潜水泵将集水坑内的沥水抽排引入沉淀池沉淀，经沉淀池澄清后上清液回用于周边场地洒水抑尘。利用洒水设备不定时地间断洒水，根据气候情况确定洒水次数。在晴天或有风天气每天洒水4次；晴天小风或无风天气洒水2次。</w:t>
            </w:r>
          </w:p>
          <w:p w14:paraId="25B2F6A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淤泥中影响水质的主要污染物质为有机物，根据底泥监测结果工程沿线河床未受到重金属污染。淤泥应避雨堆放，施工作业区的淤泥堆存场地应采取防渗措施，经上述措施处理后淤泥存放过程中不会对周围水环境造成影响。</w:t>
            </w:r>
          </w:p>
          <w:p w14:paraId="4C0A866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采取上述措施后，施工期产生的废水均不外排，不对外环境产生影响，故该措施技术可行、经济合理、效果可达。</w:t>
            </w:r>
          </w:p>
          <w:p w14:paraId="4AD2234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w:t>
            </w:r>
            <w:r>
              <w:rPr>
                <w:bCs/>
                <w:color w:val="000000" w:themeColor="text1"/>
                <w14:textFill>
                  <w14:solidFill>
                    <w14:schemeClr w14:val="tx1"/>
                  </w14:solidFill>
                </w14:textFill>
              </w:rPr>
              <w:t>噪声污染防治措施</w:t>
            </w:r>
          </w:p>
          <w:p w14:paraId="7AA07E8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为了尽量减少因本项目施工而给周围环境带来不利影响，</w:t>
            </w:r>
            <w:r>
              <w:rPr>
                <w:rFonts w:hint="eastAsia"/>
                <w:color w:val="000000" w:themeColor="text1"/>
                <w14:textFill>
                  <w14:solidFill>
                    <w14:schemeClr w14:val="tx1"/>
                  </w14:solidFill>
                </w14:textFill>
              </w:rPr>
              <w:t>本工程已</w:t>
            </w:r>
            <w:r>
              <w:rPr>
                <w:color w:val="000000" w:themeColor="text1"/>
                <w14:textFill>
                  <w14:solidFill>
                    <w14:schemeClr w14:val="tx1"/>
                  </w14:solidFill>
                </w14:textFill>
              </w:rPr>
              <w:t>采取以下控制措施：</w:t>
            </w:r>
          </w:p>
          <w:p w14:paraId="7A223D01">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（1）施工时应选用低噪声机械设备，淘汰高噪声设备和落后工艺，禁止采用冲击式钻机、柴油打桩机、旋挖桩机等高噪声设备，应选用低噪声</w:t>
            </w:r>
            <w:r>
              <w:rPr>
                <w:rFonts w:hint="eastAsia"/>
                <w:color w:val="000000" w:themeColor="text1"/>
                <w14:textFill>
                  <w14:solidFill>
                    <w14:schemeClr w14:val="tx1"/>
                  </w14:solidFill>
                </w14:textFill>
              </w:rPr>
              <w:t>设备进行</w:t>
            </w:r>
            <w:r>
              <w:rPr>
                <w:color w:val="000000" w:themeColor="text1"/>
                <w14:textFill>
                  <w14:solidFill>
                    <w14:schemeClr w14:val="tx1"/>
                  </w14:solidFill>
                </w14:textFill>
              </w:rPr>
              <w:t>施工。对挖掘机、推土机与</w:t>
            </w:r>
            <w:r>
              <w:rPr>
                <w:rFonts w:hint="eastAsia"/>
                <w:color w:val="000000" w:themeColor="text1"/>
                <w14:textFill>
                  <w14:solidFill>
                    <w14:schemeClr w14:val="tx1"/>
                  </w14:solidFill>
                </w14:textFill>
              </w:rPr>
              <w:t>装载机</w:t>
            </w:r>
            <w:r>
              <w:rPr>
                <w:color w:val="000000" w:themeColor="text1"/>
                <w14:textFill>
                  <w14:solidFill>
                    <w14:schemeClr w14:val="tx1"/>
                  </w14:solidFill>
                </w14:textFill>
              </w:rPr>
              <w:t>等固定设备，可通过安装消声管、消</w:t>
            </w:r>
            <w:r>
              <w:rPr>
                <w:rFonts w:hint="eastAsia"/>
                <w:color w:val="000000" w:themeColor="text1"/>
                <w14:textFill>
                  <w14:solidFill>
                    <w14:schemeClr w14:val="tx1"/>
                  </w14:solidFill>
                </w14:textFill>
              </w:rPr>
              <w:t>声</w:t>
            </w:r>
            <w:r>
              <w:rPr>
                <w:color w:val="000000" w:themeColor="text1"/>
                <w14:textFill>
                  <w14:solidFill>
                    <w14:schemeClr w14:val="tx1"/>
                  </w14:solidFill>
                </w14:textFill>
              </w:rPr>
              <w:t>器或隔离发动机振动部件的方法降低噪声，对振动大的机械设备，采用隔振胶垫或减振机座，使机械设备的噪声源声压级满足控制标准；同时要加强各种机械设备和运输车辆的维修和保养，使设备和车辆性能处于良好状态。</w:t>
            </w:r>
          </w:p>
          <w:p w14:paraId="0E8B5244">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（2）施工机械产生的噪声往往具有突发、无规则、不连续和高强度等特点，施工单位应采取合理安排施工机械操作时间的方法加以缓解，并减少同时作业的高噪声施工机械数量，尽可能减轻声源叠加影响。</w:t>
            </w:r>
            <w:r>
              <w:rPr>
                <w:rFonts w:hint="eastAsia"/>
                <w:color w:val="000000" w:themeColor="text1"/>
                <w14:textFill>
                  <w14:solidFill>
                    <w14:schemeClr w14:val="tx1"/>
                  </w14:solidFill>
                </w14:textFill>
              </w:rPr>
              <w:t>运输车辆禁止鸣高音喇叭，尤其是经过沿线村屯时应限速行驶，并禁止鸣笛。</w:t>
            </w:r>
          </w:p>
          <w:p w14:paraId="11DFBAC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（3）施工单位要合理安排施工作业时间，</w:t>
            </w:r>
            <w:r>
              <w:rPr>
                <w:rFonts w:hint="eastAsia"/>
                <w:color w:val="000000" w:themeColor="text1"/>
                <w14:textFill>
                  <w14:solidFill>
                    <w14:schemeClr w14:val="tx1"/>
                  </w14:solidFill>
                </w14:textFill>
              </w:rPr>
              <w:t>避免夜间</w:t>
            </w:r>
            <w:r>
              <w:rPr>
                <w:color w:val="000000" w:themeColor="text1"/>
                <w14:textFill>
                  <w14:solidFill>
                    <w14:schemeClr w14:val="tx1"/>
                  </w14:solidFill>
                </w14:textFill>
              </w:rPr>
              <w:t>施工，以免影响附近人们的休息。另外，为进一步确保周围人员不受影响，施工单位应合理安排施工机械的作业位置。</w:t>
            </w:r>
          </w:p>
          <w:p w14:paraId="4F0CD6A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szCs w:val="21"/>
                <w14:textFill>
                  <w14:solidFill>
                    <w14:schemeClr w14:val="tx1"/>
                  </w14:solidFill>
                </w14:textFill>
              </w:rPr>
              <w:t>施工期间的材料运输采用汽车拉运，车流量占道路总车流量比较小，避开高峰时期及中午等休息时间，在途经河流、居民等敏感点处减速慢行、禁止鸣笛；在运输过程中尽可能选择开阔平整的道路，对周围环境影响较小。</w:t>
            </w:r>
            <w:r>
              <w:rPr>
                <w:color w:val="000000" w:themeColor="text1"/>
                <w14:textFill>
                  <w14:solidFill>
                    <w14:schemeClr w14:val="tx1"/>
                  </w14:solidFill>
                </w14:textFill>
              </w:rPr>
              <w:t>对于施工期间的材料运输、敲击等噪声源，要求施工单位文明施工；加强有效管理，加强施工队伍的素质教育，尽量减少人为的噪声以缓解其影响。加强劳动保护，改善施工人员作业环境。综合加工场操作人员实行轮班制，每人每天持续工作时间不得超过6小时，给受影响大的人员配发防噪耳塞、头盔、耳罩等噪声防护用具。</w:t>
            </w:r>
          </w:p>
          <w:p w14:paraId="3A93C2A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5）做好周围群众的协调工作。施工期对周围群众带来多种不便，尤其受施工噪声的影响，抱怨较多，若处理不当，将影响社会安定。因此，应加强与周边住户、单位和居委会的联系，及时通报施工进度，减少人为噪声污染，取得群众的谅解。</w:t>
            </w:r>
          </w:p>
          <w:p w14:paraId="3D535A3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采取上述措施后，施工期场界噪声满足《建筑施工噪声排放标准》(GB 12523-2025)标准要求。施工噪声对周围声环境的影响较小，故该措施技术可行、经济合理、效果可达。</w:t>
            </w:r>
          </w:p>
          <w:p w14:paraId="41B9E5DF">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4、施工期固体废物</w:t>
            </w:r>
            <w:r>
              <w:rPr>
                <w:bCs/>
                <w:color w:val="000000" w:themeColor="text1"/>
                <w14:textFill>
                  <w14:solidFill>
                    <w14:schemeClr w14:val="tx1"/>
                  </w14:solidFill>
                </w14:textFill>
              </w:rPr>
              <w:t>污染防治措施</w:t>
            </w:r>
          </w:p>
          <w:p w14:paraId="0F532444">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根据本项目土石方平衡，</w:t>
            </w:r>
            <w:r>
              <w:rPr>
                <w:rFonts w:hint="eastAsia"/>
                <w:color w:val="000000" w:themeColor="text1"/>
                <w:szCs w:val="32"/>
                <w14:textFill>
                  <w14:solidFill>
                    <w14:schemeClr w14:val="tx1"/>
                  </w14:solidFill>
                </w14:textFill>
              </w:rPr>
              <w:t>本项目施工过程产生的弃方为14.32万m</w:t>
            </w:r>
            <w:r>
              <w:rPr>
                <w:color w:val="000000" w:themeColor="text1"/>
                <w:szCs w:val="32"/>
                <w:vertAlign w:val="superscript"/>
                <w14:textFill>
                  <w14:solidFill>
                    <w14:schemeClr w14:val="tx1"/>
                  </w14:solidFill>
                </w14:textFill>
              </w:rPr>
              <w:t>3</w:t>
            </w:r>
            <w:r>
              <w:rPr>
                <w:rFonts w:hint="eastAsia"/>
                <w:color w:val="000000" w:themeColor="text1"/>
                <w:szCs w:val="32"/>
                <w14:textFill>
                  <w14:solidFill>
                    <w14:schemeClr w14:val="tx1"/>
                  </w14:solidFill>
                </w14:textFill>
              </w:rPr>
              <w:t>，全部由伊美区人民政府统一处理，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r>
              <w:rPr>
                <w:rFonts w:hint="eastAsia"/>
                <w:color w:val="000000" w:themeColor="text1"/>
                <w14:textFill>
                  <w14:solidFill>
                    <w14:schemeClr w14:val="tx1"/>
                  </w14:solidFill>
                </w14:textFill>
              </w:rPr>
              <w:t>。</w:t>
            </w:r>
          </w:p>
          <w:p w14:paraId="03A2ED6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（2）建筑垃圾</w:t>
            </w:r>
          </w:p>
          <w:p w14:paraId="1C79E10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建筑垃圾统一收集，可回收建筑材料送交废旧建筑垃圾回收站处理，无法回收利用的采用运输车运至市政建筑垃圾指定地点消纳。工程施工单位施工前与各地的市容行政管理部门委托、协调解决，禁止就近随意堆放，影响景观；本工程施工监理单位要加强监督，使工程的建筑垃圾得到妥善处理，不得污染周边环境。</w:t>
            </w:r>
          </w:p>
          <w:p w14:paraId="0AB9CEBD">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（3）员工生活垃圾</w:t>
            </w:r>
          </w:p>
          <w:p w14:paraId="153CE74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施工期对生活垃圾集中收集，采取对生活垃圾的分类化管理，聘请专人定期清除垃圾，集中收集后交由环卫部门统一处理。</w:t>
            </w:r>
          </w:p>
          <w:p w14:paraId="4C9C8E7F">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施工期固废只要严格执行国家环保法律法规以及当地政府的管理规定，科学管理、文明施工，</w:t>
            </w:r>
            <w:r>
              <w:rPr>
                <w:rFonts w:hint="eastAsia"/>
                <w:color w:val="000000" w:themeColor="text1"/>
                <w14:textFill>
                  <w14:solidFill>
                    <w14:schemeClr w14:val="tx1"/>
                  </w14:solidFill>
                </w14:textFill>
              </w:rPr>
              <w:t>采取上述措施后，本项目产生的固体废物处置率达100%，不会造成污染。故该措施技术可行、经济合理、效果可达。</w:t>
            </w:r>
          </w:p>
          <w:p w14:paraId="69399C9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5、生态环境</w:t>
            </w:r>
            <w:r>
              <w:rPr>
                <w:bCs/>
                <w:color w:val="000000" w:themeColor="text1"/>
                <w14:textFill>
                  <w14:solidFill>
                    <w14:schemeClr w14:val="tx1"/>
                  </w14:solidFill>
                </w14:textFill>
              </w:rPr>
              <w:t>污染防治措施</w:t>
            </w:r>
          </w:p>
          <w:p w14:paraId="0E827B7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生态环境保护的对策是避免、消减和补偿，重点在于工程施工阶段避免或减缓对生态的破坏和影响，以及施工结束后的生态恢复措施。</w:t>
            </w:r>
          </w:p>
          <w:p w14:paraId="0AA8A00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本项目建设单位为黑龙江梅花河山庄度假村有限公司，生态恢复措施应与主体工程同步进行设计并开展，确保施工结束后立即开展生态恢复措施。</w:t>
            </w:r>
          </w:p>
          <w:p w14:paraId="62399C1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在对生态环境的防护和恢复上，本工程采取以下措施</w:t>
            </w:r>
            <w:r>
              <w:rPr>
                <w:rFonts w:hint="eastAsia"/>
                <w:color w:val="000000" w:themeColor="text1"/>
                <w14:textFill>
                  <w14:solidFill>
                    <w14:schemeClr w14:val="tx1"/>
                  </w14:solidFill>
                </w14:textFill>
              </w:rPr>
              <w:t>。</w:t>
            </w:r>
          </w:p>
          <w:p w14:paraId="5726A1A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工程建设生态保护</w:t>
            </w:r>
            <w:r>
              <w:rPr>
                <w:color w:val="000000" w:themeColor="text1"/>
                <w14:textFill>
                  <w14:solidFill>
                    <w14:schemeClr w14:val="tx1"/>
                  </w14:solidFill>
                </w14:textFill>
              </w:rPr>
              <w:t>措施</w:t>
            </w:r>
          </w:p>
          <w:p w14:paraId="0015834E">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充分重视对生态环境的保护</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少建施工便道。尽量避免雨季施工，这样可以避免大规模水土流失；要分段施工，每一段施工完成后要尽快回填土方，恢复植被。</w:t>
            </w:r>
          </w:p>
          <w:p w14:paraId="545AFAD0">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在工程建设施工期，采取尽量少占地，少破坏植被的原则，尽量缩小施工范围，各种施工活动应严格控制在施工区域内，并将临时占地面积控制在最低限度，以免造成土壤与植被的不必要破坏，将工程建设对现有植被和土壤的影响控制在最低限度。对于施工过程中破坏的植被，要制定补偿措施，进行补偿。对于临时占地，竣工后要进行</w:t>
            </w:r>
            <w:r>
              <w:rPr>
                <w:rFonts w:hint="eastAsia"/>
                <w:color w:val="000000" w:themeColor="text1"/>
                <w14:textFill>
                  <w14:solidFill>
                    <w14:schemeClr w14:val="tx1"/>
                  </w14:solidFill>
                </w14:textFill>
              </w:rPr>
              <w:t>土地恢复和植被恢复</w:t>
            </w:r>
            <w:r>
              <w:rPr>
                <w:color w:val="000000" w:themeColor="text1"/>
                <w14:textFill>
                  <w14:solidFill>
                    <w14:schemeClr w14:val="tx1"/>
                  </w14:solidFill>
                </w14:textFill>
              </w:rPr>
              <w:t>工作。工程施工时施工时做好堆土拦挡。施工后对沿线进行平整，以恢复植被。通过加大对作业带有机肥料的投入，增加土壤有机质含量，恢复土壤团粒结构，减轻对土壤的压实效应。</w:t>
            </w:r>
          </w:p>
          <w:p w14:paraId="4154CF3C">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要规范施工，严格管理，在施工前应制定出</w:t>
            </w:r>
            <w:r>
              <w:rPr>
                <w:rFonts w:hint="eastAsia"/>
                <w:color w:val="000000" w:themeColor="text1"/>
                <w14:textFill>
                  <w14:solidFill>
                    <w14:schemeClr w14:val="tx1"/>
                  </w14:solidFill>
                </w14:textFill>
              </w:rPr>
              <w:t>具体</w:t>
            </w:r>
            <w:r>
              <w:rPr>
                <w:color w:val="000000" w:themeColor="text1"/>
                <w14:textFill>
                  <w14:solidFill>
                    <w14:schemeClr w14:val="tx1"/>
                  </w14:solidFill>
                </w14:textFill>
              </w:rPr>
              <w:t>土石方处置方案，应限制临时堆放占地面积和远距离转移，</w:t>
            </w:r>
            <w:r>
              <w:rPr>
                <w:rFonts w:hint="eastAsia"/>
                <w:color w:val="000000" w:themeColor="text1"/>
                <w14:textFill>
                  <w14:solidFill>
                    <w14:schemeClr w14:val="tx1"/>
                  </w14:solidFill>
                </w14:textFill>
              </w:rPr>
              <w:t>按设计占地区域</w:t>
            </w:r>
            <w:r>
              <w:rPr>
                <w:color w:val="000000" w:themeColor="text1"/>
                <w14:textFill>
                  <w14:solidFill>
                    <w14:schemeClr w14:val="tx1"/>
                  </w14:solidFill>
                </w14:textFill>
              </w:rPr>
              <w:t>就近修建</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道路。</w:t>
            </w:r>
          </w:p>
          <w:p w14:paraId="6D9F17D2">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工程开挖过程中对</w:t>
            </w:r>
            <w:r>
              <w:rPr>
                <w:rFonts w:hint="eastAsia"/>
                <w:color w:val="000000" w:themeColor="text1"/>
                <w14:textFill>
                  <w14:solidFill>
                    <w14:schemeClr w14:val="tx1"/>
                  </w14:solidFill>
                </w14:textFill>
              </w:rPr>
              <w:t>占地区域存在一定影响</w:t>
            </w:r>
            <w:r>
              <w:rPr>
                <w:color w:val="000000" w:themeColor="text1"/>
                <w14:textFill>
                  <w14:solidFill>
                    <w14:schemeClr w14:val="tx1"/>
                  </w14:solidFill>
                </w14:textFill>
              </w:rPr>
              <w:t>。施工单位通过文明施工，合理安排施工进度，缩短施工周期。施工结束后随着开挖土壤的分层回填和</w:t>
            </w:r>
            <w:r>
              <w:rPr>
                <w:rFonts w:hint="eastAsia"/>
                <w:color w:val="000000" w:themeColor="text1"/>
                <w14:textFill>
                  <w14:solidFill>
                    <w14:schemeClr w14:val="tx1"/>
                  </w14:solidFill>
                </w14:textFill>
              </w:rPr>
              <w:t>植物</w:t>
            </w:r>
            <w:r>
              <w:rPr>
                <w:color w:val="000000" w:themeColor="text1"/>
                <w14:textFill>
                  <w14:solidFill>
                    <w14:schemeClr w14:val="tx1"/>
                  </w14:solidFill>
                </w14:textFill>
              </w:rPr>
              <w:t>补植</w:t>
            </w:r>
            <w:r>
              <w:rPr>
                <w:rFonts w:hint="eastAsia"/>
                <w:color w:val="000000" w:themeColor="text1"/>
                <w14:textFill>
                  <w14:solidFill>
                    <w14:schemeClr w14:val="tx1"/>
                  </w14:solidFill>
                </w14:textFill>
              </w:rPr>
              <w:t>，通过建设生态护岸，</w:t>
            </w:r>
            <w:r>
              <w:rPr>
                <w:color w:val="000000" w:themeColor="text1"/>
                <w14:textFill>
                  <w14:solidFill>
                    <w14:schemeClr w14:val="tx1"/>
                  </w14:solidFill>
                </w14:textFill>
              </w:rPr>
              <w:t>对受损植被</w:t>
            </w:r>
            <w:r>
              <w:rPr>
                <w:rFonts w:hint="eastAsia"/>
                <w:color w:val="000000" w:themeColor="text1"/>
                <w14:textFill>
                  <w14:solidFill>
                    <w14:schemeClr w14:val="tx1"/>
                  </w14:solidFill>
                </w14:textFill>
              </w:rPr>
              <w:t>可</w:t>
            </w:r>
            <w:r>
              <w:rPr>
                <w:color w:val="000000" w:themeColor="text1"/>
                <w14:textFill>
                  <w14:solidFill>
                    <w14:schemeClr w14:val="tx1"/>
                  </w14:solidFill>
                </w14:textFill>
              </w:rPr>
              <w:t>加以修复。</w:t>
            </w:r>
          </w:p>
          <w:p w14:paraId="676DAC3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（2）施工完毕</w:t>
            </w:r>
            <w:r>
              <w:rPr>
                <w:rFonts w:hint="eastAsia"/>
                <w:color w:val="000000" w:themeColor="text1"/>
                <w14:textFill>
                  <w14:solidFill>
                    <w14:schemeClr w14:val="tx1"/>
                  </w14:solidFill>
                </w14:textFill>
              </w:rPr>
              <w:t>生态</w:t>
            </w:r>
            <w:r>
              <w:rPr>
                <w:color w:val="000000" w:themeColor="text1"/>
                <w14:textFill>
                  <w14:solidFill>
                    <w14:schemeClr w14:val="tx1"/>
                  </w14:solidFill>
                </w14:textFill>
              </w:rPr>
              <w:t>恢复</w:t>
            </w:r>
          </w:p>
          <w:p w14:paraId="0EF72AD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临时占地在施工结束后，通过土地平整、</w:t>
            </w:r>
            <w:bookmarkStart w:id="49" w:name="OLE_LINK2"/>
            <w:r>
              <w:rPr>
                <w:rFonts w:hint="eastAsia"/>
                <w:color w:val="000000" w:themeColor="text1"/>
                <w14:textFill>
                  <w14:solidFill>
                    <w14:schemeClr w14:val="tx1"/>
                  </w14:solidFill>
                </w14:textFill>
              </w:rPr>
              <w:t>覆植种草</w:t>
            </w:r>
            <w:bookmarkEnd w:id="49"/>
            <w:r>
              <w:rPr>
                <w:rFonts w:hint="eastAsia"/>
                <w:color w:val="000000" w:themeColor="text1"/>
                <w14:textFill>
                  <w14:solidFill>
                    <w14:schemeClr w14:val="tx1"/>
                  </w14:solidFill>
                </w14:textFill>
              </w:rPr>
              <w:t>等措施，恢复生态现状。因此临时占地的影响时段主要在施工期。影响时间短，影响程度低。植被恢复后，在附近生活的动物会慢慢占领该区域，生物多样性也会慢慢得到改善。临时占地生态恢复费用较高，因此应考虑实际施工时尽量减少施工临时占用土地。</w:t>
            </w:r>
          </w:p>
          <w:p w14:paraId="101921D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项目施工完毕后应对项目所占临时占地（施工作业带、及临时施工场地）进行迹地恢复，采取相应的土地平整等措施，原土地使用功能可以得到恢复。迹地恢复中，应恢复原有地表的平整度，除恢复原状外，沿线</w:t>
            </w:r>
            <w:r>
              <w:rPr>
                <w:rFonts w:hint="eastAsia"/>
                <w:color w:val="000000" w:themeColor="text1"/>
                <w14:textFill>
                  <w14:solidFill>
                    <w14:schemeClr w14:val="tx1"/>
                  </w14:solidFill>
                </w14:textFill>
              </w:rPr>
              <w:t>应加强</w:t>
            </w:r>
            <w:r>
              <w:rPr>
                <w:color w:val="000000" w:themeColor="text1"/>
                <w14:textFill>
                  <w14:solidFill>
                    <w14:schemeClr w14:val="tx1"/>
                  </w14:solidFill>
                </w14:textFill>
              </w:rPr>
              <w:t>绿化。</w:t>
            </w:r>
            <w:r>
              <w:rPr>
                <w:rFonts w:hint="eastAsia"/>
                <w:color w:val="000000" w:themeColor="text1"/>
                <w14:textFill>
                  <w14:solidFill>
                    <w14:schemeClr w14:val="tx1"/>
                  </w14:solidFill>
                </w14:textFill>
              </w:rPr>
              <w:t>对临时占地</w:t>
            </w:r>
            <w:r>
              <w:rPr>
                <w:color w:val="000000" w:themeColor="text1"/>
                <w14:textFill>
                  <w14:solidFill>
                    <w14:schemeClr w14:val="tx1"/>
                  </w14:solidFill>
                </w14:textFill>
              </w:rPr>
              <w:t>区域分层回填，做好土壤复育措施，土壤抚育应多</w:t>
            </w:r>
            <w:r>
              <w:rPr>
                <w:rFonts w:hint="eastAsia"/>
                <w:color w:val="000000" w:themeColor="text1"/>
                <w14:textFill>
                  <w14:solidFill>
                    <w14:schemeClr w14:val="tx1"/>
                  </w14:solidFill>
                </w14:textFill>
              </w:rPr>
              <w:t>施</w:t>
            </w:r>
            <w:r>
              <w:rPr>
                <w:color w:val="000000" w:themeColor="text1"/>
                <w14:textFill>
                  <w14:solidFill>
                    <w14:schemeClr w14:val="tx1"/>
                  </w14:solidFill>
                </w14:textFill>
              </w:rPr>
              <w:t>有机肥，以改善土壤的团粒结构，增加有机质含量。腐殖酸有机肥能改良、活化、营养土壤，使板结的土壤恢复生机。</w:t>
            </w:r>
          </w:p>
          <w:p w14:paraId="0457C20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根据主体工程施工进度及时安排，工程措施与主体工程建设同步，防护措施先于主体工程或同时进行，植物恢复措施根据当地气候条件安排，稍滞后主体工程建设进度。</w:t>
            </w:r>
          </w:p>
          <w:p w14:paraId="2E692394">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陆生生态保护措施</w:t>
            </w:r>
          </w:p>
          <w:p w14:paraId="1286C12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①避让措施</w:t>
            </w:r>
          </w:p>
          <w:p w14:paraId="3E57B3D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为减缓施工期对植被的影响，应加强管理，减少对施工作业区周围植被的破坏；在选择临时用地地点时，应注意根据实际需要控制临时占地的面积。施工车辆应在固定施工便道上行驶，以免对周边土壤碾压破坏。</w:t>
            </w:r>
          </w:p>
          <w:p w14:paraId="459BB38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②减缓措施</w:t>
            </w:r>
          </w:p>
          <w:p w14:paraId="0142E2C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在施工前，施工单位必须划出保护线，禁止越界施工占地或在占地区域外砍伐林木、破坏耕地等，尽量减少施工占地对周边占地造成损失，防止工程施工过程中越界施工对周边土地造成破坏。</w:t>
            </w:r>
          </w:p>
          <w:p w14:paraId="7E03215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B</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避免对施工边界以外的土地产生扰动，为方便机械设备进场施工，降低机械及车辆对原地貌的扰动，在场地占压位置铺设10mm厚钢板。</w:t>
            </w:r>
          </w:p>
          <w:p w14:paraId="59221AA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C</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合理安排施工进度，尽量减少过多的施工区域，缩短临时占地使用时间，施工完毕立即进行迹地恢复。</w:t>
            </w:r>
          </w:p>
          <w:p w14:paraId="0C64A82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为减缓施工期水土流失，施工单位通过采取优化施工方案、避开雨季施工、在施工过程中及时将土石方回填、及时夯实回填土、及时绿化等一系列措施后，可避免由于开挖不当引起的水土流失。</w:t>
            </w:r>
          </w:p>
          <w:p w14:paraId="6AD1B39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E</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工程建筑垃圾、生活垃圾等要定点堆放，及时清运，严格控制施工过程中扬尘污染，对施工废水不得随意乱排，收集后回用于路面洒水降尘，施工结束后，做到完工，料尽、场地清。</w:t>
            </w:r>
          </w:p>
          <w:p w14:paraId="09E2FB0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③恢复措施</w:t>
            </w:r>
          </w:p>
          <w:p w14:paraId="63C5E3E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完成后，对工程临时占地区进行土地平整，并依据植被生态演替的基本规律采取植被恢复措施，由建设单位或施工单位组织对施工造成的裸露地表采取植被恢复措施。在施工后期和营运初期，须按工程绿化美化设计，实施绿化工程。项目建设要加强植被建设，增加绿地面积，以补偿由于项目建成造成生态系统功能的损失，同时保持与自然景观的协调性，达到较好的景观效果。</w:t>
            </w:r>
          </w:p>
          <w:p w14:paraId="39C43DDA">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水生生态减缓措施</w:t>
            </w:r>
          </w:p>
          <w:p w14:paraId="3885AB7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①避让措施</w:t>
            </w:r>
          </w:p>
          <w:p w14:paraId="7B10A556">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工程河段无重要水生生物的自然产卵场、索饵场、越冬场和洄游通道，施工期提出以下避让措施：严格划定施工作业区，减少扰动水体的施工活动；合理安排施工时间，施工进度不在鱼类主要产卵期开展涉水施工；施工活动施工时选择枯水期、避开雨季施工。由于项目施工期安排在枯水期，以减少水体扰动，可大大减轻工程对水生生物的影响。避免施工场地生活垃圾和生活污水的直接排放。生活污水、生产废水必须经旱厕以及隔油池、沉淀池等设施处理后回用，严禁不处理直接排放进入水体。</w:t>
            </w:r>
          </w:p>
          <w:p w14:paraId="48A3C6A8">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②减缓措施</w:t>
            </w:r>
          </w:p>
          <w:p w14:paraId="4E0902F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加强施工期管理和环境保护宣传，禁止施工人员钓、网等捕鱼行为发生；</w:t>
            </w:r>
          </w:p>
          <w:p w14:paraId="4AC3485F">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B</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施工期间尽可能减少噪音，采取低噪音设备施工，减少噪声对鱼类影响；</w:t>
            </w:r>
          </w:p>
          <w:p w14:paraId="40BC366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施工期间应及时处理固体垃圾，有效处理施工生产废水和生活污水，禁止将生产生活废污水未经处理直接排入地表水体，防止污染河流水质事件的发生。严禁有毒有害物质进入水体对鱼类等水生生物造成伤害。</w:t>
            </w:r>
          </w:p>
          <w:p w14:paraId="41A81B21">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D</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项目建设过程中要加强对现有河道水生生物的保护，防止施工时泥沙等掉入河中。</w:t>
            </w:r>
          </w:p>
          <w:p w14:paraId="1C2E0E2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（5）水土保持措施</w:t>
            </w:r>
          </w:p>
          <w:p w14:paraId="2DE1612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为防止施工活动对周边造成扰动破坏，施工期间要加强管理，明确征地界限，各种施工活动严格控制在征地范围内进行，避免人为增加扰动面积。</w:t>
            </w:r>
          </w:p>
          <w:p w14:paraId="609C249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按照《生产建设项目水土保持技术标准》（GB 50433-2018）要求，在分析评价主体工程中具有水土保持功能措施的基础上，确定水土保持措施的总体布局。在总体布局上本着工程措施与植物措施相结合，永久措施与临时措施相结合，点、线、面相结合的原则，形成布局合理的水土保持综合防治体系。</w:t>
            </w:r>
          </w:p>
          <w:p w14:paraId="7A396B9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①施工道路区防治措施</w:t>
            </w:r>
          </w:p>
          <w:p w14:paraId="07E11F8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本工程所在地对外交通较方便，外运材料需经县内道路运至各使用地点。施工道路主要利用现有道路。</w:t>
            </w:r>
          </w:p>
          <w:p w14:paraId="628437C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工程措施</w:t>
            </w:r>
          </w:p>
          <w:p w14:paraId="055C485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施工结束后，对施工道路区临时占地</w:t>
            </w:r>
            <w:r>
              <w:rPr>
                <w:color w:val="000000" w:themeColor="text1"/>
                <w14:textFill>
                  <w14:solidFill>
                    <w14:schemeClr w14:val="tx1"/>
                  </w14:solidFill>
                </w14:textFill>
              </w:rPr>
              <w:t>进行</w:t>
            </w:r>
            <w:r>
              <w:rPr>
                <w:rFonts w:hint="eastAsia"/>
                <w:color w:val="000000" w:themeColor="text1"/>
                <w14:textFill>
                  <w14:solidFill>
                    <w14:schemeClr w14:val="tx1"/>
                  </w14:solidFill>
                </w14:textFill>
              </w:rPr>
              <w:t>土地整治</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由于以占压扰动为主，需进行平整翻耕松土即可。</w:t>
            </w:r>
          </w:p>
          <w:p w14:paraId="0789A91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B</w:t>
            </w:r>
            <w:r>
              <w:rPr>
                <w:color w:val="000000" w:themeColor="text1"/>
                <w14:textFill>
                  <w14:solidFill>
                    <w14:schemeClr w14:val="tx1"/>
                  </w14:solidFill>
                </w14:textFill>
              </w:rPr>
              <w:t>.植物措施</w:t>
            </w:r>
          </w:p>
          <w:p w14:paraId="2CA01E0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施工结束后，对施工道路区域耕地部分进行土地复垦，林地区域进行</w:t>
            </w:r>
            <w:r>
              <w:rPr>
                <w:color w:val="000000" w:themeColor="text1"/>
                <w14:textFill>
                  <w14:solidFill>
                    <w14:schemeClr w14:val="tx1"/>
                  </w14:solidFill>
                </w14:textFill>
              </w:rPr>
              <w:t>平整覆植</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主要撒播树种和草籽，</w:t>
            </w:r>
            <w:r>
              <w:rPr>
                <w:rFonts w:hint="eastAsia"/>
                <w:color w:val="000000" w:themeColor="text1"/>
                <w14:textFill>
                  <w14:solidFill>
                    <w14:schemeClr w14:val="tx1"/>
                  </w14:solidFill>
                </w14:textFill>
              </w:rPr>
              <w:t>按现状植被进行1: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恢复，</w:t>
            </w:r>
            <w:r>
              <w:rPr>
                <w:color w:val="000000" w:themeColor="text1"/>
                <w14:textFill>
                  <w14:solidFill>
                    <w14:schemeClr w14:val="tx1"/>
                  </w14:solidFill>
                </w14:textFill>
              </w:rPr>
              <w:t>种植当地优势灌、草</w:t>
            </w:r>
            <w:r>
              <w:rPr>
                <w:rFonts w:hint="eastAsia"/>
                <w:color w:val="000000" w:themeColor="text1"/>
                <w14:textFill>
                  <w14:solidFill>
                    <w14:schemeClr w14:val="tx1"/>
                  </w14:solidFill>
                </w14:textFill>
              </w:rPr>
              <w:t>。</w:t>
            </w:r>
          </w:p>
          <w:p w14:paraId="6EC4D7C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临时措施</w:t>
            </w:r>
          </w:p>
          <w:p w14:paraId="1F374D1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施工期间为了保护表土，避免对施工边界以外的土地产生扰动，为方便机械设备进场施工，降低机械及车辆对原地貌的扰动，在场地占压位置铺设10mm厚钢板。</w:t>
            </w:r>
          </w:p>
          <w:p w14:paraId="6FEF96C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②淤泥堆放区防治措施</w:t>
            </w:r>
          </w:p>
          <w:p w14:paraId="4F1DC18B">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植物措施</w:t>
            </w:r>
          </w:p>
          <w:p w14:paraId="4396D8D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施工结束后，对淤泥堆放区进行土地平整及撒播种草，草种选用早熟禾、高羊茅等，撒播密度80kg/hm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11BE50B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④其他</w:t>
            </w:r>
            <w:r>
              <w:rPr>
                <w:color w:val="000000" w:themeColor="text1"/>
                <w14:textFill>
                  <w14:solidFill>
                    <w14:schemeClr w14:val="tx1"/>
                  </w14:solidFill>
                </w14:textFill>
              </w:rPr>
              <w:t>水土保持防治措施：</w:t>
            </w:r>
          </w:p>
          <w:p w14:paraId="4D2AC05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A.在施工过程中要合理安排施工进度，施工要避开雨季和大风天，分段施工，采用挡土墙和排水措施进行防护，尽量不留疏松地面，减少风蚀导致的水土流失。</w:t>
            </w:r>
          </w:p>
          <w:p w14:paraId="7C209C5E">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B.划定施工作业范围和路线，不得随意扩大，按规定操作。严格控制和管理运输车辆及重型机械施工作业范围，尽可能减少对土壤和农作物的破坏以及由此引发的水土流失。</w:t>
            </w:r>
          </w:p>
          <w:p w14:paraId="0A1BC427">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C.废弃的砂、石、土必须运至规定的专门存放地堆放，禁止向江河、湖泊、水库和专门堆放地以外的沟渠倾倒；</w:t>
            </w:r>
          </w:p>
          <w:p w14:paraId="5DDF64C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D.工程施工时注意合理分配施工时段，避开降雨集中时段，开挖的土方、开挖裸露面做好防治措施，尽量缩短暴露时间，做好堆土拦挡，开挖土方临时堆存场所底部采用布袋挡墙，堆土表面用无纺布覆盖，能有效减缓水土流失，工程完成后及时覆土夯实，</w:t>
            </w:r>
            <w:r>
              <w:rPr>
                <w:rFonts w:hint="eastAsia"/>
                <w:color w:val="000000" w:themeColor="text1"/>
                <w14:textFill>
                  <w14:solidFill>
                    <w14:schemeClr w14:val="tx1"/>
                  </w14:solidFill>
                </w14:textFill>
              </w:rPr>
              <w:t>对空地进行土地整治</w:t>
            </w:r>
            <w:r>
              <w:rPr>
                <w:color w:val="000000" w:themeColor="text1"/>
                <w14:textFill>
                  <w14:solidFill>
                    <w14:schemeClr w14:val="tx1"/>
                  </w14:solidFill>
                </w14:textFill>
              </w:rPr>
              <w:t>，撒播草种，完成迹地恢复。整体来说，在施工过程中做好相应的水土保持措施后，整个施工过程不会加剧区域水土流失；</w:t>
            </w:r>
          </w:p>
          <w:p w14:paraId="524417B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E.在施工中破坏植被的地段，施工结束后，必须及时进行植被恢复工作。开挖面和废弃的砂、石、土存放地的裸露土地，及时</w:t>
            </w:r>
            <w:r>
              <w:rPr>
                <w:rFonts w:hint="eastAsia"/>
                <w:color w:val="000000" w:themeColor="text1"/>
                <w14:textFill>
                  <w14:solidFill>
                    <w14:schemeClr w14:val="tx1"/>
                  </w14:solidFill>
                </w14:textFill>
              </w:rPr>
              <w:t>覆植种草</w:t>
            </w:r>
            <w:r>
              <w:rPr>
                <w:color w:val="000000" w:themeColor="text1"/>
                <w14:textFill>
                  <w14:solidFill>
                    <w14:schemeClr w14:val="tx1"/>
                  </w14:solidFill>
                </w14:textFill>
              </w:rPr>
              <w:t>，防止水土流失。</w:t>
            </w:r>
          </w:p>
          <w:p w14:paraId="5E2A461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针对本工程，在主体工程区的临时堆放场四周采用装土编织袋进行拦挡防止水土流失，严格按照设计时序施工，避免在风雨天气施工，增强施工人员的水土保持意识，建立健全施工监理体系；对各施工作业区施工场地做了进一步整平压实，防止水土流失。</w:t>
            </w:r>
          </w:p>
          <w:p w14:paraId="438CEACC">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）防火措施</w:t>
            </w:r>
          </w:p>
          <w:p w14:paraId="2FD697E3">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区域施工人员野外作业必然带来野外火源管理的压力，必须把火的管理放在首要位置，常抓不懈，杜绝一切隐患。积极贯彻《森林防火条例》，加强防火宣传教育，时时敲响防火警钟，禁止在区域内附近吸烟和生火，做好生活和生产用火的火源管理，建立施工区防火及火警警报系统和管理制度，明确责任制最大程度避免发生火灾。</w:t>
            </w:r>
          </w:p>
          <w:p w14:paraId="16D0B13C">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（7）管理措施</w:t>
            </w:r>
          </w:p>
          <w:p w14:paraId="5F2C1772">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A.对施工人员进行施工期环保措施的宣传教育，对每一位上岗人员进行培训，让他们充分认识每一项环保措施及落实的重要性，真正使环保措施起到应有的作用。</w:t>
            </w:r>
          </w:p>
          <w:p w14:paraId="398C69A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B.施工单位和人员要严格遵守国家法令，爱护保护区内所有的动物和昆虫。爱护施工区域内的生态环境，除施工必须外，爱护一草一木，不砍伐当地树木。</w:t>
            </w:r>
          </w:p>
          <w:p w14:paraId="5ABDDB1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C.保护原有地貌不被破坏，施工挖掘地表时，尽可能保护原有地层。</w:t>
            </w:r>
          </w:p>
          <w:p w14:paraId="408B2719">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D.施工结束后，施工单位应负责及时清理现场，使之尽快恢复原状。</w:t>
            </w:r>
          </w:p>
          <w:p w14:paraId="4B8E5774">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可能会对周边环境造成一定的影响，会影响到水生生物的生存、行为、繁殖和分布，生物多样性减少，好氧浮游生物、鱼类、底栖动物会因环境的恶化而死亡，从而造成整个水生生态系统一系列的变化。尽管这些影响基本都是不利的，但同时也是可逆的，而且影响时间较短，项目建成后将明显改善所在地水体的环境质量，且在施工完成一段时间后，草皮护岸会让因施工被破坏的原始生态系统将很快得以恢复。因此本项目在施工过程中对生态环境影响较小。</w:t>
            </w:r>
          </w:p>
          <w:p w14:paraId="04997F7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采取上述措施后，可以减少植被破坏、控制施工范围、有利于减少水土流失、植被恢复、恢复和改善陆生、水生生物的生存环境，故该措施技术可行、经济合理、效果可达。</w:t>
            </w:r>
          </w:p>
          <w:p w14:paraId="5A13D0BA">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6、环境风险防范措施</w:t>
            </w:r>
          </w:p>
          <w:p w14:paraId="39E475D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本项目存在危险品的遗失、泄露以及火灾等环境风险，需采取相应的风险防范措施，以降低各类风险事故发生的概率，具体措施详见下表。</w:t>
            </w:r>
          </w:p>
          <w:p w14:paraId="085ECF16">
            <w:pPr>
              <w:pStyle w:val="46"/>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color w:val="000000" w:themeColor="text1"/>
                <w14:textFill>
                  <w14:solidFill>
                    <w14:schemeClr w14:val="tx1"/>
                  </w14:solidFill>
                </w14:textFill>
              </w:rPr>
              <w:t xml:space="preserve">5-2 </w:t>
            </w:r>
            <w:r>
              <w:rPr>
                <w:rFonts w:hint="eastAsia"/>
                <w:color w:val="000000" w:themeColor="text1"/>
                <w14:textFill>
                  <w14:solidFill>
                    <w14:schemeClr w14:val="tx1"/>
                  </w14:solidFill>
                </w14:textFill>
              </w:rPr>
              <w:t>项目环境风险防范措施</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7"/>
              <w:gridCol w:w="1023"/>
              <w:gridCol w:w="6094"/>
            </w:tblGrid>
            <w:tr w14:paraId="70CEF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Align w:val="center"/>
                </w:tcPr>
                <w:p w14:paraId="383B3D8F">
                  <w:pPr>
                    <w:pStyle w:val="43"/>
                    <w:rPr>
                      <w:color w:val="000000" w:themeColor="text1"/>
                      <w14:textFill>
                        <w14:solidFill>
                          <w14:schemeClr w14:val="tx1"/>
                        </w14:solidFill>
                      </w14:textFill>
                    </w:rPr>
                  </w:pPr>
                  <w:r>
                    <w:rPr>
                      <w:color w:val="000000" w:themeColor="text1"/>
                      <w14:textFill>
                        <w14:solidFill>
                          <w14:schemeClr w14:val="tx1"/>
                        </w14:solidFill>
                      </w14:textFill>
                    </w:rPr>
                    <w:t>防范要求</w:t>
                  </w:r>
                </w:p>
              </w:tc>
              <w:tc>
                <w:tcPr>
                  <w:tcW w:w="4055" w:type="pct"/>
                  <w:vAlign w:val="center"/>
                </w:tcPr>
                <w:p w14:paraId="53B56420">
                  <w:pPr>
                    <w:pStyle w:val="43"/>
                    <w:rPr>
                      <w:color w:val="000000" w:themeColor="text1"/>
                      <w14:textFill>
                        <w14:solidFill>
                          <w14:schemeClr w14:val="tx1"/>
                        </w14:solidFill>
                      </w14:textFill>
                    </w:rPr>
                  </w:pPr>
                  <w:r>
                    <w:rPr>
                      <w:color w:val="000000" w:themeColor="text1"/>
                      <w14:textFill>
                        <w14:solidFill>
                          <w14:schemeClr w14:val="tx1"/>
                        </w14:solidFill>
                      </w14:textFill>
                    </w:rPr>
                    <w:t>措施内容</w:t>
                  </w:r>
                </w:p>
              </w:tc>
            </w:tr>
            <w:tr w14:paraId="42F38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restart"/>
                  <w:vAlign w:val="center"/>
                </w:tcPr>
                <w:p w14:paraId="4FC955F4">
                  <w:pPr>
                    <w:pStyle w:val="43"/>
                    <w:rPr>
                      <w:color w:val="000000" w:themeColor="text1"/>
                      <w14:textFill>
                        <w14:solidFill>
                          <w14:schemeClr w14:val="tx1"/>
                        </w14:solidFill>
                      </w14:textFill>
                    </w:rPr>
                  </w:pPr>
                  <w:r>
                    <w:rPr>
                      <w:color w:val="000000" w:themeColor="text1"/>
                      <w14:textFill>
                        <w14:solidFill>
                          <w14:schemeClr w14:val="tx1"/>
                        </w14:solidFill>
                      </w14:textFill>
                    </w:rPr>
                    <w:t>加强教育</w:t>
                  </w:r>
                </w:p>
                <w:p w14:paraId="79F34D46">
                  <w:pPr>
                    <w:pStyle w:val="43"/>
                    <w:rPr>
                      <w:color w:val="000000" w:themeColor="text1"/>
                      <w14:textFill>
                        <w14:solidFill>
                          <w14:schemeClr w14:val="tx1"/>
                        </w14:solidFill>
                      </w14:textFill>
                    </w:rPr>
                  </w:pPr>
                  <w:r>
                    <w:rPr>
                      <w:color w:val="000000" w:themeColor="text1"/>
                      <w14:textFill>
                        <w14:solidFill>
                          <w14:schemeClr w14:val="tx1"/>
                        </w14:solidFill>
                      </w14:textFill>
                    </w:rPr>
                    <w:t>强化管理</w:t>
                  </w:r>
                </w:p>
              </w:tc>
              <w:tc>
                <w:tcPr>
                  <w:tcW w:w="4055" w:type="pct"/>
                  <w:vAlign w:val="center"/>
                </w:tcPr>
                <w:p w14:paraId="05E87C41">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必须将“安全第一，预防为主”作为</w:t>
                  </w:r>
                  <w:r>
                    <w:rPr>
                      <w:rFonts w:hint="eastAsia"/>
                      <w:color w:val="000000" w:themeColor="text1"/>
                      <w14:textFill>
                        <w14:solidFill>
                          <w14:schemeClr w14:val="tx1"/>
                        </w14:solidFill>
                      </w14:textFill>
                    </w:rPr>
                    <w:t>本次施工</w:t>
                  </w:r>
                  <w:r>
                    <w:rPr>
                      <w:color w:val="000000" w:themeColor="text1"/>
                      <w14:textFill>
                        <w14:solidFill>
                          <w14:schemeClr w14:val="tx1"/>
                        </w14:solidFill>
                      </w14:textFill>
                    </w:rPr>
                    <w:t>的基本原则。</w:t>
                  </w:r>
                </w:p>
              </w:tc>
            </w:tr>
            <w:tr w14:paraId="47D01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continue"/>
                  <w:vAlign w:val="center"/>
                </w:tcPr>
                <w:p w14:paraId="1474119D">
                  <w:pPr>
                    <w:pStyle w:val="43"/>
                    <w:rPr>
                      <w:color w:val="000000" w:themeColor="text1"/>
                      <w14:textFill>
                        <w14:solidFill>
                          <w14:schemeClr w14:val="tx1"/>
                        </w14:solidFill>
                      </w14:textFill>
                    </w:rPr>
                  </w:pPr>
                </w:p>
              </w:tc>
              <w:tc>
                <w:tcPr>
                  <w:tcW w:w="4055" w:type="pct"/>
                  <w:vAlign w:val="center"/>
                </w:tcPr>
                <w:p w14:paraId="43D46FC1">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必须进行广泛系统的培训，使所有操作人员熟悉自己的岗位，树立严谨规范的操作作风，并且在任何紧急状况下都能随时对工艺装置进行控制，并及时、独立、正确地实施相关应急措施。</w:t>
                  </w:r>
                </w:p>
              </w:tc>
            </w:tr>
            <w:tr w14:paraId="495F1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continue"/>
                  <w:vAlign w:val="center"/>
                </w:tcPr>
                <w:p w14:paraId="140409B5">
                  <w:pPr>
                    <w:pStyle w:val="43"/>
                    <w:rPr>
                      <w:color w:val="000000" w:themeColor="text1"/>
                      <w14:textFill>
                        <w14:solidFill>
                          <w14:schemeClr w14:val="tx1"/>
                        </w14:solidFill>
                      </w14:textFill>
                    </w:rPr>
                  </w:pPr>
                </w:p>
              </w:tc>
              <w:tc>
                <w:tcPr>
                  <w:tcW w:w="4055" w:type="pct"/>
                  <w:vAlign w:val="center"/>
                </w:tcPr>
                <w:p w14:paraId="79F50F76">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对</w:t>
                  </w:r>
                  <w:r>
                    <w:rPr>
                      <w:rFonts w:hint="eastAsia"/>
                      <w:color w:val="000000" w:themeColor="text1"/>
                      <w14:textFill>
                        <w14:solidFill>
                          <w14:schemeClr w14:val="tx1"/>
                        </w14:solidFill>
                      </w14:textFill>
                    </w:rPr>
                    <w:t>施工人员</w:t>
                  </w:r>
                  <w:r>
                    <w:rPr>
                      <w:color w:val="000000" w:themeColor="text1"/>
                      <w14:textFill>
                        <w14:solidFill>
                          <w14:schemeClr w14:val="tx1"/>
                        </w14:solidFill>
                      </w14:textFill>
                    </w:rPr>
                    <w:t>进行消防培训，当事故发生后能在最短时间内集合，在</w:t>
                  </w:r>
                  <w:r>
                    <w:rPr>
                      <w:rFonts w:hint="eastAsia"/>
                      <w:color w:val="000000" w:themeColor="text1"/>
                      <w14:textFill>
                        <w14:solidFill>
                          <w14:schemeClr w14:val="tx1"/>
                        </w14:solidFill>
                      </w14:textFill>
                    </w:rPr>
                    <w:t>佩戴</w:t>
                  </w:r>
                  <w:r>
                    <w:rPr>
                      <w:color w:val="000000" w:themeColor="text1"/>
                      <w14:textFill>
                        <w14:solidFill>
                          <w14:schemeClr w14:val="tx1"/>
                        </w14:solidFill>
                      </w14:textFill>
                    </w:rPr>
                    <w:t>上相应的防护设备后，随同技术人员进入泄漏地点。当情况比较严重时，应在组织自救的同时，通知城市救援中心和消防队，启动外界应急救援计划。</w:t>
                  </w:r>
                </w:p>
              </w:tc>
            </w:tr>
            <w:tr w14:paraId="61D0CF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continue"/>
                  <w:vAlign w:val="center"/>
                </w:tcPr>
                <w:p w14:paraId="5EFEBD10">
                  <w:pPr>
                    <w:pStyle w:val="43"/>
                    <w:rPr>
                      <w:color w:val="000000" w:themeColor="text1"/>
                      <w14:textFill>
                        <w14:solidFill>
                          <w14:schemeClr w14:val="tx1"/>
                        </w14:solidFill>
                      </w14:textFill>
                    </w:rPr>
                  </w:pPr>
                </w:p>
              </w:tc>
              <w:tc>
                <w:tcPr>
                  <w:tcW w:w="4055" w:type="pct"/>
                  <w:vAlign w:val="center"/>
                </w:tcPr>
                <w:p w14:paraId="6DA804E6">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加强员工的安全意识，严禁在厂区吸烟，防止因明火导致</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火灾、爆炸。</w:t>
                  </w:r>
                </w:p>
              </w:tc>
            </w:tr>
            <w:tr w14:paraId="76880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continue"/>
                  <w:vAlign w:val="center"/>
                </w:tcPr>
                <w:p w14:paraId="22B873DA">
                  <w:pPr>
                    <w:pStyle w:val="43"/>
                    <w:rPr>
                      <w:color w:val="000000" w:themeColor="text1"/>
                      <w14:textFill>
                        <w14:solidFill>
                          <w14:schemeClr w14:val="tx1"/>
                        </w14:solidFill>
                      </w14:textFill>
                    </w:rPr>
                  </w:pPr>
                </w:p>
              </w:tc>
              <w:tc>
                <w:tcPr>
                  <w:tcW w:w="4055" w:type="pct"/>
                  <w:vAlign w:val="center"/>
                </w:tcPr>
                <w:p w14:paraId="19413B2E">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安排专人负责</w:t>
                  </w:r>
                  <w:r>
                    <w:rPr>
                      <w:rFonts w:hint="eastAsia"/>
                      <w:color w:val="000000" w:themeColor="text1"/>
                      <w14:textFill>
                        <w14:solidFill>
                          <w14:schemeClr w14:val="tx1"/>
                        </w14:solidFill>
                      </w14:textFill>
                    </w:rPr>
                    <w:t>整个施工队</w:t>
                  </w:r>
                  <w:r>
                    <w:rPr>
                      <w:color w:val="000000" w:themeColor="text1"/>
                      <w14:textFill>
                        <w14:solidFill>
                          <w14:schemeClr w14:val="tx1"/>
                        </w14:solidFill>
                      </w14:textFill>
                    </w:rPr>
                    <w:t>的安全管理，要装置设置专职或兼职安全员。</w:t>
                  </w:r>
                </w:p>
              </w:tc>
            </w:tr>
            <w:tr w14:paraId="0E7DB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45" w:type="pct"/>
                  <w:gridSpan w:val="2"/>
                  <w:vMerge w:val="continue"/>
                  <w:vAlign w:val="center"/>
                </w:tcPr>
                <w:p w14:paraId="5B0FD38A">
                  <w:pPr>
                    <w:pStyle w:val="43"/>
                    <w:rPr>
                      <w:color w:val="000000" w:themeColor="text1"/>
                      <w14:textFill>
                        <w14:solidFill>
                          <w14:schemeClr w14:val="tx1"/>
                        </w14:solidFill>
                      </w14:textFill>
                    </w:rPr>
                  </w:pPr>
                </w:p>
              </w:tc>
              <w:tc>
                <w:tcPr>
                  <w:tcW w:w="4055" w:type="pct"/>
                  <w:vAlign w:val="center"/>
                </w:tcPr>
                <w:p w14:paraId="09334228">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按照《劳动法》有关规定，为职工提供劳动安全卫生条件和劳动防护用品。</w:t>
                  </w:r>
                </w:p>
              </w:tc>
            </w:tr>
            <w:tr w14:paraId="49472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restart"/>
                  <w:vAlign w:val="center"/>
                </w:tcPr>
                <w:p w14:paraId="07E32764">
                  <w:pPr>
                    <w:pStyle w:val="43"/>
                    <w:rPr>
                      <w:color w:val="000000" w:themeColor="text1"/>
                      <w14:textFill>
                        <w14:solidFill>
                          <w14:schemeClr w14:val="tx1"/>
                        </w14:solidFill>
                      </w14:textFill>
                    </w:rPr>
                  </w:pPr>
                  <w:r>
                    <w:rPr>
                      <w:color w:val="000000" w:themeColor="text1"/>
                      <w14:textFill>
                        <w14:solidFill>
                          <w14:schemeClr w14:val="tx1"/>
                        </w14:solidFill>
                      </w14:textFill>
                    </w:rPr>
                    <w:t>运</w:t>
                  </w:r>
                </w:p>
                <w:p w14:paraId="306AE25F">
                  <w:pPr>
                    <w:pStyle w:val="43"/>
                    <w:rPr>
                      <w:color w:val="000000" w:themeColor="text1"/>
                      <w14:textFill>
                        <w14:solidFill>
                          <w14:schemeClr w14:val="tx1"/>
                        </w14:solidFill>
                      </w14:textFill>
                    </w:rPr>
                  </w:pPr>
                  <w:r>
                    <w:rPr>
                      <w:color w:val="000000" w:themeColor="text1"/>
                      <w14:textFill>
                        <w14:solidFill>
                          <w14:schemeClr w14:val="tx1"/>
                        </w14:solidFill>
                      </w14:textFill>
                    </w:rPr>
                    <w:t>输</w:t>
                  </w:r>
                </w:p>
                <w:p w14:paraId="0F7B3573">
                  <w:pPr>
                    <w:pStyle w:val="43"/>
                    <w:rPr>
                      <w:color w:val="000000" w:themeColor="text1"/>
                      <w14:textFill>
                        <w14:solidFill>
                          <w14:schemeClr w14:val="tx1"/>
                        </w14:solidFill>
                      </w14:textFill>
                    </w:rPr>
                  </w:pPr>
                  <w:r>
                    <w:rPr>
                      <w:color w:val="000000" w:themeColor="text1"/>
                      <w14:textFill>
                        <w14:solidFill>
                          <w14:schemeClr w14:val="tx1"/>
                        </w14:solidFill>
                      </w14:textFill>
                    </w:rPr>
                    <w:t>过</w:t>
                  </w:r>
                </w:p>
                <w:p w14:paraId="04BE3594">
                  <w:pPr>
                    <w:pStyle w:val="43"/>
                    <w:rPr>
                      <w:color w:val="000000" w:themeColor="text1"/>
                      <w14:textFill>
                        <w14:solidFill>
                          <w14:schemeClr w14:val="tx1"/>
                        </w14:solidFill>
                      </w14:textFill>
                    </w:rPr>
                  </w:pPr>
                  <w:r>
                    <w:rPr>
                      <w:color w:val="000000" w:themeColor="text1"/>
                      <w14:textFill>
                        <w14:solidFill>
                          <w14:schemeClr w14:val="tx1"/>
                        </w14:solidFill>
                      </w14:textFill>
                    </w:rPr>
                    <w:t>程</w:t>
                  </w:r>
                </w:p>
                <w:p w14:paraId="101A161B">
                  <w:pPr>
                    <w:pStyle w:val="43"/>
                    <w:rPr>
                      <w:color w:val="000000" w:themeColor="text1"/>
                      <w14:textFill>
                        <w14:solidFill>
                          <w14:schemeClr w14:val="tx1"/>
                        </w14:solidFill>
                      </w14:textFill>
                    </w:rPr>
                  </w:pPr>
                  <w:r>
                    <w:rPr>
                      <w:color w:val="000000" w:themeColor="text1"/>
                      <w14:textFill>
                        <w14:solidFill>
                          <w14:schemeClr w14:val="tx1"/>
                        </w14:solidFill>
                      </w14:textFill>
                    </w:rPr>
                    <w:t>风</w:t>
                  </w:r>
                </w:p>
                <w:p w14:paraId="53CECB25">
                  <w:pPr>
                    <w:pStyle w:val="43"/>
                    <w:rPr>
                      <w:color w:val="000000" w:themeColor="text1"/>
                      <w14:textFill>
                        <w14:solidFill>
                          <w14:schemeClr w14:val="tx1"/>
                        </w14:solidFill>
                      </w14:textFill>
                    </w:rPr>
                  </w:pPr>
                  <w:r>
                    <w:rPr>
                      <w:color w:val="000000" w:themeColor="text1"/>
                      <w14:textFill>
                        <w14:solidFill>
                          <w14:schemeClr w14:val="tx1"/>
                        </w14:solidFill>
                      </w14:textFill>
                    </w:rPr>
                    <w:t>险</w:t>
                  </w:r>
                </w:p>
                <w:p w14:paraId="3F543344">
                  <w:pPr>
                    <w:pStyle w:val="43"/>
                    <w:rPr>
                      <w:color w:val="000000" w:themeColor="text1"/>
                      <w14:textFill>
                        <w14:solidFill>
                          <w14:schemeClr w14:val="tx1"/>
                        </w14:solidFill>
                      </w14:textFill>
                    </w:rPr>
                  </w:pPr>
                  <w:r>
                    <w:rPr>
                      <w:color w:val="000000" w:themeColor="text1"/>
                      <w14:textFill>
                        <w14:solidFill>
                          <w14:schemeClr w14:val="tx1"/>
                        </w14:solidFill>
                      </w14:textFill>
                    </w:rPr>
                    <w:t>防</w:t>
                  </w:r>
                </w:p>
                <w:p w14:paraId="1C3F95F7">
                  <w:pPr>
                    <w:pStyle w:val="43"/>
                    <w:rPr>
                      <w:color w:val="000000" w:themeColor="text1"/>
                      <w14:textFill>
                        <w14:solidFill>
                          <w14:schemeClr w14:val="tx1"/>
                        </w14:solidFill>
                      </w14:textFill>
                    </w:rPr>
                  </w:pPr>
                  <w:r>
                    <w:rPr>
                      <w:color w:val="000000" w:themeColor="text1"/>
                      <w14:textFill>
                        <w14:solidFill>
                          <w14:schemeClr w14:val="tx1"/>
                        </w14:solidFill>
                      </w14:textFill>
                    </w:rPr>
                    <w:t>范</w:t>
                  </w:r>
                </w:p>
              </w:tc>
              <w:tc>
                <w:tcPr>
                  <w:tcW w:w="681" w:type="pct"/>
                  <w:vAlign w:val="center"/>
                </w:tcPr>
                <w:p w14:paraId="4E68EB8A">
                  <w:pPr>
                    <w:pStyle w:val="43"/>
                    <w:rPr>
                      <w:color w:val="000000" w:themeColor="text1"/>
                      <w14:textFill>
                        <w14:solidFill>
                          <w14:schemeClr w14:val="tx1"/>
                        </w14:solidFill>
                      </w14:textFill>
                    </w:rPr>
                  </w:pPr>
                  <w:r>
                    <w:rPr>
                      <w:color w:val="000000" w:themeColor="text1"/>
                      <w14:textFill>
                        <w14:solidFill>
                          <w14:schemeClr w14:val="tx1"/>
                        </w14:solidFill>
                      </w14:textFill>
                    </w:rPr>
                    <w:t>运输路线</w:t>
                  </w:r>
                </w:p>
              </w:tc>
              <w:tc>
                <w:tcPr>
                  <w:tcW w:w="4055" w:type="pct"/>
                  <w:vAlign w:val="center"/>
                </w:tcPr>
                <w:p w14:paraId="2A20D990">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须考虑尽量避开环境敏感点，大大减少运输事故发生时对环境敏感点的影响。</w:t>
                  </w:r>
                </w:p>
              </w:tc>
            </w:tr>
            <w:tr w14:paraId="1E2DD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49BAB0F3">
                  <w:pPr>
                    <w:pStyle w:val="43"/>
                    <w:rPr>
                      <w:color w:val="000000" w:themeColor="text1"/>
                      <w14:textFill>
                        <w14:solidFill>
                          <w14:schemeClr w14:val="tx1"/>
                        </w14:solidFill>
                      </w14:textFill>
                    </w:rPr>
                  </w:pPr>
                </w:p>
              </w:tc>
              <w:tc>
                <w:tcPr>
                  <w:tcW w:w="681" w:type="pct"/>
                  <w:vAlign w:val="center"/>
                </w:tcPr>
                <w:p w14:paraId="1A23322C">
                  <w:pPr>
                    <w:pStyle w:val="43"/>
                    <w:rPr>
                      <w:color w:val="000000" w:themeColor="text1"/>
                      <w14:textFill>
                        <w14:solidFill>
                          <w14:schemeClr w14:val="tx1"/>
                        </w14:solidFill>
                      </w14:textFill>
                    </w:rPr>
                  </w:pPr>
                  <w:r>
                    <w:rPr>
                      <w:color w:val="000000" w:themeColor="text1"/>
                      <w14:textFill>
                        <w14:solidFill>
                          <w14:schemeClr w14:val="tx1"/>
                        </w14:solidFill>
                      </w14:textFill>
                    </w:rPr>
                    <w:t>运输车辆</w:t>
                  </w:r>
                </w:p>
              </w:tc>
              <w:tc>
                <w:tcPr>
                  <w:tcW w:w="4055" w:type="pct"/>
                  <w:vAlign w:val="center"/>
                </w:tcPr>
                <w:p w14:paraId="534877EF">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必须办理“易燃易爆危险品三证”，必须配备相应的消防器材，有经过消防安全培训合格的驾驶员、押运员，并提倡今后开展第三方现代物流运输方式。</w:t>
                  </w:r>
                </w:p>
              </w:tc>
            </w:tr>
            <w:tr w14:paraId="4F15FB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608E8AEA">
                  <w:pPr>
                    <w:pStyle w:val="43"/>
                    <w:rPr>
                      <w:color w:val="000000" w:themeColor="text1"/>
                      <w14:textFill>
                        <w14:solidFill>
                          <w14:schemeClr w14:val="tx1"/>
                        </w14:solidFill>
                      </w14:textFill>
                    </w:rPr>
                  </w:pPr>
                </w:p>
              </w:tc>
              <w:tc>
                <w:tcPr>
                  <w:tcW w:w="681" w:type="pct"/>
                  <w:vAlign w:val="center"/>
                </w:tcPr>
                <w:p w14:paraId="57740D98">
                  <w:pPr>
                    <w:pStyle w:val="43"/>
                    <w:rPr>
                      <w:color w:val="000000" w:themeColor="text1"/>
                      <w14:textFill>
                        <w14:solidFill>
                          <w14:schemeClr w14:val="tx1"/>
                        </w14:solidFill>
                      </w14:textFill>
                    </w:rPr>
                  </w:pPr>
                  <w:r>
                    <w:rPr>
                      <w:color w:val="000000" w:themeColor="text1"/>
                      <w14:textFill>
                        <w14:solidFill>
                          <w14:schemeClr w14:val="tx1"/>
                        </w14:solidFill>
                      </w14:textFill>
                    </w:rPr>
                    <w:t>运输人员</w:t>
                  </w:r>
                </w:p>
              </w:tc>
              <w:tc>
                <w:tcPr>
                  <w:tcW w:w="4055" w:type="pct"/>
                  <w:vAlign w:val="center"/>
                </w:tcPr>
                <w:p w14:paraId="1A3A7137">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准确告诉司机和押运人员有关运输物质的性质和事故应急处理方法，确保在事故发生情况下仍能事故应急，减缓影响。</w:t>
                  </w:r>
                </w:p>
              </w:tc>
            </w:tr>
            <w:tr w14:paraId="68251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195125DE">
                  <w:pPr>
                    <w:pStyle w:val="43"/>
                    <w:rPr>
                      <w:color w:val="000000" w:themeColor="text1"/>
                      <w14:textFill>
                        <w14:solidFill>
                          <w14:schemeClr w14:val="tx1"/>
                        </w14:solidFill>
                      </w14:textFill>
                    </w:rPr>
                  </w:pPr>
                </w:p>
              </w:tc>
              <w:tc>
                <w:tcPr>
                  <w:tcW w:w="681" w:type="pct"/>
                  <w:vAlign w:val="center"/>
                </w:tcPr>
                <w:p w14:paraId="5926848C">
                  <w:pPr>
                    <w:pStyle w:val="43"/>
                    <w:rPr>
                      <w:color w:val="000000" w:themeColor="text1"/>
                      <w14:textFill>
                        <w14:solidFill>
                          <w14:schemeClr w14:val="tx1"/>
                        </w14:solidFill>
                      </w14:textFill>
                    </w:rPr>
                  </w:pPr>
                  <w:r>
                    <w:rPr>
                      <w:color w:val="000000" w:themeColor="text1"/>
                      <w14:textFill>
                        <w14:solidFill>
                          <w14:schemeClr w14:val="tx1"/>
                        </w14:solidFill>
                      </w14:textFill>
                    </w:rPr>
                    <w:t>运输包装</w:t>
                  </w:r>
                </w:p>
              </w:tc>
              <w:tc>
                <w:tcPr>
                  <w:tcW w:w="4055" w:type="pct"/>
                  <w:vAlign w:val="center"/>
                </w:tcPr>
                <w:p w14:paraId="35B7D2F7">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包装应严格按照有关危险品特性及相关强度等级进行，并采用堆码试验、跌落试验、气密试验和气压试验等检验标准进行定期检验，运输包装件严格按规定印制提醒符号，标明危险品类别、名称及尺寸、颜色。</w:t>
                  </w:r>
                </w:p>
              </w:tc>
            </w:tr>
            <w:tr w14:paraId="2B4AE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7288F36F">
                  <w:pPr>
                    <w:pStyle w:val="43"/>
                    <w:rPr>
                      <w:color w:val="000000" w:themeColor="text1"/>
                      <w14:textFill>
                        <w14:solidFill>
                          <w14:schemeClr w14:val="tx1"/>
                        </w14:solidFill>
                      </w14:textFill>
                    </w:rPr>
                  </w:pPr>
                </w:p>
              </w:tc>
              <w:tc>
                <w:tcPr>
                  <w:tcW w:w="681" w:type="pct"/>
                  <w:vAlign w:val="center"/>
                </w:tcPr>
                <w:p w14:paraId="0AEFEAE1">
                  <w:pPr>
                    <w:pStyle w:val="43"/>
                    <w:rPr>
                      <w:color w:val="000000" w:themeColor="text1"/>
                      <w14:textFill>
                        <w14:solidFill>
                          <w14:schemeClr w14:val="tx1"/>
                        </w14:solidFill>
                      </w14:textFill>
                    </w:rPr>
                  </w:pPr>
                  <w:r>
                    <w:rPr>
                      <w:color w:val="000000" w:themeColor="text1"/>
                      <w14:textFill>
                        <w14:solidFill>
                          <w14:schemeClr w14:val="tx1"/>
                        </w14:solidFill>
                      </w14:textFill>
                    </w:rPr>
                    <w:t>运输装卸</w:t>
                  </w:r>
                </w:p>
              </w:tc>
              <w:tc>
                <w:tcPr>
                  <w:tcW w:w="4055" w:type="pct"/>
                  <w:vAlign w:val="center"/>
                </w:tcPr>
                <w:p w14:paraId="31126F77">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严格按照国家有关规定执行，危险品装卸前后，必须对车辆和仓库进行必要的通风、清扫干净，装卸作业使用的工具必须能防止产生火花，必须有各种防护装置。</w:t>
                  </w:r>
                </w:p>
              </w:tc>
            </w:tr>
            <w:tr w14:paraId="600B8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restart"/>
                  <w:vAlign w:val="center"/>
                </w:tcPr>
                <w:p w14:paraId="733750C6">
                  <w:pPr>
                    <w:pStyle w:val="43"/>
                    <w:rPr>
                      <w:color w:val="000000" w:themeColor="text1"/>
                      <w14:textFill>
                        <w14:solidFill>
                          <w14:schemeClr w14:val="tx1"/>
                        </w14:solidFill>
                      </w14:textFill>
                    </w:rPr>
                  </w:pPr>
                  <w:r>
                    <w:rPr>
                      <w:color w:val="000000" w:themeColor="text1"/>
                      <w14:textFill>
                        <w14:solidFill>
                          <w14:schemeClr w14:val="tx1"/>
                        </w14:solidFill>
                      </w14:textFill>
                    </w:rPr>
                    <w:t>贮</w:t>
                  </w:r>
                </w:p>
                <w:p w14:paraId="2C22BBC2">
                  <w:pPr>
                    <w:pStyle w:val="43"/>
                    <w:rPr>
                      <w:color w:val="000000" w:themeColor="text1"/>
                      <w14:textFill>
                        <w14:solidFill>
                          <w14:schemeClr w14:val="tx1"/>
                        </w14:solidFill>
                      </w14:textFill>
                    </w:rPr>
                  </w:pPr>
                  <w:r>
                    <w:rPr>
                      <w:color w:val="000000" w:themeColor="text1"/>
                      <w14:textFill>
                        <w14:solidFill>
                          <w14:schemeClr w14:val="tx1"/>
                        </w14:solidFill>
                      </w14:textFill>
                    </w:rPr>
                    <w:t>存</w:t>
                  </w:r>
                </w:p>
                <w:p w14:paraId="4B89D6D2">
                  <w:pPr>
                    <w:pStyle w:val="43"/>
                    <w:rPr>
                      <w:color w:val="000000" w:themeColor="text1"/>
                      <w14:textFill>
                        <w14:solidFill>
                          <w14:schemeClr w14:val="tx1"/>
                        </w14:solidFill>
                      </w14:textFill>
                    </w:rPr>
                  </w:pPr>
                  <w:r>
                    <w:rPr>
                      <w:color w:val="000000" w:themeColor="text1"/>
                      <w14:textFill>
                        <w14:solidFill>
                          <w14:schemeClr w14:val="tx1"/>
                        </w14:solidFill>
                      </w14:textFill>
                    </w:rPr>
                    <w:t>过</w:t>
                  </w:r>
                </w:p>
                <w:p w14:paraId="02030BDC">
                  <w:pPr>
                    <w:pStyle w:val="43"/>
                    <w:rPr>
                      <w:color w:val="000000" w:themeColor="text1"/>
                      <w14:textFill>
                        <w14:solidFill>
                          <w14:schemeClr w14:val="tx1"/>
                        </w14:solidFill>
                      </w14:textFill>
                    </w:rPr>
                  </w:pPr>
                  <w:r>
                    <w:rPr>
                      <w:color w:val="000000" w:themeColor="text1"/>
                      <w14:textFill>
                        <w14:solidFill>
                          <w14:schemeClr w14:val="tx1"/>
                        </w14:solidFill>
                      </w14:textFill>
                    </w:rPr>
                    <w:t>程</w:t>
                  </w:r>
                </w:p>
              </w:tc>
              <w:tc>
                <w:tcPr>
                  <w:tcW w:w="681" w:type="pct"/>
                  <w:vAlign w:val="center"/>
                </w:tcPr>
                <w:p w14:paraId="49EABB08">
                  <w:pPr>
                    <w:pStyle w:val="43"/>
                    <w:rPr>
                      <w:color w:val="000000" w:themeColor="text1"/>
                      <w14:textFill>
                        <w14:solidFill>
                          <w14:schemeClr w14:val="tx1"/>
                        </w14:solidFill>
                      </w14:textFill>
                    </w:rPr>
                  </w:pPr>
                  <w:r>
                    <w:rPr>
                      <w:color w:val="000000" w:themeColor="text1"/>
                      <w14:textFill>
                        <w14:solidFill>
                          <w14:schemeClr w14:val="tx1"/>
                        </w14:solidFill>
                      </w14:textFill>
                    </w:rPr>
                    <w:t>场所</w:t>
                  </w:r>
                </w:p>
              </w:tc>
              <w:tc>
                <w:tcPr>
                  <w:tcW w:w="4055" w:type="pct"/>
                  <w:vAlign w:val="center"/>
                </w:tcPr>
                <w:p w14:paraId="4D160005">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严格遵守有关贮存的安全规定，具体包括《仓库防火安全管理规则》、《建筑设计防火规范》、《易燃易爆化学物品消防安全监督管理办法》等。</w:t>
                  </w:r>
                </w:p>
              </w:tc>
            </w:tr>
            <w:tr w14:paraId="0C0F74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369444E8">
                  <w:pPr>
                    <w:pStyle w:val="43"/>
                    <w:rPr>
                      <w:color w:val="000000" w:themeColor="text1"/>
                      <w14:textFill>
                        <w14:solidFill>
                          <w14:schemeClr w14:val="tx1"/>
                        </w14:solidFill>
                      </w14:textFill>
                    </w:rPr>
                  </w:pPr>
                </w:p>
              </w:tc>
              <w:tc>
                <w:tcPr>
                  <w:tcW w:w="681" w:type="pct"/>
                  <w:vAlign w:val="center"/>
                </w:tcPr>
                <w:p w14:paraId="71243652">
                  <w:pPr>
                    <w:pStyle w:val="43"/>
                    <w:rPr>
                      <w:color w:val="000000" w:themeColor="text1"/>
                      <w14:textFill>
                        <w14:solidFill>
                          <w14:schemeClr w14:val="tx1"/>
                        </w14:solidFill>
                      </w14:textFill>
                    </w:rPr>
                  </w:pPr>
                  <w:r>
                    <w:rPr>
                      <w:color w:val="000000" w:themeColor="text1"/>
                      <w14:textFill>
                        <w14:solidFill>
                          <w14:schemeClr w14:val="tx1"/>
                        </w14:solidFill>
                      </w14:textFill>
                    </w:rPr>
                    <w:t>管理人员</w:t>
                  </w:r>
                </w:p>
              </w:tc>
              <w:tc>
                <w:tcPr>
                  <w:tcW w:w="4055" w:type="pct"/>
                  <w:vAlign w:val="center"/>
                </w:tcPr>
                <w:p w14:paraId="1544D0EB">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必须经过专业知识培训，熟悉贮存物品的特性、事故处理办法和防护知识，持证上岗，同时，必须配备有关的个人防护用品。</w:t>
                  </w:r>
                </w:p>
              </w:tc>
            </w:tr>
            <w:tr w14:paraId="40C19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4802B2DA">
                  <w:pPr>
                    <w:pStyle w:val="43"/>
                    <w:rPr>
                      <w:color w:val="000000" w:themeColor="text1"/>
                      <w14:textFill>
                        <w14:solidFill>
                          <w14:schemeClr w14:val="tx1"/>
                        </w14:solidFill>
                      </w14:textFill>
                    </w:rPr>
                  </w:pPr>
                </w:p>
              </w:tc>
              <w:tc>
                <w:tcPr>
                  <w:tcW w:w="681" w:type="pct"/>
                  <w:vAlign w:val="center"/>
                </w:tcPr>
                <w:p w14:paraId="2A941F00">
                  <w:pPr>
                    <w:pStyle w:val="43"/>
                    <w:rPr>
                      <w:color w:val="000000" w:themeColor="text1"/>
                      <w14:textFill>
                        <w14:solidFill>
                          <w14:schemeClr w14:val="tx1"/>
                        </w14:solidFill>
                      </w14:textFill>
                    </w:rPr>
                  </w:pPr>
                  <w:r>
                    <w:rPr>
                      <w:color w:val="000000" w:themeColor="text1"/>
                      <w14:textFill>
                        <w14:solidFill>
                          <w14:schemeClr w14:val="tx1"/>
                        </w14:solidFill>
                      </w14:textFill>
                    </w:rPr>
                    <w:t>标识</w:t>
                  </w:r>
                </w:p>
              </w:tc>
              <w:tc>
                <w:tcPr>
                  <w:tcW w:w="4055" w:type="pct"/>
                  <w:vAlign w:val="center"/>
                </w:tcPr>
                <w:p w14:paraId="0F76199F">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贮存的危险品必须设有明显的标志，并按国家规定标准控制不同单位面积的最大贮存限量。</w:t>
                  </w:r>
                </w:p>
              </w:tc>
            </w:tr>
            <w:tr w14:paraId="72D74F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5E712362">
                  <w:pPr>
                    <w:pStyle w:val="43"/>
                    <w:rPr>
                      <w:color w:val="000000" w:themeColor="text1"/>
                      <w14:textFill>
                        <w14:solidFill>
                          <w14:schemeClr w14:val="tx1"/>
                        </w14:solidFill>
                      </w14:textFill>
                    </w:rPr>
                  </w:pPr>
                </w:p>
              </w:tc>
              <w:tc>
                <w:tcPr>
                  <w:tcW w:w="681" w:type="pct"/>
                  <w:vAlign w:val="center"/>
                </w:tcPr>
                <w:p w14:paraId="35674B15">
                  <w:pPr>
                    <w:pStyle w:val="43"/>
                    <w:rPr>
                      <w:color w:val="000000" w:themeColor="text1"/>
                      <w14:textFill>
                        <w14:solidFill>
                          <w14:schemeClr w14:val="tx1"/>
                        </w14:solidFill>
                      </w14:textFill>
                    </w:rPr>
                  </w:pPr>
                  <w:r>
                    <w:rPr>
                      <w:color w:val="000000" w:themeColor="text1"/>
                      <w14:textFill>
                        <w14:solidFill>
                          <w14:schemeClr w14:val="tx1"/>
                        </w14:solidFill>
                      </w14:textFill>
                    </w:rPr>
                    <w:t>布置</w:t>
                  </w:r>
                </w:p>
              </w:tc>
              <w:tc>
                <w:tcPr>
                  <w:tcW w:w="4055" w:type="pct"/>
                  <w:vAlign w:val="center"/>
                </w:tcPr>
                <w:p w14:paraId="56B82E5B">
                  <w:pPr>
                    <w:pStyle w:val="43"/>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临时危险废物贮存点</w:t>
                  </w:r>
                  <w:r>
                    <w:rPr>
                      <w:color w:val="000000" w:themeColor="text1"/>
                      <w14:textFill>
                        <w14:solidFill>
                          <w14:schemeClr w14:val="tx1"/>
                        </w14:solidFill>
                      </w14:textFill>
                    </w:rPr>
                    <w:t>的布置必须符合《建筑设计防火规范》中相应的消防、防火防爆要求。</w:t>
                  </w:r>
                  <w:r>
                    <w:rPr>
                      <w:rFonts w:hint="eastAsia"/>
                      <w:color w:val="000000" w:themeColor="text1"/>
                      <w14:textFill>
                        <w14:solidFill>
                          <w14:schemeClr w14:val="tx1"/>
                        </w14:solidFill>
                      </w14:textFill>
                    </w:rPr>
                    <w:t>临时危险废物贮存点基础必须防渗，防渗层为至少1m厚的粘土层（渗透系数≤10</w:t>
                  </w:r>
                  <w:r>
                    <w:rPr>
                      <w:rFonts w:hint="eastAsia"/>
                      <w:color w:val="000000" w:themeColor="text1"/>
                      <w:vertAlign w:val="superscript"/>
                      <w14:textFill>
                        <w14:solidFill>
                          <w14:schemeClr w14:val="tx1"/>
                        </w14:solidFill>
                      </w14:textFill>
                    </w:rPr>
                    <w:t>-7</w:t>
                  </w:r>
                  <w:r>
                    <w:rPr>
                      <w:rFonts w:hint="eastAsia"/>
                      <w:color w:val="000000" w:themeColor="text1"/>
                      <w14:textFill>
                        <w14:solidFill>
                          <w14:schemeClr w14:val="tx1"/>
                        </w14:solidFill>
                      </w14:textFill>
                    </w:rPr>
                    <w:t>cm/s），或至少2mm厚的其他人工防渗材料（渗透系数≤10</w:t>
                  </w:r>
                  <w:r>
                    <w:rPr>
                      <w:rFonts w:hint="eastAsia"/>
                      <w:color w:val="000000" w:themeColor="text1"/>
                      <w:vertAlign w:val="superscript"/>
                      <w14:textFill>
                        <w14:solidFill>
                          <w14:schemeClr w14:val="tx1"/>
                        </w14:solidFill>
                      </w14:textFill>
                    </w:rPr>
                    <w:t>-10</w:t>
                  </w:r>
                  <w:r>
                    <w:rPr>
                      <w:rFonts w:hint="eastAsia"/>
                      <w:color w:val="000000" w:themeColor="text1"/>
                      <w14:textFill>
                        <w14:solidFill>
                          <w14:schemeClr w14:val="tx1"/>
                        </w14:solidFill>
                      </w14:textFill>
                    </w:rPr>
                    <w:t>cm/s），危险废物贮存点外贴明显标示。</w:t>
                  </w:r>
                </w:p>
              </w:tc>
            </w:tr>
            <w:tr w14:paraId="70088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4901429A">
                  <w:pPr>
                    <w:pStyle w:val="43"/>
                    <w:rPr>
                      <w:color w:val="000000" w:themeColor="text1"/>
                      <w14:textFill>
                        <w14:solidFill>
                          <w14:schemeClr w14:val="tx1"/>
                        </w14:solidFill>
                      </w14:textFill>
                    </w:rPr>
                  </w:pPr>
                </w:p>
              </w:tc>
              <w:tc>
                <w:tcPr>
                  <w:tcW w:w="681" w:type="pct"/>
                  <w:vAlign w:val="center"/>
                </w:tcPr>
                <w:p w14:paraId="5064D880">
                  <w:pPr>
                    <w:pStyle w:val="43"/>
                    <w:rPr>
                      <w:color w:val="000000" w:themeColor="text1"/>
                      <w14:textFill>
                        <w14:solidFill>
                          <w14:schemeClr w14:val="tx1"/>
                        </w14:solidFill>
                      </w14:textFill>
                    </w:rPr>
                  </w:pPr>
                  <w:r>
                    <w:rPr>
                      <w:color w:val="000000" w:themeColor="text1"/>
                      <w14:textFill>
                        <w14:solidFill>
                          <w14:schemeClr w14:val="tx1"/>
                        </w14:solidFill>
                      </w14:textFill>
                    </w:rPr>
                    <w:t>消防设施</w:t>
                  </w:r>
                </w:p>
              </w:tc>
              <w:tc>
                <w:tcPr>
                  <w:tcW w:w="4055" w:type="pct"/>
                  <w:vAlign w:val="center"/>
                </w:tcPr>
                <w:p w14:paraId="47D27613">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在</w:t>
                  </w:r>
                  <w:r>
                    <w:rPr>
                      <w:rFonts w:hint="eastAsia"/>
                      <w:color w:val="000000" w:themeColor="text1"/>
                      <w14:textFill>
                        <w14:solidFill>
                          <w14:schemeClr w14:val="tx1"/>
                        </w14:solidFill>
                      </w14:textFill>
                    </w:rPr>
                    <w:t>危险废物贮存点</w:t>
                  </w:r>
                  <w:r>
                    <w:rPr>
                      <w:color w:val="000000" w:themeColor="text1"/>
                      <w14:textFill>
                        <w14:solidFill>
                          <w14:schemeClr w14:val="tx1"/>
                        </w14:solidFill>
                      </w14:textFill>
                    </w:rPr>
                    <w:t>中配备足量的干粉灭火器，由于</w:t>
                  </w:r>
                  <w:r>
                    <w:rPr>
                      <w:rFonts w:hint="eastAsia"/>
                      <w:color w:val="000000" w:themeColor="text1"/>
                      <w14:textFill>
                        <w14:solidFill>
                          <w14:schemeClr w14:val="tx1"/>
                        </w14:solidFill>
                      </w14:textFill>
                    </w:rPr>
                    <w:t>废油</w:t>
                  </w:r>
                  <w:r>
                    <w:rPr>
                      <w:color w:val="000000" w:themeColor="text1"/>
                      <w14:textFill>
                        <w14:solidFill>
                          <w14:schemeClr w14:val="tx1"/>
                        </w14:solidFill>
                      </w14:textFill>
                    </w:rPr>
                    <w:t>等引起的火灾不能利用消防水进行灭火，只能用干粉</w:t>
                  </w:r>
                  <w:r>
                    <w:rPr>
                      <w:rFonts w:hint="eastAsia"/>
                      <w:color w:val="000000" w:themeColor="text1"/>
                      <w14:textFill>
                        <w14:solidFill>
                          <w14:schemeClr w14:val="tx1"/>
                        </w14:solidFill>
                      </w14:textFill>
                    </w:rPr>
                    <w:t>灭火器</w:t>
                  </w:r>
                  <w:r>
                    <w:rPr>
                      <w:color w:val="000000" w:themeColor="text1"/>
                      <w14:textFill>
                        <w14:solidFill>
                          <w14:schemeClr w14:val="tx1"/>
                        </w14:solidFill>
                      </w14:textFill>
                    </w:rPr>
                    <w:t>等</w:t>
                  </w:r>
                  <w:r>
                    <w:rPr>
                      <w:rFonts w:hint="eastAsia"/>
                      <w:color w:val="000000" w:themeColor="text1"/>
                      <w14:textFill>
                        <w14:solidFill>
                          <w14:schemeClr w14:val="tx1"/>
                        </w14:solidFill>
                      </w14:textFill>
                    </w:rPr>
                    <w:t>消防措施</w:t>
                  </w:r>
                  <w:r>
                    <w:rPr>
                      <w:color w:val="000000" w:themeColor="text1"/>
                      <w14:textFill>
                        <w14:solidFill>
                          <w14:schemeClr w14:val="tx1"/>
                        </w14:solidFill>
                      </w14:textFill>
                    </w:rPr>
                    <w:t>来灭火，用水降温。</w:t>
                  </w:r>
                </w:p>
              </w:tc>
            </w:tr>
            <w:tr w14:paraId="533EE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restart"/>
                  <w:vAlign w:val="center"/>
                </w:tcPr>
                <w:p w14:paraId="1315E12A">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施</w:t>
                  </w:r>
                </w:p>
                <w:p w14:paraId="496BC985">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工</w:t>
                  </w:r>
                </w:p>
                <w:p w14:paraId="471ED52C">
                  <w:pPr>
                    <w:pStyle w:val="43"/>
                    <w:rPr>
                      <w:color w:val="000000" w:themeColor="text1"/>
                      <w14:textFill>
                        <w14:solidFill>
                          <w14:schemeClr w14:val="tx1"/>
                        </w14:solidFill>
                      </w14:textFill>
                    </w:rPr>
                  </w:pPr>
                  <w:r>
                    <w:rPr>
                      <w:color w:val="000000" w:themeColor="text1"/>
                      <w14:textFill>
                        <w14:solidFill>
                          <w14:schemeClr w14:val="tx1"/>
                        </w14:solidFill>
                      </w14:textFill>
                    </w:rPr>
                    <w:t>过</w:t>
                  </w:r>
                </w:p>
                <w:p w14:paraId="04E4DB5F">
                  <w:pPr>
                    <w:pStyle w:val="43"/>
                    <w:rPr>
                      <w:color w:val="000000" w:themeColor="text1"/>
                      <w14:textFill>
                        <w14:solidFill>
                          <w14:schemeClr w14:val="tx1"/>
                        </w14:solidFill>
                      </w14:textFill>
                    </w:rPr>
                  </w:pPr>
                  <w:r>
                    <w:rPr>
                      <w:color w:val="000000" w:themeColor="text1"/>
                      <w14:textFill>
                        <w14:solidFill>
                          <w14:schemeClr w14:val="tx1"/>
                        </w14:solidFill>
                      </w14:textFill>
                    </w:rPr>
                    <w:t>程</w:t>
                  </w:r>
                </w:p>
              </w:tc>
              <w:tc>
                <w:tcPr>
                  <w:tcW w:w="681" w:type="pct"/>
                  <w:vAlign w:val="center"/>
                </w:tcPr>
                <w:p w14:paraId="5AC06B94">
                  <w:pPr>
                    <w:pStyle w:val="43"/>
                    <w:rPr>
                      <w:color w:val="000000" w:themeColor="text1"/>
                      <w14:textFill>
                        <w14:solidFill>
                          <w14:schemeClr w14:val="tx1"/>
                        </w14:solidFill>
                      </w14:textFill>
                    </w:rPr>
                  </w:pPr>
                  <w:r>
                    <w:rPr>
                      <w:color w:val="000000" w:themeColor="text1"/>
                      <w14:textFill>
                        <w14:solidFill>
                          <w14:schemeClr w14:val="tx1"/>
                        </w14:solidFill>
                      </w14:textFill>
                    </w:rPr>
                    <w:t>设备检修</w:t>
                  </w:r>
                </w:p>
              </w:tc>
              <w:tc>
                <w:tcPr>
                  <w:tcW w:w="4055" w:type="pct"/>
                  <w:vAlign w:val="center"/>
                </w:tcPr>
                <w:p w14:paraId="22EC0314">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火灾爆炸风险以及事故性泄漏常与装置设备故障相关联。企业在该项目</w:t>
                  </w:r>
                  <w:r>
                    <w:rPr>
                      <w:rFonts w:hint="eastAsia"/>
                      <w:color w:val="000000" w:themeColor="text1"/>
                      <w14:textFill>
                        <w14:solidFill>
                          <w14:schemeClr w14:val="tx1"/>
                        </w14:solidFill>
                      </w14:textFill>
                    </w:rPr>
                    <w:t>施工</w:t>
                  </w:r>
                  <w:r>
                    <w:rPr>
                      <w:color w:val="000000" w:themeColor="text1"/>
                      <w14:textFill>
                        <w14:solidFill>
                          <w14:schemeClr w14:val="tx1"/>
                        </w14:solidFill>
                      </w14:textFill>
                    </w:rPr>
                    <w:t>和安全管理中要密切注意事故易发部位，做好运行监督检查与维修保养，防患于未然。</w:t>
                  </w:r>
                </w:p>
              </w:tc>
            </w:tr>
            <w:tr w14:paraId="7F3F96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2F773A07">
                  <w:pPr>
                    <w:pStyle w:val="43"/>
                    <w:rPr>
                      <w:color w:val="000000" w:themeColor="text1"/>
                      <w14:textFill>
                        <w14:solidFill>
                          <w14:schemeClr w14:val="tx1"/>
                        </w14:solidFill>
                      </w14:textFill>
                    </w:rPr>
                  </w:pPr>
                </w:p>
              </w:tc>
              <w:tc>
                <w:tcPr>
                  <w:tcW w:w="681" w:type="pct"/>
                  <w:vAlign w:val="center"/>
                </w:tcPr>
                <w:p w14:paraId="0BF9E1AF">
                  <w:pPr>
                    <w:pStyle w:val="43"/>
                    <w:rPr>
                      <w:color w:val="000000" w:themeColor="text1"/>
                      <w14:textFill>
                        <w14:solidFill>
                          <w14:schemeClr w14:val="tx1"/>
                        </w14:solidFill>
                      </w14:textFill>
                    </w:rPr>
                  </w:pPr>
                  <w:r>
                    <w:rPr>
                      <w:color w:val="000000" w:themeColor="text1"/>
                      <w14:textFill>
                        <w14:solidFill>
                          <w14:schemeClr w14:val="tx1"/>
                        </w14:solidFill>
                      </w14:textFill>
                    </w:rPr>
                    <w:t>员工培训</w:t>
                  </w:r>
                </w:p>
              </w:tc>
              <w:tc>
                <w:tcPr>
                  <w:tcW w:w="4055" w:type="pct"/>
                  <w:vAlign w:val="center"/>
                </w:tcPr>
                <w:p w14:paraId="0C53A076">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公司应组织</w:t>
                  </w:r>
                  <w:r>
                    <w:rPr>
                      <w:rFonts w:hint="eastAsia"/>
                      <w:color w:val="000000" w:themeColor="text1"/>
                      <w14:textFill>
                        <w14:solidFill>
                          <w14:schemeClr w14:val="tx1"/>
                        </w14:solidFill>
                      </w14:textFill>
                    </w:rPr>
                    <w:t>施工人员</w:t>
                  </w:r>
                  <w:r>
                    <w:rPr>
                      <w:color w:val="000000" w:themeColor="text1"/>
                      <w14:textFill>
                        <w14:solidFill>
                          <w14:schemeClr w14:val="tx1"/>
                        </w14:solidFill>
                      </w14:textFill>
                    </w:rPr>
                    <w:t>认真学习并将国家要求和安全技术规范转化为各自岗位的安全操作规程，并悬挂在岗位醒目位置，规范岗位操作，降低事故概率。</w:t>
                  </w:r>
                </w:p>
              </w:tc>
            </w:tr>
            <w:tr w14:paraId="54ACE4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64" w:type="pct"/>
                  <w:vMerge w:val="continue"/>
                  <w:vAlign w:val="center"/>
                </w:tcPr>
                <w:p w14:paraId="458EB813">
                  <w:pPr>
                    <w:pStyle w:val="43"/>
                    <w:rPr>
                      <w:color w:val="000000" w:themeColor="text1"/>
                      <w14:textFill>
                        <w14:solidFill>
                          <w14:schemeClr w14:val="tx1"/>
                        </w14:solidFill>
                      </w14:textFill>
                    </w:rPr>
                  </w:pPr>
                </w:p>
              </w:tc>
              <w:tc>
                <w:tcPr>
                  <w:tcW w:w="681" w:type="pct"/>
                  <w:vAlign w:val="center"/>
                </w:tcPr>
                <w:p w14:paraId="0F389BFA">
                  <w:pPr>
                    <w:pStyle w:val="43"/>
                    <w:rPr>
                      <w:color w:val="000000" w:themeColor="text1"/>
                      <w14:textFill>
                        <w14:solidFill>
                          <w14:schemeClr w14:val="tx1"/>
                        </w14:solidFill>
                      </w14:textFill>
                    </w:rPr>
                  </w:pPr>
                  <w:r>
                    <w:rPr>
                      <w:color w:val="000000" w:themeColor="text1"/>
                      <w14:textFill>
                        <w14:solidFill>
                          <w14:schemeClr w14:val="tx1"/>
                        </w14:solidFill>
                      </w14:textFill>
                    </w:rPr>
                    <w:t>巡回检查</w:t>
                  </w:r>
                </w:p>
              </w:tc>
              <w:tc>
                <w:tcPr>
                  <w:tcW w:w="4055" w:type="pct"/>
                  <w:vAlign w:val="center"/>
                </w:tcPr>
                <w:p w14:paraId="09C48EF4">
                  <w:pPr>
                    <w:pStyle w:val="43"/>
                    <w:jc w:val="both"/>
                    <w:rPr>
                      <w:color w:val="000000" w:themeColor="text1"/>
                      <w14:textFill>
                        <w14:solidFill>
                          <w14:schemeClr w14:val="tx1"/>
                        </w14:solidFill>
                      </w14:textFill>
                    </w:rPr>
                  </w:pPr>
                  <w:r>
                    <w:rPr>
                      <w:color w:val="000000" w:themeColor="text1"/>
                      <w14:textFill>
                        <w14:solidFill>
                          <w14:schemeClr w14:val="tx1"/>
                        </w14:solidFill>
                      </w14:textFill>
                    </w:rPr>
                    <w:t>必须组织专门人员每天每班多次进行周期性巡回检查，有跑冒滴漏或其他异常现象的应及时检修，必要时按照“生产服从安全”原则停车检修，严禁带病或不正常运转。</w:t>
                  </w:r>
                </w:p>
              </w:tc>
            </w:tr>
          </w:tbl>
          <w:p w14:paraId="21B4AC02">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因此，应在项目施工期间将环境风险防范理念贯穿于施工全过程，认真落实各项环境风险防范措施，在此基础上，项目环境风险可控。</w:t>
            </w:r>
          </w:p>
          <w:p w14:paraId="7D52FF30">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7</w:t>
            </w:r>
            <w:r>
              <w:rPr>
                <w:rFonts w:hint="eastAsia"/>
                <w:color w:val="000000" w:themeColor="text1"/>
                <w14:textFill>
                  <w14:solidFill>
                    <w14:schemeClr w14:val="tx1"/>
                  </w14:solidFill>
                </w14:textFill>
              </w:rPr>
              <w:t>、人群健康保护</w:t>
            </w:r>
          </w:p>
          <w:p w14:paraId="7414CFF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施工期间将增加施工人员之间的接触机会，易传染疾病；施工人员在野外作业，与鼠类接触机会增多，也容易诱发疫源性疾病。为减少各种疾病的发生，使工程得以顺利进行，需要实施以下措施：</w:t>
            </w:r>
          </w:p>
          <w:p w14:paraId="5D7C3157">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1）办公区应建在作业区内受施工活动干扰相对较小的位置，在施工人员进驻前进行一次清理消毒，为施工人员提供良好的居住及卫生条件。施工人员进入施工现场前，要进行身体检查，并注射乙型肝炎、森林脑炎、流脑等疫苗，禁止患有严重传染病的人员进入施工现场。</w:t>
            </w:r>
          </w:p>
          <w:p w14:paraId="007DD05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2）为减少各种疾病的发病率，施工期间要做好环境卫生防疫工作，对施工人员进行必要的卫生防疫宣传教育。加强施工作业区的卫生清理和消毒，定期进行灭蚊蝇和灭鼠工作；加强施工区及周边地区的卫生防疫监测工作，做到早发现，早治疗。对现场施工人员定期进行体检，及时接种疫苗，发现传染病患者，及时隔离治疗，并及时报告当地卫生防疫部门，传染病带菌者要撤离其岗位。</w:t>
            </w:r>
          </w:p>
          <w:p w14:paraId="33A9618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3）施工人员的饮用水源管理和食品卫生管理，饮用水源要经过卫生防疫部门检验，合格后方可使用；食品原料要新鲜卫生，各种食品要烧熟煮透；采购食品用的车辆、容器要清洁卫生，做到生熟分开、防尘、防蝇、防雨、防晒；公用食具要洗净消毒。</w:t>
            </w:r>
          </w:p>
          <w:p w14:paraId="5550DBC0">
            <w:pPr>
              <w:pStyle w:val="47"/>
              <w:ind w:firstLine="420"/>
              <w:rPr>
                <w:color w:val="000000" w:themeColor="text1"/>
                <w:szCs w:val="32"/>
                <w14:textFill>
                  <w14:solidFill>
                    <w14:schemeClr w14:val="tx1"/>
                  </w14:solidFill>
                </w14:textFill>
              </w:rPr>
            </w:pPr>
            <w:r>
              <w:rPr>
                <w:color w:val="000000" w:themeColor="text1"/>
                <w:szCs w:val="32"/>
                <w14:textFill>
                  <w14:solidFill>
                    <w14:schemeClr w14:val="tx1"/>
                  </w14:solidFill>
                </w14:textFill>
              </w:rPr>
              <w:t>8</w:t>
            </w:r>
            <w:r>
              <w:rPr>
                <w:rFonts w:hint="eastAsia"/>
                <w:color w:val="000000" w:themeColor="text1"/>
                <w:szCs w:val="32"/>
                <w14:textFill>
                  <w14:solidFill>
                    <w14:schemeClr w14:val="tx1"/>
                  </w14:solidFill>
                </w14:textFill>
              </w:rPr>
              <w:t>、施工全过程监理</w:t>
            </w:r>
          </w:p>
          <w:p w14:paraId="3C3A8F2E">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施工全过程监理人员应对施工活动中的环境保护工作按照施工进程实施动态管理。环境保护监理的主要内容是监理项目工程的施工过程应符合环保要求，如噪声、废气、废水、固体废物等污染物排放应达标、减少水土流失和生态环境破坏。工程环境监理的工作方式以日常巡视检查为主，辅以必要的环境监测，以便及时调整环保监控力度。检查的主要内容有：</w:t>
            </w:r>
          </w:p>
          <w:p w14:paraId="2D93AF01">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(1)施工单位是否严格执行了“施工人员环保教育”；</w:t>
            </w:r>
          </w:p>
          <w:p w14:paraId="15AD844B">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(2)是否按照环保要求合理布设施工营地位置；</w:t>
            </w:r>
          </w:p>
          <w:p w14:paraId="3CB8FD4D">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(3)物料堆放场是否采取洒水保湿、苫布覆盖等措施；是否做好堆土拦挡；</w:t>
            </w:r>
          </w:p>
          <w:p w14:paraId="1FDA3476">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(4)施工扬尘措施、废水处置措施、固体废物的处置是否合理；隔油池、防渗旱厕是否按要求做防渗；</w:t>
            </w:r>
          </w:p>
          <w:p w14:paraId="111B6345">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(5)是否按照环保要求避免夜间施工，特别是高噪声、强震动作业施工。</w:t>
            </w:r>
          </w:p>
          <w:p w14:paraId="62BBFDB8">
            <w:pPr>
              <w:pStyle w:val="47"/>
              <w:ind w:firstLine="420"/>
              <w:rPr>
                <w:color w:val="000000" w:themeColor="text1"/>
                <w:szCs w:val="32"/>
                <w14:textFill>
                  <w14:solidFill>
                    <w14:schemeClr w14:val="tx1"/>
                  </w14:solidFill>
                </w14:textFill>
              </w:rPr>
            </w:pPr>
            <w:r>
              <w:rPr>
                <w:rFonts w:hint="eastAsia"/>
                <w:color w:val="000000" w:themeColor="text1"/>
                <w:szCs w:val="32"/>
                <w14:textFill>
                  <w14:solidFill>
                    <w14:schemeClr w14:val="tx1"/>
                  </w14:solidFill>
                </w14:textFill>
              </w:rPr>
              <w:t>(</w:t>
            </w:r>
            <w:r>
              <w:rPr>
                <w:color w:val="000000" w:themeColor="text1"/>
                <w:szCs w:val="32"/>
                <w14:textFill>
                  <w14:solidFill>
                    <w14:schemeClr w14:val="tx1"/>
                  </w14:solidFill>
                </w14:textFill>
              </w:rPr>
              <w:t>6</w:t>
            </w:r>
            <w:r>
              <w:rPr>
                <w:rFonts w:hint="eastAsia"/>
                <w:color w:val="000000" w:themeColor="text1"/>
                <w:szCs w:val="32"/>
                <w14:textFill>
                  <w14:solidFill>
                    <w14:schemeClr w14:val="tx1"/>
                  </w14:solidFill>
                </w14:textFill>
              </w:rPr>
              <w:t>)是否按环保要求完成生态恢复、复垦复耕等迹地恢复作业；</w:t>
            </w:r>
          </w:p>
          <w:p w14:paraId="217D4910">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环境管理与监测计划</w:t>
            </w:r>
            <w:r>
              <w:rPr>
                <w:rFonts w:hint="eastAsia"/>
                <w:color w:val="000000" w:themeColor="text1"/>
                <w14:textFill>
                  <w14:solidFill>
                    <w14:schemeClr w14:val="tx1"/>
                  </w14:solidFill>
                </w14:textFill>
              </w:rPr>
              <w:t>：</w:t>
            </w:r>
          </w:p>
          <w:p w14:paraId="5E68BC1C">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（1）环境管理</w:t>
            </w:r>
          </w:p>
          <w:p w14:paraId="73055B1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项目环境保护管理是指建设单位、设计单位和施工单位在项目的可行性研究、项目设计、建设期和运行期必须遵守国家、省市的有关环境保护法规、政策、标准，落实环境影响评价报告中拟定采取的污染防治措施，并确保环境保护设施处于正常运行状态。环境管理计划制定出机构的能力建设、执行各项防治措施的职责、实施进度、监测内容和报告程序，以及资金投入和来源等内容。在项目建设期和运行期，接受地方环境保护主管部门的监督和指导，并配合环境保护主管部门完成对项目建设的“三同时”审查。项目运行期环境管理机构及职责：项目运行期的环境管理机构，负责场内的环境管理和监测工作，对照国家环保法律、法规和标准，及时监督和掌握污染情况。项目环境管理机构的基本职责为：</w:t>
            </w:r>
          </w:p>
          <w:p w14:paraId="2F841776">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color w:val="000000" w:themeColor="text1"/>
                <w14:textFill>
                  <w14:solidFill>
                    <w14:schemeClr w14:val="tx1"/>
                  </w14:solidFill>
                </w14:textFill>
              </w:rPr>
              <w:t>宣传、组织贯彻国家有关环境保护的法律、法规、规章，搞好项目的环境保护工作；</w:t>
            </w:r>
          </w:p>
          <w:p w14:paraId="7984D3D1">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执行上级主管部门建立的各种环境管理制度；</w:t>
            </w:r>
          </w:p>
          <w:p w14:paraId="77BF03D7">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监督本项目环保设施和设备的安装、调试和运行，保证“三同时”验收合格；</w:t>
            </w:r>
          </w:p>
          <w:p w14:paraId="76034650">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④</w:t>
            </w:r>
            <w:r>
              <w:rPr>
                <w:color w:val="000000" w:themeColor="text1"/>
                <w14:textFill>
                  <w14:solidFill>
                    <w14:schemeClr w14:val="tx1"/>
                  </w14:solidFill>
                </w14:textFill>
              </w:rPr>
              <w:t>领导并组织项目运行期的环境监测工作，建立档案；</w:t>
            </w:r>
          </w:p>
          <w:p w14:paraId="76AD6AF6">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⑤</w:t>
            </w:r>
            <w:r>
              <w:rPr>
                <w:color w:val="000000" w:themeColor="text1"/>
                <w14:textFill>
                  <w14:solidFill>
                    <w14:schemeClr w14:val="tx1"/>
                  </w14:solidFill>
                </w14:textFill>
              </w:rPr>
              <w:t>调查、处理项目产生的污染事故和污染纠纷；</w:t>
            </w:r>
          </w:p>
          <w:p w14:paraId="75ED61F7">
            <w:pPr>
              <w:pStyle w:val="47"/>
              <w:ind w:firstLine="42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⑥</w:t>
            </w:r>
            <w:r>
              <w:rPr>
                <w:color w:val="000000" w:themeColor="text1"/>
                <w14:textFill>
                  <w14:solidFill>
                    <w14:schemeClr w14:val="tx1"/>
                  </w14:solidFill>
                </w14:textFill>
              </w:rPr>
              <w:t>开展环保教育、技术培训和学术交流活动，提高员工素质。</w:t>
            </w:r>
          </w:p>
          <w:p w14:paraId="2ED431A6">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（2）监测计划</w:t>
            </w:r>
          </w:p>
          <w:p w14:paraId="1D817CF5">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为及时了解项目在运行期对环境影响的范围和程度，以便采取相应的措施，同时验证已采取环保措施的效益。结合工程与环境特点，确定项目施工期的环境监测内容，各个指标的监测均按国家标准监测方法进行。</w:t>
            </w:r>
          </w:p>
          <w:p w14:paraId="0BA379B5">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参考</w:t>
            </w:r>
            <w:r>
              <w:rPr>
                <w:color w:val="000000" w:themeColor="text1"/>
                <w14:textFill>
                  <w14:solidFill>
                    <w14:schemeClr w14:val="tx1"/>
                  </w14:solidFill>
                </w14:textFill>
              </w:rPr>
              <w:t>《排污单位自行监测技术指南 总则》（HJ819-2017）要求，确定本项目</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监测计划，监测计划见</w:t>
            </w:r>
            <w:r>
              <w:rPr>
                <w:rFonts w:hint="eastAsia"/>
                <w:color w:val="000000" w:themeColor="text1"/>
                <w14:textFill>
                  <w14:solidFill>
                    <w14:schemeClr w14:val="tx1"/>
                  </w14:solidFill>
                </w14:textFill>
              </w:rPr>
              <w:t>下表</w:t>
            </w:r>
            <w:r>
              <w:rPr>
                <w:color w:val="000000" w:themeColor="text1"/>
                <w14:textFill>
                  <w14:solidFill>
                    <w14:schemeClr w14:val="tx1"/>
                  </w14:solidFill>
                </w14:textFill>
              </w:rPr>
              <w:t>。</w:t>
            </w:r>
          </w:p>
          <w:p w14:paraId="1980B8CC">
            <w:pPr>
              <w:pStyle w:val="46"/>
              <w:rPr>
                <w:color w:val="000000" w:themeColor="text1"/>
                <w14:textFill>
                  <w14:solidFill>
                    <w14:schemeClr w14:val="tx1"/>
                  </w14:solidFill>
                </w14:textFill>
              </w:rPr>
            </w:pPr>
            <w:r>
              <w:rPr>
                <w:color w:val="000000" w:themeColor="text1"/>
                <w14:textFill>
                  <w14:solidFill>
                    <w14:schemeClr w14:val="tx1"/>
                  </w14:solidFill>
                </w14:textFill>
              </w:rPr>
              <w:t>表5-3 环境监测计划</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29"/>
              <w:gridCol w:w="912"/>
              <w:gridCol w:w="1043"/>
              <w:gridCol w:w="1138"/>
              <w:gridCol w:w="1488"/>
              <w:gridCol w:w="2304"/>
            </w:tblGrid>
            <w:tr w14:paraId="5FCE8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 w:hRule="atLeast"/>
                <w:jc w:val="center"/>
              </w:trPr>
              <w:tc>
                <w:tcPr>
                  <w:tcW w:w="419" w:type="pct"/>
                  <w:vAlign w:val="center"/>
                </w:tcPr>
                <w:p w14:paraId="7A3E2BBE">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项目</w:t>
                  </w:r>
                </w:p>
              </w:tc>
              <w:tc>
                <w:tcPr>
                  <w:tcW w:w="607" w:type="pct"/>
                  <w:vAlign w:val="center"/>
                </w:tcPr>
                <w:p w14:paraId="3E211CB9">
                  <w:pPr>
                    <w:pStyle w:val="43"/>
                    <w:rPr>
                      <w:color w:val="000000" w:themeColor="text1"/>
                      <w:lang w:val="zh-CN"/>
                      <w14:textFill>
                        <w14:solidFill>
                          <w14:schemeClr w14:val="tx1"/>
                        </w14:solidFill>
                      </w14:textFill>
                    </w:rPr>
                  </w:pPr>
                  <w:r>
                    <w:rPr>
                      <w:color w:val="000000" w:themeColor="text1"/>
                      <w:lang w:eastAsia="zh-CN"/>
                      <w14:textFill>
                        <w14:solidFill>
                          <w14:schemeClr w14:val="tx1"/>
                        </w14:solidFill>
                      </w14:textFill>
                    </w:rPr>
                    <w:t>污染源</w:t>
                  </w:r>
                </w:p>
              </w:tc>
              <w:tc>
                <w:tcPr>
                  <w:tcW w:w="694" w:type="pct"/>
                  <w:vAlign w:val="center"/>
                </w:tcPr>
                <w:p w14:paraId="1757B30F">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监测项目</w:t>
                  </w:r>
                </w:p>
              </w:tc>
              <w:tc>
                <w:tcPr>
                  <w:tcW w:w="757" w:type="pct"/>
                  <w:vAlign w:val="center"/>
                </w:tcPr>
                <w:p w14:paraId="1A7D15BA">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监测点</w:t>
                  </w:r>
                </w:p>
              </w:tc>
              <w:tc>
                <w:tcPr>
                  <w:tcW w:w="990" w:type="pct"/>
                  <w:vAlign w:val="center"/>
                </w:tcPr>
                <w:p w14:paraId="4BB73ACA">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监测时间及频率</w:t>
                  </w:r>
                </w:p>
              </w:tc>
              <w:tc>
                <w:tcPr>
                  <w:tcW w:w="1533" w:type="pct"/>
                  <w:vAlign w:val="center"/>
                </w:tcPr>
                <w:p w14:paraId="4F573664">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采样分析方法</w:t>
                  </w:r>
                </w:p>
              </w:tc>
            </w:tr>
            <w:tr w14:paraId="7A43C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1022D216">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大气环境</w:t>
                  </w:r>
                </w:p>
              </w:tc>
              <w:tc>
                <w:tcPr>
                  <w:tcW w:w="607" w:type="pct"/>
                  <w:vAlign w:val="center"/>
                </w:tcPr>
                <w:p w14:paraId="22E257B5">
                  <w:pPr>
                    <w:pStyle w:val="43"/>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扬尘</w:t>
                  </w:r>
                </w:p>
              </w:tc>
              <w:tc>
                <w:tcPr>
                  <w:tcW w:w="694" w:type="pct"/>
                  <w:vAlign w:val="center"/>
                </w:tcPr>
                <w:p w14:paraId="604B79B1">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TSP</w:t>
                  </w:r>
                </w:p>
              </w:tc>
              <w:tc>
                <w:tcPr>
                  <w:tcW w:w="757" w:type="pct"/>
                  <w:vAlign w:val="center"/>
                </w:tcPr>
                <w:p w14:paraId="4A886B51">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施工区</w:t>
                  </w:r>
                  <w:r>
                    <w:rPr>
                      <w:rFonts w:hint="eastAsia"/>
                      <w:color w:val="000000" w:themeColor="text1"/>
                      <w:lang w:val="zh-CN"/>
                      <w14:textFill>
                        <w14:solidFill>
                          <w14:schemeClr w14:val="tx1"/>
                        </w14:solidFill>
                      </w14:textFill>
                    </w:rPr>
                    <w:t>及下风向居民点</w:t>
                  </w:r>
                </w:p>
              </w:tc>
              <w:tc>
                <w:tcPr>
                  <w:tcW w:w="990" w:type="pct"/>
                  <w:vAlign w:val="center"/>
                </w:tcPr>
                <w:p w14:paraId="6E89F178">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每季度1次</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每次2天</w:t>
                  </w:r>
                </w:p>
              </w:tc>
              <w:tc>
                <w:tcPr>
                  <w:tcW w:w="1533" w:type="pct"/>
                  <w:vAlign w:val="center"/>
                </w:tcPr>
                <w:p w14:paraId="3D0169C7">
                  <w:pPr>
                    <w:pStyle w:val="43"/>
                    <w:rPr>
                      <w:color w:val="000000" w:themeColor="text1"/>
                      <w14:textFill>
                        <w14:solidFill>
                          <w14:schemeClr w14:val="tx1"/>
                        </w14:solidFill>
                      </w14:textFill>
                    </w:rPr>
                  </w:pPr>
                  <w:r>
                    <w:rPr>
                      <w:color w:val="000000" w:themeColor="text1"/>
                      <w14:textFill>
                        <w14:solidFill>
                          <w14:schemeClr w14:val="tx1"/>
                        </w14:solidFill>
                      </w14:textFill>
                    </w:rPr>
                    <w:t>参照《环境空气 总悬浮颗粒物的测定 重量法》（HJ 1263-2022）及修改单</w:t>
                  </w:r>
                </w:p>
              </w:tc>
            </w:tr>
            <w:tr w14:paraId="2D7463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145F322F">
                  <w:pPr>
                    <w:pStyle w:val="43"/>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水环境</w:t>
                  </w:r>
                </w:p>
              </w:tc>
              <w:tc>
                <w:tcPr>
                  <w:tcW w:w="607" w:type="pct"/>
                  <w:vAlign w:val="center"/>
                </w:tcPr>
                <w:p w14:paraId="2314FD88">
                  <w:pPr>
                    <w:pStyle w:val="43"/>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废水</w:t>
                  </w:r>
                </w:p>
              </w:tc>
              <w:tc>
                <w:tcPr>
                  <w:tcW w:w="694" w:type="pct"/>
                  <w:vAlign w:val="center"/>
                </w:tcPr>
                <w:p w14:paraId="774F16AE">
                  <w:pPr>
                    <w:pStyle w:val="43"/>
                    <w:rPr>
                      <w:color w:val="000000" w:themeColor="text1"/>
                      <w:lang w:val="zh-CN"/>
                      <w14:textFill>
                        <w14:solidFill>
                          <w14:schemeClr w14:val="tx1"/>
                        </w14:solidFill>
                      </w14:textFill>
                    </w:rPr>
                  </w:pPr>
                  <w:r>
                    <w:rPr>
                      <w:color w:val="000000" w:themeColor="text1"/>
                      <w:szCs w:val="21"/>
                      <w14:textFill>
                        <w14:solidFill>
                          <w14:schemeClr w14:val="tx1"/>
                        </w14:solidFill>
                      </w14:textFill>
                    </w:rPr>
                    <w:t>pH</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COD</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SS</w:t>
                  </w:r>
                  <w:r>
                    <w:rPr>
                      <w:rFonts w:hint="eastAsia"/>
                      <w:color w:val="000000" w:themeColor="text1"/>
                      <w:szCs w:val="21"/>
                      <w14:textFill>
                        <w14:solidFill>
                          <w14:schemeClr w14:val="tx1"/>
                        </w14:solidFill>
                      </w14:textFill>
                    </w:rPr>
                    <w:t>、氨氮、总磷、总氮</w:t>
                  </w:r>
                </w:p>
              </w:tc>
              <w:tc>
                <w:tcPr>
                  <w:tcW w:w="757" w:type="pct"/>
                  <w:vAlign w:val="center"/>
                </w:tcPr>
                <w:p w14:paraId="30260DF8">
                  <w:pPr>
                    <w:pStyle w:val="43"/>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起点、终点及终点下游500m处设置三处监测点</w:t>
                  </w:r>
                </w:p>
              </w:tc>
              <w:tc>
                <w:tcPr>
                  <w:tcW w:w="990" w:type="pct"/>
                  <w:vAlign w:val="center"/>
                </w:tcPr>
                <w:p w14:paraId="3EF2A734">
                  <w:pPr>
                    <w:pStyle w:val="43"/>
                    <w:rPr>
                      <w:color w:val="000000" w:themeColor="text1"/>
                      <w:lang w:val="zh-CN"/>
                      <w14:textFill>
                        <w14:solidFill>
                          <w14:schemeClr w14:val="tx1"/>
                        </w14:solidFill>
                      </w14:textFill>
                    </w:rPr>
                  </w:pPr>
                  <w:r>
                    <w:rPr>
                      <w:rFonts w:hint="eastAsia"/>
                      <w:color w:val="000000" w:themeColor="text1"/>
                      <w:szCs w:val="21"/>
                      <w14:textFill>
                        <w14:solidFill>
                          <w14:schemeClr w14:val="tx1"/>
                        </w14:solidFill>
                      </w14:textFill>
                    </w:rPr>
                    <w:t>施工高峰期监测1次，施工结束后监测一次，每次连续监测2天。</w:t>
                  </w:r>
                </w:p>
              </w:tc>
              <w:tc>
                <w:tcPr>
                  <w:tcW w:w="1533" w:type="pct"/>
                  <w:vAlign w:val="center"/>
                </w:tcPr>
                <w:p w14:paraId="7E0553FF">
                  <w:pPr>
                    <w:pStyle w:val="43"/>
                    <w:rPr>
                      <w:color w:val="000000" w:themeColor="text1"/>
                      <w14:textFill>
                        <w14:solidFill>
                          <w14:schemeClr w14:val="tx1"/>
                        </w14:solidFill>
                      </w14:textFill>
                    </w:rPr>
                  </w:pPr>
                  <w:r>
                    <w:rPr>
                      <w:rFonts w:hint="eastAsia"/>
                      <w:color w:val="000000" w:themeColor="text1"/>
                      <w14:textFill>
                        <w14:solidFill>
                          <w14:schemeClr w14:val="tx1"/>
                        </w14:solidFill>
                      </w14:textFill>
                    </w:rPr>
                    <w:t>参考《地表水环境质量标准》（GB3838-2002）</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 4 \* ROMAN</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IV</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类</w:t>
                  </w:r>
                </w:p>
              </w:tc>
            </w:tr>
            <w:tr w14:paraId="6E533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419" w:type="pct"/>
                  <w:vAlign w:val="center"/>
                </w:tcPr>
                <w:p w14:paraId="650FC98A">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声环境</w:t>
                  </w:r>
                </w:p>
              </w:tc>
              <w:tc>
                <w:tcPr>
                  <w:tcW w:w="607" w:type="pct"/>
                  <w:vAlign w:val="center"/>
                </w:tcPr>
                <w:p w14:paraId="29B39DAF">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施工设备噪声</w:t>
                  </w:r>
                </w:p>
              </w:tc>
              <w:tc>
                <w:tcPr>
                  <w:tcW w:w="694" w:type="pct"/>
                  <w:vAlign w:val="center"/>
                </w:tcPr>
                <w:p w14:paraId="6AB50149">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昼夜噪声等效</w:t>
                  </w:r>
                </w:p>
                <w:p w14:paraId="3CFF4EFF">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A声级</w:t>
                  </w:r>
                </w:p>
              </w:tc>
              <w:tc>
                <w:tcPr>
                  <w:tcW w:w="757" w:type="pct"/>
                  <w:vAlign w:val="center"/>
                </w:tcPr>
                <w:p w14:paraId="298661AF">
                  <w:pPr>
                    <w:pStyle w:val="43"/>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施工区沿线场界</w:t>
                  </w:r>
                  <w:r>
                    <w:rPr>
                      <w:color w:val="000000" w:themeColor="text1"/>
                      <w:lang w:val="zh-CN"/>
                      <w14:textFill>
                        <w14:solidFill>
                          <w14:schemeClr w14:val="tx1"/>
                        </w14:solidFill>
                      </w14:textFill>
                    </w:rPr>
                    <w:t>外1m，高度1.2m以上</w:t>
                  </w:r>
                </w:p>
              </w:tc>
              <w:tc>
                <w:tcPr>
                  <w:tcW w:w="990" w:type="pct"/>
                  <w:vAlign w:val="center"/>
                </w:tcPr>
                <w:p w14:paraId="235E3045">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一次/季</w:t>
                  </w:r>
                </w:p>
                <w:p w14:paraId="6F6E9BA8">
                  <w:pPr>
                    <w:pStyle w:val="43"/>
                    <w:rPr>
                      <w:color w:val="000000" w:themeColor="text1"/>
                      <w:lang w:val="zh-CN"/>
                      <w14:textFill>
                        <w14:solidFill>
                          <w14:schemeClr w14:val="tx1"/>
                        </w14:solidFill>
                      </w14:textFill>
                    </w:rPr>
                  </w:pPr>
                  <w:r>
                    <w:rPr>
                      <w:color w:val="000000" w:themeColor="text1"/>
                      <w:lang w:val="zh-CN"/>
                      <w14:textFill>
                        <w14:solidFill>
                          <w14:schemeClr w14:val="tx1"/>
                        </w14:solidFill>
                      </w14:textFill>
                    </w:rPr>
                    <w:t>（昼、夜间）</w:t>
                  </w:r>
                </w:p>
              </w:tc>
              <w:tc>
                <w:tcPr>
                  <w:tcW w:w="1533" w:type="pct"/>
                  <w:vAlign w:val="center"/>
                </w:tcPr>
                <w:p w14:paraId="01567F03">
                  <w:pPr>
                    <w:pStyle w:val="43"/>
                    <w:rPr>
                      <w:color w:val="000000" w:themeColor="text1"/>
                      <w14:textFill>
                        <w14:solidFill>
                          <w14:schemeClr w14:val="tx1"/>
                        </w14:solidFill>
                      </w14:textFill>
                    </w:rPr>
                  </w:pPr>
                  <w:r>
                    <w:rPr>
                      <w:color w:val="000000" w:themeColor="text1"/>
                      <w14:textFill>
                        <w14:solidFill>
                          <w14:schemeClr w14:val="tx1"/>
                        </w14:solidFill>
                      </w14:textFill>
                    </w:rPr>
                    <w:t>参照《声环境质量标准》（GB3096-2008）中附录B</w:t>
                  </w:r>
                </w:p>
              </w:tc>
            </w:tr>
          </w:tbl>
          <w:p w14:paraId="610169C3">
            <w:pPr>
              <w:pStyle w:val="47"/>
              <w:ind w:firstLine="420"/>
              <w:rPr>
                <w:color w:val="000000" w:themeColor="text1"/>
                <w14:textFill>
                  <w14:solidFill>
                    <w14:schemeClr w14:val="tx1"/>
                  </w14:solidFill>
                </w14:textFill>
              </w:rPr>
            </w:pPr>
            <w:r>
              <w:rPr>
                <w:color w:val="000000" w:themeColor="text1"/>
                <w:szCs w:val="32"/>
                <w14:textFill>
                  <w14:solidFill>
                    <w14:schemeClr w14:val="tx1"/>
                  </w14:solidFill>
                </w14:textFill>
              </w:rPr>
              <w:t>综上所述，本项目生态环境影响主要来自施工期。通过上述分析，施工期施工建设对生态环境影响不大。通过采取相应的生态保护</w:t>
            </w:r>
            <w:r>
              <w:rPr>
                <w:rFonts w:hint="eastAsia"/>
                <w:color w:val="000000" w:themeColor="text1"/>
                <w:szCs w:val="32"/>
                <w14:textFill>
                  <w14:solidFill>
                    <w14:schemeClr w14:val="tx1"/>
                  </w14:solidFill>
                </w14:textFill>
              </w:rPr>
              <w:t>及生态</w:t>
            </w:r>
            <w:r>
              <w:rPr>
                <w:color w:val="000000" w:themeColor="text1"/>
                <w:szCs w:val="32"/>
                <w14:textFill>
                  <w14:solidFill>
                    <w14:schemeClr w14:val="tx1"/>
                  </w14:solidFill>
                </w14:textFill>
              </w:rPr>
              <w:t>恢复措施，本项目建设对生态环境的影响是可接受的。</w:t>
            </w:r>
          </w:p>
        </w:tc>
      </w:tr>
      <w:tr w14:paraId="0C290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tcMar>
              <w:left w:w="28" w:type="dxa"/>
              <w:right w:w="28" w:type="dxa"/>
            </w:tcMar>
            <w:vAlign w:val="center"/>
          </w:tcPr>
          <w:p w14:paraId="466AE0F9">
            <w:pPr>
              <w:adjustRightInd w:val="0"/>
              <w:snapToGrid w:val="0"/>
              <w:jc w:val="center"/>
              <w:rPr>
                <w:bCs/>
                <w:color w:val="000000" w:themeColor="text1"/>
                <w:spacing w:val="10"/>
                <w:szCs w:val="21"/>
                <w14:textFill>
                  <w14:solidFill>
                    <w14:schemeClr w14:val="tx1"/>
                  </w14:solidFill>
                </w14:textFill>
              </w:rPr>
            </w:pPr>
            <w:r>
              <w:rPr>
                <w:bCs/>
                <w:color w:val="000000" w:themeColor="text1"/>
                <w:spacing w:val="10"/>
                <w:szCs w:val="21"/>
                <w14:textFill>
                  <w14:solidFill>
                    <w14:schemeClr w14:val="tx1"/>
                  </w14:solidFill>
                </w14:textFill>
              </w:rPr>
              <w:t>运营期生态环境保护措施</w:t>
            </w:r>
          </w:p>
        </w:tc>
        <w:tc>
          <w:tcPr>
            <w:tcW w:w="4664" w:type="pct"/>
          </w:tcPr>
          <w:p w14:paraId="0D45965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本项目属于河湖整治及防洪除涝工程和热力生产，运营期对生态影响较小。</w:t>
            </w:r>
          </w:p>
          <w:p w14:paraId="4539608E">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运营期应定期巡查、检修。堤防、护坡等出现破损时，及时上报修复。</w:t>
            </w:r>
          </w:p>
          <w:p w14:paraId="5C47506D">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工程完成后改善的景观，营造适宜生境对野生动物种群数量，改善当地的生物多样性。可定期对项目区进行野生动物调查监测，了解动物种群变动情况，需要时采取一定的保护措施。</w:t>
            </w:r>
          </w:p>
          <w:p w14:paraId="7A543959">
            <w:pPr>
              <w:pStyle w:val="47"/>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另外对评价区范围内的动物种类、数量及其觅食、迁徙、繁殖等活动规律进行监测，评估工程实施对野生动物的影响，如动物种类数量稳定、未受到显著干扰，则认为工程对野生动物没有不良的影响。</w:t>
            </w:r>
          </w:p>
        </w:tc>
      </w:tr>
      <w:tr w14:paraId="785A4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6" w:type="pct"/>
            <w:vAlign w:val="center"/>
          </w:tcPr>
          <w:p w14:paraId="1DB4F835">
            <w:pPr>
              <w:adjustRightInd w:val="0"/>
              <w:snapToGrid w:val="0"/>
              <w:jc w:val="center"/>
              <w:rPr>
                <w:bCs/>
                <w:color w:val="000000" w:themeColor="text1"/>
                <w:spacing w:val="10"/>
                <w:szCs w:val="21"/>
                <w14:textFill>
                  <w14:solidFill>
                    <w14:schemeClr w14:val="tx1"/>
                  </w14:solidFill>
                </w14:textFill>
              </w:rPr>
            </w:pPr>
            <w:r>
              <w:rPr>
                <w:bCs/>
                <w:color w:val="000000" w:themeColor="text1"/>
                <w:szCs w:val="21"/>
                <w14:textFill>
                  <w14:solidFill>
                    <w14:schemeClr w14:val="tx1"/>
                  </w14:solidFill>
                </w14:textFill>
              </w:rPr>
              <w:t>其他</w:t>
            </w:r>
          </w:p>
        </w:tc>
        <w:tc>
          <w:tcPr>
            <w:tcW w:w="4664" w:type="pct"/>
            <w:vAlign w:val="center"/>
          </w:tcPr>
          <w:p w14:paraId="1D2A54F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加强本工程施工期的环境管理及施工监理工作。建立健全的环境管理机构和环境监理档案。承包商应明确承诺他们在施工过程中以及施工结束时的环境义务。</w:t>
            </w:r>
          </w:p>
          <w:p w14:paraId="42A2BDDB">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做好对施工人员环境保护宣传教育培训工作。施工单位在施工期间应认真贯彻环评报告表及生态环境部门批复意见中所提的各项环境保护措施和要求，把环境保护工作真正落到实处。</w:t>
            </w:r>
          </w:p>
        </w:tc>
      </w:tr>
      <w:tr w14:paraId="5D5E0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82" w:hRule="atLeast"/>
          <w:jc w:val="center"/>
        </w:trPr>
        <w:tc>
          <w:tcPr>
            <w:tcW w:w="336" w:type="pct"/>
            <w:vAlign w:val="center"/>
          </w:tcPr>
          <w:p w14:paraId="3995FF0F">
            <w:pPr>
              <w:adjustRightInd w:val="0"/>
              <w:snapToGrid w:val="0"/>
              <w:jc w:val="center"/>
              <w:rPr>
                <w:bCs/>
                <w:color w:val="000000" w:themeColor="text1"/>
                <w:spacing w:val="10"/>
                <w:szCs w:val="21"/>
                <w14:textFill>
                  <w14:solidFill>
                    <w14:schemeClr w14:val="tx1"/>
                  </w14:solidFill>
                </w14:textFill>
              </w:rPr>
            </w:pPr>
            <w:r>
              <w:rPr>
                <w:bCs/>
                <w:color w:val="000000" w:themeColor="text1"/>
                <w:szCs w:val="21"/>
                <w14:textFill>
                  <w14:solidFill>
                    <w14:schemeClr w14:val="tx1"/>
                  </w14:solidFill>
                </w14:textFill>
              </w:rPr>
              <w:t>环保投资</w:t>
            </w:r>
          </w:p>
        </w:tc>
        <w:tc>
          <w:tcPr>
            <w:tcW w:w="4664" w:type="pct"/>
            <w:vAlign w:val="center"/>
          </w:tcPr>
          <w:p w14:paraId="4A66B64B">
            <w:pPr>
              <w:ind w:firstLine="420"/>
              <w:rPr>
                <w:color w:val="000000" w:themeColor="text1"/>
                <w14:textFill>
                  <w14:solidFill>
                    <w14:schemeClr w14:val="tx1"/>
                  </w14:solidFill>
                </w14:textFill>
              </w:rPr>
            </w:pPr>
            <w:r>
              <w:rPr>
                <w:color w:val="000000" w:themeColor="text1"/>
                <w14:textFill>
                  <w14:solidFill>
                    <w14:schemeClr w14:val="tx1"/>
                  </w14:solidFill>
                </w14:textFill>
              </w:rPr>
              <w:t>本项目环保投资具体情况见下表。</w:t>
            </w:r>
          </w:p>
          <w:p w14:paraId="616C3EE6">
            <w:pPr>
              <w:pStyle w:val="46"/>
              <w:rPr>
                <w:color w:val="000000" w:themeColor="text1"/>
                <w14:textFill>
                  <w14:solidFill>
                    <w14:schemeClr w14:val="tx1"/>
                  </w14:solidFill>
                </w14:textFill>
              </w:rPr>
            </w:pPr>
            <w:r>
              <w:rPr>
                <w:color w:val="000000" w:themeColor="text1"/>
                <w14:textFill>
                  <w14:solidFill>
                    <w14:schemeClr w14:val="tx1"/>
                  </w14:solidFill>
                </w14:textFill>
              </w:rPr>
              <w:t>表5-4 环保投资一览表</w:t>
            </w:r>
          </w:p>
          <w:tbl>
            <w:tblPr>
              <w:tblStyle w:val="6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558"/>
              <w:gridCol w:w="3398"/>
              <w:gridCol w:w="1248"/>
            </w:tblGrid>
            <w:tr w14:paraId="496B8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Align w:val="center"/>
                </w:tcPr>
                <w:p w14:paraId="07730341">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投资项目</w:t>
                  </w:r>
                </w:p>
              </w:tc>
              <w:tc>
                <w:tcPr>
                  <w:tcW w:w="1037" w:type="pct"/>
                  <w:vAlign w:val="center"/>
                </w:tcPr>
                <w:p w14:paraId="6250846A">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项目类型</w:t>
                  </w:r>
                </w:p>
              </w:tc>
              <w:tc>
                <w:tcPr>
                  <w:tcW w:w="2261" w:type="pct"/>
                  <w:vAlign w:val="center"/>
                </w:tcPr>
                <w:p w14:paraId="45F4D25D">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具体措施</w:t>
                  </w:r>
                </w:p>
              </w:tc>
              <w:tc>
                <w:tcPr>
                  <w:tcW w:w="830" w:type="pct"/>
                  <w:vAlign w:val="center"/>
                </w:tcPr>
                <w:p w14:paraId="5C371D4A">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环保投资（万元）</w:t>
                  </w:r>
                </w:p>
              </w:tc>
            </w:tr>
            <w:tr w14:paraId="24BAD2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restart"/>
                  <w:vAlign w:val="center"/>
                </w:tcPr>
                <w:p w14:paraId="3C6B7165">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施工期</w:t>
                  </w:r>
                </w:p>
              </w:tc>
              <w:tc>
                <w:tcPr>
                  <w:tcW w:w="1037" w:type="pct"/>
                  <w:vAlign w:val="center"/>
                </w:tcPr>
                <w:p w14:paraId="00EA07E3">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废气</w:t>
                  </w:r>
                </w:p>
              </w:tc>
              <w:tc>
                <w:tcPr>
                  <w:tcW w:w="2261" w:type="pct"/>
                  <w:vAlign w:val="center"/>
                </w:tcPr>
                <w:p w14:paraId="2D3D3AED">
                  <w:pPr>
                    <w:widowControl/>
                    <w:adjustRightInd w:val="0"/>
                    <w:snapToGrid w:val="0"/>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洒水降尘、蓬布遮挡、施工围挡、检查维修机械和车辆、定期喷洒除臭剂</w:t>
                  </w:r>
                </w:p>
              </w:tc>
              <w:tc>
                <w:tcPr>
                  <w:tcW w:w="830" w:type="pct"/>
                  <w:vAlign w:val="center"/>
                </w:tcPr>
                <w:p w14:paraId="210A5710">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1.6</w:t>
                  </w:r>
                </w:p>
              </w:tc>
            </w:tr>
            <w:tr w14:paraId="12E73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2E2288C3">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Merge w:val="restart"/>
                  <w:vAlign w:val="center"/>
                </w:tcPr>
                <w:p w14:paraId="7DE5662F">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废水</w:t>
                  </w:r>
                </w:p>
              </w:tc>
              <w:tc>
                <w:tcPr>
                  <w:tcW w:w="2261" w:type="pct"/>
                  <w:vAlign w:val="center"/>
                </w:tcPr>
                <w:p w14:paraId="648E0A40">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生活污水设置临时移动式防渗旱厕</w:t>
                  </w:r>
                </w:p>
              </w:tc>
              <w:tc>
                <w:tcPr>
                  <w:tcW w:w="830" w:type="pct"/>
                  <w:vAlign w:val="center"/>
                </w:tcPr>
                <w:p w14:paraId="382C3482">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0.5</w:t>
                  </w:r>
                </w:p>
              </w:tc>
            </w:tr>
            <w:tr w14:paraId="24C03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4A5D002B">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Merge w:val="continue"/>
                  <w:vAlign w:val="center"/>
                </w:tcPr>
                <w:p w14:paraId="6CDC4D7B">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2261" w:type="pct"/>
                  <w:vAlign w:val="center"/>
                </w:tcPr>
                <w:p w14:paraId="5A955C0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生产废水设置沉淀池、隔油池，淤泥沥水设置潜水泵、修建集水坑，合理安排施工进度等措施</w:t>
                  </w:r>
                </w:p>
              </w:tc>
              <w:tc>
                <w:tcPr>
                  <w:tcW w:w="830" w:type="pct"/>
                  <w:vAlign w:val="center"/>
                </w:tcPr>
                <w:p w14:paraId="2EF915A5">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2.1</w:t>
                  </w:r>
                  <w:r>
                    <w:rPr>
                      <w:rFonts w:hint="eastAsia" w:eastAsia="等线"/>
                      <w:color w:val="000000" w:themeColor="text1"/>
                      <w:kern w:val="0"/>
                      <w:sz w:val="18"/>
                      <w:szCs w:val="18"/>
                      <w14:textFill>
                        <w14:solidFill>
                          <w14:schemeClr w14:val="tx1"/>
                        </w14:solidFill>
                      </w14:textFill>
                    </w:rPr>
                    <w:t>1</w:t>
                  </w:r>
                </w:p>
              </w:tc>
            </w:tr>
            <w:tr w14:paraId="372666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70418150">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Merge w:val="continue"/>
                  <w:vAlign w:val="center"/>
                </w:tcPr>
                <w:p w14:paraId="1C0ACDAE">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2261" w:type="pct"/>
                  <w:vAlign w:val="center"/>
                </w:tcPr>
                <w:p w14:paraId="65814A2D">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清淤工程设置过滤网、防泥幕布</w:t>
                  </w:r>
                </w:p>
              </w:tc>
              <w:tc>
                <w:tcPr>
                  <w:tcW w:w="830" w:type="pct"/>
                  <w:vAlign w:val="center"/>
                </w:tcPr>
                <w:p w14:paraId="2C078281">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1</w:t>
                  </w:r>
                  <w:r>
                    <w:rPr>
                      <w:rFonts w:eastAsia="等线"/>
                      <w:color w:val="000000" w:themeColor="text1"/>
                      <w:kern w:val="0"/>
                      <w:sz w:val="18"/>
                      <w:szCs w:val="18"/>
                      <w14:textFill>
                        <w14:solidFill>
                          <w14:schemeClr w14:val="tx1"/>
                        </w14:solidFill>
                      </w14:textFill>
                    </w:rPr>
                    <w:t>.2</w:t>
                  </w:r>
                </w:p>
              </w:tc>
            </w:tr>
            <w:tr w14:paraId="28571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5431816A">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Align w:val="center"/>
                </w:tcPr>
                <w:p w14:paraId="0A3EA5DD">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地下水</w:t>
                  </w:r>
                </w:p>
              </w:tc>
              <w:tc>
                <w:tcPr>
                  <w:tcW w:w="2261" w:type="pct"/>
                  <w:vAlign w:val="center"/>
                </w:tcPr>
                <w:p w14:paraId="206DC769">
                  <w:pPr>
                    <w:widowControl/>
                    <w:adjustRightInd w:val="0"/>
                    <w:snapToGrid w:val="0"/>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危险废物贮存点、防渗旱厕、淤泥沥水收集（淤泥堆放）场地设置相关防渗等措施</w:t>
                  </w:r>
                </w:p>
              </w:tc>
              <w:tc>
                <w:tcPr>
                  <w:tcW w:w="830" w:type="pct"/>
                  <w:vAlign w:val="center"/>
                </w:tcPr>
                <w:p w14:paraId="2E87BC7F">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2</w:t>
                  </w:r>
                  <w:r>
                    <w:rPr>
                      <w:rFonts w:eastAsia="等线"/>
                      <w:color w:val="000000" w:themeColor="text1"/>
                      <w:kern w:val="0"/>
                      <w:sz w:val="18"/>
                      <w:szCs w:val="18"/>
                      <w14:textFill>
                        <w14:solidFill>
                          <w14:schemeClr w14:val="tx1"/>
                        </w14:solidFill>
                      </w14:textFill>
                    </w:rPr>
                    <w:t>.45</w:t>
                  </w:r>
                </w:p>
              </w:tc>
            </w:tr>
            <w:tr w14:paraId="33B59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7D8784E2">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Align w:val="center"/>
                </w:tcPr>
                <w:p w14:paraId="5301D7E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噪声</w:t>
                  </w:r>
                </w:p>
              </w:tc>
              <w:tc>
                <w:tcPr>
                  <w:tcW w:w="2261" w:type="pct"/>
                  <w:vAlign w:val="center"/>
                </w:tcPr>
                <w:p w14:paraId="08C56276">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选用低噪声设备、隔声屏障、减振、设置消声器等措施</w:t>
                  </w:r>
                </w:p>
              </w:tc>
              <w:tc>
                <w:tcPr>
                  <w:tcW w:w="830" w:type="pct"/>
                  <w:vAlign w:val="center"/>
                </w:tcPr>
                <w:p w14:paraId="175F07A9">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1.45</w:t>
                  </w:r>
                </w:p>
              </w:tc>
            </w:tr>
            <w:tr w14:paraId="74168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58E61B75">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Merge w:val="restart"/>
                  <w:vAlign w:val="center"/>
                </w:tcPr>
                <w:p w14:paraId="0EB837F1">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固体废物</w:t>
                  </w:r>
                </w:p>
              </w:tc>
              <w:tc>
                <w:tcPr>
                  <w:tcW w:w="2261" w:type="pct"/>
                  <w:vAlign w:val="center"/>
                </w:tcPr>
                <w:p w14:paraId="4C46C342">
                  <w:pPr>
                    <w:widowControl/>
                    <w:adjustRightInd w:val="0"/>
                    <w:snapToGrid w:val="0"/>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土方回填及外运综合利用、建筑垃圾回收利用及统一清运</w:t>
                  </w:r>
                </w:p>
              </w:tc>
              <w:tc>
                <w:tcPr>
                  <w:tcW w:w="830" w:type="pct"/>
                  <w:vAlign w:val="center"/>
                </w:tcPr>
                <w:p w14:paraId="51BDA958">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3.15</w:t>
                  </w:r>
                </w:p>
              </w:tc>
            </w:tr>
            <w:tr w14:paraId="4C575B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1ED90804">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1037" w:type="pct"/>
                  <w:vMerge w:val="continue"/>
                  <w:vAlign w:val="center"/>
                </w:tcPr>
                <w:p w14:paraId="07154352">
                  <w:pPr>
                    <w:widowControl/>
                    <w:adjustRightInd w:val="0"/>
                    <w:snapToGrid w:val="0"/>
                    <w:jc w:val="left"/>
                    <w:rPr>
                      <w:rFonts w:hint="eastAsia" w:ascii="宋体" w:hAnsi="宋体" w:cs="宋体"/>
                      <w:color w:val="000000" w:themeColor="text1"/>
                      <w:kern w:val="0"/>
                      <w:sz w:val="18"/>
                      <w:szCs w:val="18"/>
                      <w14:textFill>
                        <w14:solidFill>
                          <w14:schemeClr w14:val="tx1"/>
                        </w14:solidFill>
                      </w14:textFill>
                    </w:rPr>
                  </w:pPr>
                </w:p>
              </w:tc>
              <w:tc>
                <w:tcPr>
                  <w:tcW w:w="2261" w:type="pct"/>
                  <w:vAlign w:val="center"/>
                </w:tcPr>
                <w:p w14:paraId="55C4474D">
                  <w:pPr>
                    <w:widowControl/>
                    <w:adjustRightInd w:val="0"/>
                    <w:snapToGrid w:val="0"/>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生活垃圾设置生活垃圾箱集中收集、处置</w:t>
                  </w:r>
                </w:p>
              </w:tc>
              <w:tc>
                <w:tcPr>
                  <w:tcW w:w="830" w:type="pct"/>
                  <w:vAlign w:val="center"/>
                </w:tcPr>
                <w:p w14:paraId="65F03CBF">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0.42</w:t>
                  </w:r>
                </w:p>
              </w:tc>
            </w:tr>
            <w:tr w14:paraId="45743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restart"/>
                  <w:vAlign w:val="center"/>
                </w:tcPr>
                <w:p w14:paraId="4E51CDD9">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运行期</w:t>
                  </w:r>
                </w:p>
              </w:tc>
              <w:tc>
                <w:tcPr>
                  <w:tcW w:w="1037" w:type="pct"/>
                  <w:vAlign w:val="center"/>
                </w:tcPr>
                <w:p w14:paraId="3352EB61">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废气治理措施</w:t>
                  </w:r>
                </w:p>
              </w:tc>
              <w:tc>
                <w:tcPr>
                  <w:tcW w:w="2261" w:type="pct"/>
                  <w:vAlign w:val="center"/>
                </w:tcPr>
                <w:p w14:paraId="0F1CB126">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多管旋风除尘器+布袋除尘器+30m烟囱，锅炉自带低氮燃烧器</w:t>
                  </w:r>
                  <w:r>
                    <w:rPr>
                      <w:rFonts w:hint="eastAsia" w:ascii="宋体" w:hAnsi="宋体" w:cs="宋体"/>
                      <w:color w:val="000000" w:themeColor="text1"/>
                      <w:kern w:val="0"/>
                      <w:sz w:val="18"/>
                      <w:szCs w:val="18"/>
                      <w14:textFill>
                        <w14:solidFill>
                          <w14:schemeClr w14:val="tx1"/>
                        </w14:solidFill>
                      </w14:textFill>
                    </w:rPr>
                    <w:t>，油烟净化器、烟道</w:t>
                  </w:r>
                </w:p>
              </w:tc>
              <w:tc>
                <w:tcPr>
                  <w:tcW w:w="830" w:type="pct"/>
                  <w:vAlign w:val="center"/>
                </w:tcPr>
                <w:p w14:paraId="5AC4A82A">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20</w:t>
                  </w:r>
                </w:p>
              </w:tc>
            </w:tr>
            <w:tr w14:paraId="38D41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11DD6FBE">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p>
              </w:tc>
              <w:tc>
                <w:tcPr>
                  <w:tcW w:w="1037" w:type="pct"/>
                  <w:vAlign w:val="center"/>
                </w:tcPr>
                <w:p w14:paraId="7714996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废水治理措施</w:t>
                  </w:r>
                </w:p>
              </w:tc>
              <w:tc>
                <w:tcPr>
                  <w:tcW w:w="2261" w:type="pct"/>
                  <w:vAlign w:val="center"/>
                </w:tcPr>
                <w:p w14:paraId="6C4EB66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油水分离器、化粪池</w:t>
                  </w:r>
                </w:p>
              </w:tc>
              <w:tc>
                <w:tcPr>
                  <w:tcW w:w="830" w:type="pct"/>
                  <w:vAlign w:val="center"/>
                </w:tcPr>
                <w:p w14:paraId="22B9468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8</w:t>
                  </w:r>
                </w:p>
              </w:tc>
            </w:tr>
            <w:tr w14:paraId="170D2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26F7CCE2">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p>
              </w:tc>
              <w:tc>
                <w:tcPr>
                  <w:tcW w:w="1037" w:type="pct"/>
                  <w:vAlign w:val="center"/>
                </w:tcPr>
                <w:p w14:paraId="0B7BB2D3">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固废</w:t>
                  </w:r>
                  <w:r>
                    <w:rPr>
                      <w:rFonts w:ascii="宋体" w:hAnsi="宋体" w:cs="宋体"/>
                      <w:color w:val="000000" w:themeColor="text1"/>
                      <w:kern w:val="0"/>
                      <w:sz w:val="18"/>
                      <w:szCs w:val="18"/>
                      <w14:textFill>
                        <w14:solidFill>
                          <w14:schemeClr w14:val="tx1"/>
                        </w14:solidFill>
                      </w14:textFill>
                    </w:rPr>
                    <w:t>治理措施</w:t>
                  </w:r>
                </w:p>
              </w:tc>
              <w:tc>
                <w:tcPr>
                  <w:tcW w:w="2261" w:type="pct"/>
                  <w:vAlign w:val="center"/>
                </w:tcPr>
                <w:p w14:paraId="23880F63">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固废收集</w:t>
                  </w:r>
                </w:p>
              </w:tc>
              <w:tc>
                <w:tcPr>
                  <w:tcW w:w="830" w:type="pct"/>
                  <w:vAlign w:val="center"/>
                </w:tcPr>
                <w:p w14:paraId="35C30E6D">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2</w:t>
                  </w:r>
                </w:p>
              </w:tc>
            </w:tr>
            <w:tr w14:paraId="19583F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Merge w:val="continue"/>
                  <w:vAlign w:val="center"/>
                </w:tcPr>
                <w:p w14:paraId="7F79FC31">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p>
              </w:tc>
              <w:tc>
                <w:tcPr>
                  <w:tcW w:w="1037" w:type="pct"/>
                  <w:vAlign w:val="center"/>
                </w:tcPr>
                <w:p w14:paraId="05CCE56E">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噪声治理措施</w:t>
                  </w:r>
                </w:p>
              </w:tc>
              <w:tc>
                <w:tcPr>
                  <w:tcW w:w="2261" w:type="pct"/>
                  <w:vAlign w:val="center"/>
                </w:tcPr>
                <w:p w14:paraId="208A69BB">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选取低噪声设备，采取减振、隔声等措施</w:t>
                  </w:r>
                </w:p>
              </w:tc>
              <w:tc>
                <w:tcPr>
                  <w:tcW w:w="830" w:type="pct"/>
                  <w:vAlign w:val="center"/>
                </w:tcPr>
                <w:p w14:paraId="7906EA52">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ascii="宋体" w:hAnsi="宋体" w:cs="宋体"/>
                      <w:color w:val="000000" w:themeColor="text1"/>
                      <w:kern w:val="0"/>
                      <w:sz w:val="18"/>
                      <w:szCs w:val="18"/>
                      <w14:textFill>
                        <w14:solidFill>
                          <w14:schemeClr w14:val="tx1"/>
                        </w14:solidFill>
                      </w14:textFill>
                    </w:rPr>
                    <w:t>2</w:t>
                  </w:r>
                </w:p>
              </w:tc>
            </w:tr>
            <w:tr w14:paraId="0CD34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170" w:type="pct"/>
                  <w:gridSpan w:val="3"/>
                  <w:vAlign w:val="center"/>
                </w:tcPr>
                <w:p w14:paraId="1679D82B">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环境保护措施和设施的运行维护费用</w:t>
                  </w:r>
                </w:p>
              </w:tc>
              <w:tc>
                <w:tcPr>
                  <w:tcW w:w="830" w:type="pct"/>
                  <w:vAlign w:val="center"/>
                </w:tcPr>
                <w:p w14:paraId="5B66ABA2">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1.12</w:t>
                  </w:r>
                </w:p>
              </w:tc>
            </w:tr>
            <w:tr w14:paraId="7585B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Align w:val="center"/>
                </w:tcPr>
                <w:p w14:paraId="1C841E22">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自行监测</w:t>
                  </w:r>
                </w:p>
              </w:tc>
              <w:tc>
                <w:tcPr>
                  <w:tcW w:w="3298" w:type="pct"/>
                  <w:gridSpan w:val="2"/>
                  <w:vAlign w:val="center"/>
                </w:tcPr>
                <w:p w14:paraId="1384AD7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自行监测费用</w:t>
                  </w:r>
                </w:p>
              </w:tc>
              <w:tc>
                <w:tcPr>
                  <w:tcW w:w="830" w:type="pct"/>
                  <w:vAlign w:val="center"/>
                </w:tcPr>
                <w:p w14:paraId="64002B30">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1.0</w:t>
                  </w:r>
                </w:p>
              </w:tc>
            </w:tr>
            <w:tr w14:paraId="3141F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72" w:type="pct"/>
                  <w:vAlign w:val="center"/>
                </w:tcPr>
                <w:p w14:paraId="252428FB">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生态恢复措施</w:t>
                  </w:r>
                </w:p>
              </w:tc>
              <w:tc>
                <w:tcPr>
                  <w:tcW w:w="3298" w:type="pct"/>
                  <w:gridSpan w:val="2"/>
                  <w:vAlign w:val="center"/>
                </w:tcPr>
                <w:p w14:paraId="7744FD85">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生态恢复、迹地恢复、绿化、覆植种草等</w:t>
                  </w:r>
                </w:p>
              </w:tc>
              <w:tc>
                <w:tcPr>
                  <w:tcW w:w="830" w:type="pct"/>
                  <w:vAlign w:val="center"/>
                </w:tcPr>
                <w:p w14:paraId="2CBEDD71">
                  <w:pPr>
                    <w:widowControl/>
                    <w:adjustRightInd w:val="0"/>
                    <w:snapToGrid w:val="0"/>
                    <w:jc w:val="center"/>
                    <w:rPr>
                      <w:rFonts w:eastAsia="等线"/>
                      <w:color w:val="000000" w:themeColor="text1"/>
                      <w:kern w:val="0"/>
                      <w:sz w:val="18"/>
                      <w:szCs w:val="18"/>
                      <w14:textFill>
                        <w14:solidFill>
                          <w14:schemeClr w14:val="tx1"/>
                        </w14:solidFill>
                      </w14:textFill>
                    </w:rPr>
                  </w:pPr>
                  <w:r>
                    <w:rPr>
                      <w:rFonts w:eastAsia="等线"/>
                      <w:color w:val="000000" w:themeColor="text1"/>
                      <w:kern w:val="0"/>
                      <w:sz w:val="18"/>
                      <w:szCs w:val="18"/>
                      <w14:textFill>
                        <w14:solidFill>
                          <w14:schemeClr w14:val="tx1"/>
                        </w14:solidFill>
                      </w14:textFill>
                    </w:rPr>
                    <w:t>1</w:t>
                  </w:r>
                  <w:r>
                    <w:rPr>
                      <w:rFonts w:hint="eastAsia" w:eastAsia="等线"/>
                      <w:color w:val="000000" w:themeColor="text1"/>
                      <w:kern w:val="0"/>
                      <w:sz w:val="18"/>
                      <w:szCs w:val="18"/>
                      <w14:textFill>
                        <w14:solidFill>
                          <w14:schemeClr w14:val="tx1"/>
                        </w14:solidFill>
                      </w14:textFill>
                    </w:rPr>
                    <w:t>0</w:t>
                  </w:r>
                </w:p>
              </w:tc>
            </w:tr>
            <w:tr w14:paraId="2E33D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170" w:type="pct"/>
                  <w:gridSpan w:val="3"/>
                  <w:vAlign w:val="center"/>
                </w:tcPr>
                <w:p w14:paraId="49C46267">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环保投资合计</w:t>
                  </w:r>
                </w:p>
              </w:tc>
              <w:tc>
                <w:tcPr>
                  <w:tcW w:w="830" w:type="pct"/>
                  <w:vAlign w:val="center"/>
                </w:tcPr>
                <w:p w14:paraId="0DFFED00">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57</w:t>
                  </w:r>
                </w:p>
              </w:tc>
            </w:tr>
            <w:tr w14:paraId="1999C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170" w:type="pct"/>
                  <w:gridSpan w:val="3"/>
                  <w:vAlign w:val="center"/>
                </w:tcPr>
                <w:p w14:paraId="16857B7C">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项目总投资</w:t>
                  </w:r>
                </w:p>
              </w:tc>
              <w:tc>
                <w:tcPr>
                  <w:tcW w:w="830" w:type="pct"/>
                  <w:vAlign w:val="center"/>
                </w:tcPr>
                <w:p w14:paraId="19DEF640">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10000</w:t>
                  </w:r>
                </w:p>
              </w:tc>
            </w:tr>
            <w:tr w14:paraId="4804F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170" w:type="pct"/>
                  <w:gridSpan w:val="3"/>
                  <w:vAlign w:val="center"/>
                </w:tcPr>
                <w:p w14:paraId="3AEFCAF2">
                  <w:pPr>
                    <w:widowControl/>
                    <w:adjustRightInd w:val="0"/>
                    <w:snapToGrid w:val="0"/>
                    <w:jc w:val="center"/>
                    <w:rPr>
                      <w:rFonts w:hint="eastAsia" w:ascii="宋体" w:hAnsi="宋体" w:cs="宋体"/>
                      <w:color w:val="000000" w:themeColor="text1"/>
                      <w:kern w:val="0"/>
                      <w:sz w:val="18"/>
                      <w:szCs w:val="18"/>
                      <w14:textFill>
                        <w14:solidFill>
                          <w14:schemeClr w14:val="tx1"/>
                        </w14:solidFill>
                      </w14:textFill>
                    </w:rPr>
                  </w:pPr>
                  <w:r>
                    <w:rPr>
                      <w:rFonts w:hint="eastAsia" w:ascii="宋体" w:hAnsi="宋体" w:cs="宋体"/>
                      <w:color w:val="000000" w:themeColor="text1"/>
                      <w:kern w:val="0"/>
                      <w:sz w:val="18"/>
                      <w:szCs w:val="18"/>
                      <w14:textFill>
                        <w14:solidFill>
                          <w14:schemeClr w14:val="tx1"/>
                        </w14:solidFill>
                      </w14:textFill>
                    </w:rPr>
                    <w:t>环保投资占比</w:t>
                  </w:r>
                </w:p>
              </w:tc>
              <w:tc>
                <w:tcPr>
                  <w:tcW w:w="830" w:type="pct"/>
                  <w:vAlign w:val="center"/>
                </w:tcPr>
                <w:p w14:paraId="1C496DC6">
                  <w:pPr>
                    <w:widowControl/>
                    <w:adjustRightInd w:val="0"/>
                    <w:snapToGrid w:val="0"/>
                    <w:jc w:val="center"/>
                    <w:rPr>
                      <w:rFonts w:eastAsia="等线"/>
                      <w:color w:val="000000" w:themeColor="text1"/>
                      <w:kern w:val="0"/>
                      <w:sz w:val="18"/>
                      <w:szCs w:val="18"/>
                      <w14:textFill>
                        <w14:solidFill>
                          <w14:schemeClr w14:val="tx1"/>
                        </w14:solidFill>
                      </w14:textFill>
                    </w:rPr>
                  </w:pPr>
                  <w:r>
                    <w:rPr>
                      <w:rFonts w:hint="eastAsia" w:eastAsia="等线"/>
                      <w:color w:val="000000" w:themeColor="text1"/>
                      <w:kern w:val="0"/>
                      <w:sz w:val="18"/>
                      <w:szCs w:val="18"/>
                      <w14:textFill>
                        <w14:solidFill>
                          <w14:schemeClr w14:val="tx1"/>
                        </w14:solidFill>
                      </w14:textFill>
                    </w:rPr>
                    <w:t>0.57</w:t>
                  </w:r>
                  <w:r>
                    <w:rPr>
                      <w:rFonts w:eastAsia="等线"/>
                      <w:color w:val="000000" w:themeColor="text1"/>
                      <w:kern w:val="0"/>
                      <w:sz w:val="18"/>
                      <w:szCs w:val="18"/>
                      <w14:textFill>
                        <w14:solidFill>
                          <w14:schemeClr w14:val="tx1"/>
                        </w14:solidFill>
                      </w14:textFill>
                    </w:rPr>
                    <w:t>%</w:t>
                  </w:r>
                </w:p>
              </w:tc>
            </w:tr>
          </w:tbl>
          <w:p w14:paraId="3250B5DF">
            <w:pPr>
              <w:adjustRightInd w:val="0"/>
              <w:snapToGrid w:val="0"/>
              <w:jc w:val="center"/>
              <w:rPr>
                <w:bCs/>
                <w:color w:val="000000" w:themeColor="text1"/>
                <w:spacing w:val="10"/>
                <w:szCs w:val="21"/>
                <w14:textFill>
                  <w14:solidFill>
                    <w14:schemeClr w14:val="tx1"/>
                  </w14:solidFill>
                </w14:textFill>
              </w:rPr>
            </w:pPr>
          </w:p>
        </w:tc>
      </w:tr>
    </w:tbl>
    <w:p w14:paraId="7AE82FCE">
      <w:pPr>
        <w:rPr>
          <w:color w:val="000000" w:themeColor="text1"/>
          <w14:textFill>
            <w14:solidFill>
              <w14:schemeClr w14:val="tx1"/>
            </w14:solidFill>
          </w14:textFill>
        </w:rPr>
        <w:sectPr>
          <w:pgSz w:w="11907" w:h="16840"/>
          <w:pgMar w:top="1440" w:right="1800" w:bottom="1440" w:left="1800" w:header="851" w:footer="1077" w:gutter="0"/>
          <w:cols w:space="425" w:num="1"/>
          <w:docGrid w:linePitch="312" w:charSpace="0"/>
        </w:sectPr>
      </w:pPr>
    </w:p>
    <w:p w14:paraId="387EE2AE">
      <w:pPr>
        <w:pStyle w:val="15"/>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50" w:name="_Toc232073028"/>
      <w:r>
        <w:rPr>
          <w:rFonts w:ascii="Times New Roman" w:hAnsi="Times New Roman" w:eastAsia="黑体"/>
          <w:snapToGrid w:val="0"/>
          <w:color w:val="000000" w:themeColor="text1"/>
          <w:sz w:val="30"/>
          <w:szCs w:val="30"/>
          <w14:textFill>
            <w14:solidFill>
              <w14:schemeClr w14:val="tx1"/>
            </w14:solidFill>
          </w14:textFill>
        </w:rPr>
        <w:t>六、生态环境保护措施监督检查清单</w:t>
      </w:r>
      <w:bookmarkEnd w:id="50"/>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3385"/>
        <w:gridCol w:w="1733"/>
        <w:gridCol w:w="1072"/>
        <w:gridCol w:w="1943"/>
      </w:tblGrid>
      <w:tr w14:paraId="5E1CB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Merge w:val="restart"/>
            <w:tcBorders>
              <w:tl2br w:val="single" w:color="auto" w:sz="4" w:space="0"/>
            </w:tcBorders>
          </w:tcPr>
          <w:p w14:paraId="76CAF5F7">
            <w:pPr>
              <w:pStyle w:val="15"/>
              <w:adjustRightInd w:val="0"/>
              <w:snapToGrid w:val="0"/>
              <w:spacing w:before="72" w:beforeLines="30" w:beforeAutospacing="0" w:after="0" w:afterAutospacing="0"/>
              <w:jc w:val="right"/>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内容</w:t>
            </w:r>
          </w:p>
          <w:p w14:paraId="634AECE1">
            <w:pPr>
              <w:pStyle w:val="15"/>
              <w:adjustRightInd w:val="0"/>
              <w:snapToGrid w:val="0"/>
              <w:spacing w:before="0" w:beforeAutospacing="0" w:after="0" w:afterAutospacing="0" w:line="14" w:lineRule="auto"/>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 xml:space="preserve"> </w:t>
            </w:r>
          </w:p>
          <w:p w14:paraId="4C6E6029">
            <w:pPr>
              <w:pStyle w:val="15"/>
              <w:adjustRightInd w:val="0"/>
              <w:snapToGrid w:val="0"/>
              <w:spacing w:before="0" w:beforeAutospacing="0" w:after="0" w:afterAutospacing="0" w:line="14" w:lineRule="auto"/>
              <w:rPr>
                <w:rFonts w:ascii="Times New Roman" w:hAnsi="Times New Roman"/>
                <w:color w:val="000000" w:themeColor="text1"/>
                <w:kern w:val="2"/>
                <w:sz w:val="21"/>
                <w:szCs w:val="21"/>
                <w14:textFill>
                  <w14:solidFill>
                    <w14:schemeClr w14:val="tx1"/>
                  </w14:solidFill>
                </w14:textFill>
              </w:rPr>
            </w:pPr>
          </w:p>
          <w:p w14:paraId="416BD85D">
            <w:pPr>
              <w:pStyle w:val="15"/>
              <w:adjustRightInd w:val="0"/>
              <w:snapToGrid w:val="0"/>
              <w:spacing w:before="0" w:beforeAutospacing="0" w:after="0" w:afterAutospacing="0" w:line="14" w:lineRule="auto"/>
              <w:rPr>
                <w:rFonts w:ascii="Times New Roman" w:hAnsi="Times New Roman"/>
                <w:color w:val="000000" w:themeColor="text1"/>
                <w:kern w:val="2"/>
                <w:sz w:val="21"/>
                <w:szCs w:val="21"/>
                <w14:textFill>
                  <w14:solidFill>
                    <w14:schemeClr w14:val="tx1"/>
                  </w14:solidFill>
                </w14:textFill>
              </w:rPr>
            </w:pPr>
          </w:p>
          <w:p w14:paraId="61584EF6">
            <w:pPr>
              <w:pStyle w:val="15"/>
              <w:adjustRightInd w:val="0"/>
              <w:snapToGrid w:val="0"/>
              <w:spacing w:before="0" w:beforeAutospacing="0" w:after="0" w:afterAutospacing="0" w:line="14" w:lineRule="auto"/>
              <w:rPr>
                <w:rFonts w:ascii="Times New Roman" w:hAnsi="Times New Roman"/>
                <w:color w:val="000000" w:themeColor="text1"/>
                <w:kern w:val="2"/>
                <w:sz w:val="135"/>
                <w:szCs w:val="21"/>
                <w14:textFill>
                  <w14:solidFill>
                    <w14:schemeClr w14:val="tx1"/>
                  </w14:solidFill>
                </w14:textFill>
              </w:rPr>
            </w:pPr>
            <w:r>
              <w:rPr>
                <w:rFonts w:ascii="Times New Roman" w:hAnsi="Times New Roman"/>
                <w:color w:val="000000" w:themeColor="text1"/>
                <w:kern w:val="2"/>
                <w:sz w:val="135"/>
                <w:szCs w:val="21"/>
                <w14:textFill>
                  <w14:solidFill>
                    <w14:schemeClr w14:val="tx1"/>
                  </w14:solidFill>
                </w14:textFill>
              </w:rPr>
              <w:t xml:space="preserve"> </w:t>
            </w:r>
          </w:p>
          <w:p w14:paraId="13DA11C8">
            <w:pPr>
              <w:pStyle w:val="15"/>
              <w:adjustRightInd w:val="0"/>
              <w:snapToGrid w:val="0"/>
              <w:spacing w:before="0" w:beforeAutospacing="0" w:after="0" w:afterAutospacing="0"/>
              <w:rPr>
                <w:rFonts w:ascii="Times New Roman" w:hAnsi="Times New Roman"/>
                <w:color w:val="000000" w:themeColor="text1"/>
                <w:kern w:val="2"/>
                <w:sz w:val="21"/>
                <w:szCs w:val="21"/>
                <w14:textFill>
                  <w14:solidFill>
                    <w14:schemeClr w14:val="tx1"/>
                  </w14:solidFill>
                </w14:textFill>
              </w:rPr>
            </w:pPr>
          </w:p>
          <w:p w14:paraId="2FE8D40A">
            <w:pPr>
              <w:pStyle w:val="15"/>
              <w:adjustRightInd w:val="0"/>
              <w:snapToGrid w:val="0"/>
              <w:spacing w:before="0" w:beforeAutospacing="0" w:after="0" w:afterAutospacing="0"/>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要素</w:t>
            </w:r>
          </w:p>
        </w:tc>
        <w:tc>
          <w:tcPr>
            <w:tcW w:w="2911" w:type="pct"/>
            <w:gridSpan w:val="2"/>
            <w:vAlign w:val="center"/>
          </w:tcPr>
          <w:p w14:paraId="121B47D2">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施工期</w:t>
            </w:r>
          </w:p>
        </w:tc>
        <w:tc>
          <w:tcPr>
            <w:tcW w:w="1464" w:type="pct"/>
            <w:gridSpan w:val="2"/>
            <w:vAlign w:val="center"/>
          </w:tcPr>
          <w:p w14:paraId="3B9F0201">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运营期</w:t>
            </w:r>
          </w:p>
        </w:tc>
      </w:tr>
      <w:tr w14:paraId="0D503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Merge w:val="continue"/>
          </w:tcPr>
          <w:p w14:paraId="0F510C5E">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p>
        </w:tc>
        <w:tc>
          <w:tcPr>
            <w:tcW w:w="2019" w:type="pct"/>
            <w:vAlign w:val="center"/>
          </w:tcPr>
          <w:p w14:paraId="33542BD8">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环境保护措施</w:t>
            </w:r>
          </w:p>
        </w:tc>
        <w:tc>
          <w:tcPr>
            <w:tcW w:w="892" w:type="pct"/>
            <w:vAlign w:val="center"/>
          </w:tcPr>
          <w:p w14:paraId="3F22D210">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验收要求</w:t>
            </w:r>
          </w:p>
        </w:tc>
        <w:tc>
          <w:tcPr>
            <w:tcW w:w="735" w:type="pct"/>
            <w:vAlign w:val="center"/>
          </w:tcPr>
          <w:p w14:paraId="35E18C6D">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环境保护措施</w:t>
            </w:r>
          </w:p>
        </w:tc>
        <w:tc>
          <w:tcPr>
            <w:tcW w:w="729" w:type="pct"/>
            <w:vAlign w:val="center"/>
          </w:tcPr>
          <w:p w14:paraId="28D4F88E">
            <w:pPr>
              <w:pStyle w:val="15"/>
              <w:adjustRightInd w:val="0"/>
              <w:snapToGrid w:val="0"/>
              <w:spacing w:before="0" w:beforeAutospacing="0" w:after="0" w:afterAutospacing="0"/>
              <w:jc w:val="center"/>
              <w:rPr>
                <w:rFonts w:ascii="Times New Roman" w:hAnsi="Times New Roman"/>
                <w:color w:val="000000" w:themeColor="text1"/>
                <w:kern w:val="2"/>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验收要求</w:t>
            </w:r>
          </w:p>
        </w:tc>
      </w:tr>
      <w:tr w14:paraId="383B41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59CBFB5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陆生生态</w:t>
            </w:r>
          </w:p>
        </w:tc>
        <w:tc>
          <w:tcPr>
            <w:tcW w:w="2019" w:type="pct"/>
            <w:vAlign w:val="center"/>
          </w:tcPr>
          <w:p w14:paraId="017701B2">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尽量减少施工临时占用土地，按征地要求，不能超出界限</w:t>
            </w:r>
            <w:r>
              <w:rPr>
                <w:color w:val="000000" w:themeColor="text1"/>
                <w14:textFill>
                  <w14:solidFill>
                    <w14:schemeClr w14:val="tx1"/>
                  </w14:solidFill>
                </w14:textFill>
              </w:rPr>
              <w:t>；施工时做好堆土拦挡；工程完成后及时</w:t>
            </w:r>
            <w:r>
              <w:rPr>
                <w:rFonts w:hint="eastAsia"/>
                <w:color w:val="000000" w:themeColor="text1"/>
                <w14:textFill>
                  <w14:solidFill>
                    <w14:schemeClr w14:val="tx1"/>
                  </w14:solidFill>
                </w14:textFill>
              </w:rPr>
              <w:t>将施工道路、淤泥堆放场地及施工生产生活区等临时工程全部废止，施工设施离场后，进行地面平整，</w:t>
            </w:r>
            <w:r>
              <w:rPr>
                <w:color w:val="000000" w:themeColor="text1"/>
                <w14:textFill>
                  <w14:solidFill>
                    <w14:schemeClr w14:val="tx1"/>
                  </w14:solidFill>
                </w14:textFill>
              </w:rPr>
              <w:t>覆土夯实，覆植种草，</w:t>
            </w:r>
            <w:r>
              <w:rPr>
                <w:rFonts w:hint="eastAsia"/>
                <w:color w:val="000000" w:themeColor="text1"/>
                <w14:textFill>
                  <w14:solidFill>
                    <w14:schemeClr w14:val="tx1"/>
                  </w14:solidFill>
                </w14:textFill>
              </w:rPr>
              <w:t>；施工中凡是土石方开挖量大的施工应该避开暴雨期，减少暴雨冲刷，减轻水土流失。对施工扰动区域采取临时防护措施和植物措施相结合的方式进行综合治理。</w:t>
            </w:r>
          </w:p>
        </w:tc>
        <w:tc>
          <w:tcPr>
            <w:tcW w:w="892" w:type="pct"/>
            <w:vAlign w:val="center"/>
          </w:tcPr>
          <w:p w14:paraId="4D88B426">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临时设施全部拆除，土地整治完成，</w:t>
            </w:r>
            <w:r>
              <w:rPr>
                <w:color w:val="000000" w:themeColor="text1"/>
                <w14:textFill>
                  <w14:solidFill>
                    <w14:schemeClr w14:val="tx1"/>
                  </w14:solidFill>
                </w14:textFill>
              </w:rPr>
              <w:t>绿化工程建设</w:t>
            </w:r>
            <w:r>
              <w:rPr>
                <w:rFonts w:hint="eastAsia"/>
                <w:color w:val="000000" w:themeColor="text1"/>
                <w14:textFill>
                  <w14:solidFill>
                    <w14:schemeClr w14:val="tx1"/>
                  </w14:solidFill>
                </w14:textFill>
              </w:rPr>
              <w:t>。</w:t>
            </w:r>
          </w:p>
        </w:tc>
        <w:tc>
          <w:tcPr>
            <w:tcW w:w="735" w:type="pct"/>
            <w:vAlign w:val="center"/>
          </w:tcPr>
          <w:p w14:paraId="1073EF46">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定期巡查、检修。出现破损时，及时上报修复。</w:t>
            </w:r>
          </w:p>
        </w:tc>
        <w:tc>
          <w:tcPr>
            <w:tcW w:w="729" w:type="pct"/>
            <w:vAlign w:val="center"/>
          </w:tcPr>
          <w:p w14:paraId="4AAF0AB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47128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54408A1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水生生态</w:t>
            </w:r>
          </w:p>
        </w:tc>
        <w:tc>
          <w:tcPr>
            <w:tcW w:w="2019" w:type="pct"/>
            <w:vAlign w:val="center"/>
          </w:tcPr>
          <w:p w14:paraId="4AFE1195">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避免雨季施工，合理安排施工进度，</w:t>
            </w:r>
            <w:r>
              <w:rPr>
                <w:rFonts w:hint="eastAsia"/>
                <w:color w:val="000000" w:themeColor="text1"/>
                <w14:textFill>
                  <w14:solidFill>
                    <w14:schemeClr w14:val="tx1"/>
                  </w14:solidFill>
                </w14:textFill>
              </w:rPr>
              <w:t>建筑物</w:t>
            </w:r>
            <w:r>
              <w:rPr>
                <w:color w:val="000000" w:themeColor="text1"/>
                <w14:textFill>
                  <w14:solidFill>
                    <w14:schemeClr w14:val="tx1"/>
                  </w14:solidFill>
                </w14:textFill>
              </w:rPr>
              <w:t>施工一般在枯水时段进行</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缩短施工周期，废弃的砂、石、土必须运至规定的专门存放地堆放，不得乱堆乱倒</w:t>
            </w:r>
            <w:r>
              <w:rPr>
                <w:rFonts w:hint="eastAsia"/>
                <w:color w:val="000000" w:themeColor="text1"/>
                <w14:textFill>
                  <w14:solidFill>
                    <w14:schemeClr w14:val="tx1"/>
                  </w14:solidFill>
                </w14:textFill>
              </w:rPr>
              <w:t>，加强管理，杜绝污染物进入水体中，尽量减少对鱼类资源的影响。在疏浚过程期间设置过滤网、防泥幕布等措施，降低颗粒物质在水中的流动。</w:t>
            </w:r>
          </w:p>
        </w:tc>
        <w:tc>
          <w:tcPr>
            <w:tcW w:w="892" w:type="pct"/>
            <w:vAlign w:val="center"/>
          </w:tcPr>
          <w:p w14:paraId="0FF565B0">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废弃的砂、石、土运至规定的专门存放地堆放，无乱堆乱倒现象</w:t>
            </w:r>
            <w:r>
              <w:rPr>
                <w:rFonts w:hint="eastAsia"/>
                <w:color w:val="000000" w:themeColor="text1"/>
                <w14:textFill>
                  <w14:solidFill>
                    <w14:schemeClr w14:val="tx1"/>
                  </w14:solidFill>
                </w14:textFill>
              </w:rPr>
              <w:t>，生态系统得以恢复</w:t>
            </w:r>
          </w:p>
        </w:tc>
        <w:tc>
          <w:tcPr>
            <w:tcW w:w="735" w:type="pct"/>
            <w:vAlign w:val="center"/>
          </w:tcPr>
          <w:p w14:paraId="544ABB4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729" w:type="pct"/>
            <w:vAlign w:val="center"/>
          </w:tcPr>
          <w:p w14:paraId="51FF37F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95E37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2E15A8E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w:t>
            </w:r>
          </w:p>
        </w:tc>
        <w:tc>
          <w:tcPr>
            <w:tcW w:w="2019" w:type="pct"/>
            <w:vAlign w:val="center"/>
          </w:tcPr>
          <w:p w14:paraId="0FFEAC39">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生活污水集中排入厂区自建临时防渗旱厕，定期清掏，外运堆肥。施工废水经隔油池、沉淀池处理后回用于临时道路、施工场地洒水降尘。在疏浚过程期间设置过滤网、防泥幕布等措施，降低颗粒物质在水中的流动。淤泥沥水经收集后引入沉淀池，经沉淀池澄清后上清液回用于周边场地洒水抑尘。临时防渗旱厕、隔油池施工结束后拆除。</w:t>
            </w:r>
          </w:p>
        </w:tc>
        <w:tc>
          <w:tcPr>
            <w:tcW w:w="892" w:type="pct"/>
            <w:vAlign w:val="center"/>
          </w:tcPr>
          <w:p w14:paraId="3821C08D">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沉淀池、隔油池、</w:t>
            </w:r>
            <w:r>
              <w:rPr>
                <w:color w:val="000000" w:themeColor="text1"/>
                <w14:textFill>
                  <w14:solidFill>
                    <w14:schemeClr w14:val="tx1"/>
                  </w14:solidFill>
                </w14:textFill>
              </w:rPr>
              <w:t>防渗旱厕施工结束后及时拆除、消毒，建筑垃圾</w:t>
            </w:r>
            <w:r>
              <w:rPr>
                <w:rFonts w:hint="eastAsia"/>
                <w:color w:val="000000" w:themeColor="text1"/>
                <w14:textFill>
                  <w14:solidFill>
                    <w14:schemeClr w14:val="tx1"/>
                  </w14:solidFill>
                </w14:textFill>
              </w:rPr>
              <w:t>回收利用或</w:t>
            </w:r>
            <w:r>
              <w:rPr>
                <w:color w:val="000000" w:themeColor="text1"/>
                <w14:textFill>
                  <w14:solidFill>
                    <w14:schemeClr w14:val="tx1"/>
                  </w14:solidFill>
                </w14:textFill>
              </w:rPr>
              <w:t>统一清运至市政管理部门指定堆放点；其他相关措施落实，对周围水环境无影响。</w:t>
            </w:r>
          </w:p>
        </w:tc>
        <w:tc>
          <w:tcPr>
            <w:tcW w:w="735" w:type="pct"/>
            <w:vAlign w:val="center"/>
          </w:tcPr>
          <w:p w14:paraId="01E4C3C2">
            <w:pPr>
              <w:adjustRightInd w:val="0"/>
              <w:snapToGrid w:val="0"/>
              <w:rPr>
                <w:color w:val="000000" w:themeColor="text1"/>
                <w14:textFill>
                  <w14:solidFill>
                    <w14:schemeClr w14:val="tx1"/>
                  </w14:solidFill>
                </w14:textFill>
              </w:rPr>
            </w:pPr>
            <w:r>
              <w:rPr>
                <w:color w:val="000000" w:themeColor="text1"/>
                <w14:textFill>
                  <w14:solidFill>
                    <w14:schemeClr w14:val="tx1"/>
                  </w14:solidFill>
                </w14:textFill>
              </w:rPr>
              <w:t>锅炉排污水和软化处理废水用于锅炉除渣、除灰和锅炉间地面洒水降尘，不外排。</w:t>
            </w:r>
            <w:r>
              <w:rPr>
                <w:rFonts w:hint="eastAsia"/>
                <w:color w:val="000000" w:themeColor="text1"/>
                <w14:textFill>
                  <w14:solidFill>
                    <w14:schemeClr w14:val="tx1"/>
                  </w14:solidFill>
                </w14:textFill>
              </w:rPr>
              <w:t>生活污水（餐饮废水经隔油池预处理）拉运至进入伊春市中心城污水处理厂（伊春市百斯特环保有限公司）处理，处理达标后排入汤旺河</w:t>
            </w:r>
            <w:r>
              <w:rPr>
                <w:color w:val="000000" w:themeColor="text1"/>
                <w14:textFill>
                  <w14:solidFill>
                    <w14:schemeClr w14:val="tx1"/>
                  </w14:solidFill>
                </w14:textFill>
              </w:rPr>
              <w:t>。</w:t>
            </w:r>
          </w:p>
        </w:tc>
        <w:tc>
          <w:tcPr>
            <w:tcW w:w="729" w:type="pct"/>
            <w:vAlign w:val="center"/>
          </w:tcPr>
          <w:p w14:paraId="4036977C">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《污水综合排放标准》（GB8978-1996）表4中三级标准</w:t>
            </w:r>
          </w:p>
        </w:tc>
      </w:tr>
      <w:tr w14:paraId="789CE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7E8DD16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地下水及土壤环境</w:t>
            </w:r>
          </w:p>
        </w:tc>
        <w:tc>
          <w:tcPr>
            <w:tcW w:w="2019" w:type="pct"/>
            <w:vAlign w:val="center"/>
          </w:tcPr>
          <w:p w14:paraId="21A885DD">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施工期临时防渗旱厕采用不饱和聚酯树脂+玻璃纤维+无捻粗纱布防渗。渗透系数为1.0×10</w:t>
            </w:r>
            <w:r>
              <w:rPr>
                <w:rFonts w:hint="eastAsia"/>
                <w:color w:val="000000" w:themeColor="text1"/>
                <w:szCs w:val="21"/>
                <w:vertAlign w:val="superscript"/>
                <w14:textFill>
                  <w14:solidFill>
                    <w14:schemeClr w14:val="tx1"/>
                  </w14:solidFill>
                </w14:textFill>
              </w:rPr>
              <w:t>-7</w:t>
            </w:r>
            <w:r>
              <w:rPr>
                <w:rFonts w:hint="eastAsia"/>
                <w:color w:val="000000" w:themeColor="text1"/>
                <w:szCs w:val="21"/>
                <w14:textFill>
                  <w14:solidFill>
                    <w14:schemeClr w14:val="tx1"/>
                  </w14:solidFill>
                </w14:textFill>
              </w:rPr>
              <w:t>cm/s。</w:t>
            </w:r>
          </w:p>
        </w:tc>
        <w:tc>
          <w:tcPr>
            <w:tcW w:w="892" w:type="pct"/>
            <w:vAlign w:val="center"/>
          </w:tcPr>
          <w:p w14:paraId="5924308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735" w:type="pct"/>
            <w:vAlign w:val="center"/>
          </w:tcPr>
          <w:p w14:paraId="5C674CB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729" w:type="pct"/>
            <w:vAlign w:val="center"/>
          </w:tcPr>
          <w:p w14:paraId="01F6EAD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5DE553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364BF0C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2019" w:type="pct"/>
            <w:vAlign w:val="center"/>
          </w:tcPr>
          <w:p w14:paraId="1A618553">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选用低噪声机械设备，对振动大的机械设备，采用隔振胶垫或减振机座</w:t>
            </w:r>
            <w:r>
              <w:rPr>
                <w:rFonts w:hint="eastAsia"/>
                <w:color w:val="000000" w:themeColor="text1"/>
                <w14:textFill>
                  <w14:solidFill>
                    <w14:schemeClr w14:val="tx1"/>
                  </w14:solidFill>
                </w14:textFill>
              </w:rPr>
              <w:t>；本项目施工临时占地中的产噪设施均应尽量远离居民6</w:t>
            </w:r>
            <w:r>
              <w:rPr>
                <w:color w:val="000000" w:themeColor="text1"/>
                <w14:textFill>
                  <w14:solidFill>
                    <w14:schemeClr w14:val="tx1"/>
                  </w14:solidFill>
                </w14:textFill>
              </w:rPr>
              <w:t>0m外</w:t>
            </w:r>
            <w:r>
              <w:rPr>
                <w:rFonts w:hint="eastAsia"/>
                <w:color w:val="000000" w:themeColor="text1"/>
                <w14:textFill>
                  <w14:solidFill>
                    <w14:schemeClr w14:val="tx1"/>
                  </w14:solidFill>
                </w14:textFill>
              </w:rPr>
              <w:t>布设，无法避让的地点选择采取基础减振及隔声屏障，减小对周边居民的不利影响；运输车辆禁止鸣高音喇叭，尤其是经过沿线村屯时应限速行驶，并禁止鸣笛；</w:t>
            </w:r>
            <w:r>
              <w:rPr>
                <w:color w:val="000000" w:themeColor="text1"/>
                <w14:textFill>
                  <w14:solidFill>
                    <w14:schemeClr w14:val="tx1"/>
                  </w14:solidFill>
                </w14:textFill>
              </w:rPr>
              <w:t>合理安排施工作业时间，</w:t>
            </w:r>
            <w:r>
              <w:rPr>
                <w:rFonts w:hint="eastAsia"/>
                <w:color w:val="000000" w:themeColor="text1"/>
                <w14:textFill>
                  <w14:solidFill>
                    <w14:schemeClr w14:val="tx1"/>
                  </w14:solidFill>
                </w14:textFill>
              </w:rPr>
              <w:t>避免夜间</w:t>
            </w:r>
            <w:r>
              <w:rPr>
                <w:color w:val="000000" w:themeColor="text1"/>
                <w14:textFill>
                  <w14:solidFill>
                    <w14:schemeClr w14:val="tx1"/>
                  </w14:solidFill>
                </w14:textFill>
              </w:rPr>
              <w:t>施工等</w:t>
            </w:r>
            <w:r>
              <w:rPr>
                <w:rFonts w:hint="eastAsia"/>
                <w:color w:val="000000" w:themeColor="text1"/>
                <w14:textFill>
                  <w14:solidFill>
                    <w14:schemeClr w14:val="tx1"/>
                  </w14:solidFill>
                </w14:textFill>
              </w:rPr>
              <w:t>。</w:t>
            </w:r>
          </w:p>
        </w:tc>
        <w:tc>
          <w:tcPr>
            <w:tcW w:w="892" w:type="pct"/>
            <w:vAlign w:val="center"/>
          </w:tcPr>
          <w:p w14:paraId="2A447202">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满足《建筑施工噪声排放标准》（GB 12523-2025）标准。</w:t>
            </w:r>
          </w:p>
        </w:tc>
        <w:tc>
          <w:tcPr>
            <w:tcW w:w="735" w:type="pct"/>
            <w:vAlign w:val="center"/>
          </w:tcPr>
          <w:p w14:paraId="1ED67AB0">
            <w:pPr>
              <w:adjustRightInd w:val="0"/>
              <w:snapToGrid w:val="0"/>
              <w:rPr>
                <w:color w:val="000000" w:themeColor="text1"/>
                <w:szCs w:val="21"/>
                <w14:textFill>
                  <w14:solidFill>
                    <w14:schemeClr w14:val="tx1"/>
                  </w14:solidFill>
                </w14:textFill>
              </w:rPr>
            </w:pPr>
            <w:r>
              <w:rPr>
                <w:szCs w:val="21"/>
              </w:rPr>
              <w:t>选取低噪声设备，采取减振、隔声、风机口安装消声器</w:t>
            </w:r>
          </w:p>
        </w:tc>
        <w:tc>
          <w:tcPr>
            <w:tcW w:w="729" w:type="pct"/>
            <w:vAlign w:val="center"/>
          </w:tcPr>
          <w:p w14:paraId="252D821D">
            <w:pPr>
              <w:adjustRightInd w:val="0"/>
              <w:snapToGrid w:val="0"/>
              <w:jc w:val="center"/>
              <w:rPr>
                <w:color w:val="000000" w:themeColor="text1"/>
                <w:szCs w:val="21"/>
                <w14:textFill>
                  <w14:solidFill>
                    <w14:schemeClr w14:val="tx1"/>
                  </w14:solidFill>
                </w14:textFill>
              </w:rPr>
            </w:pPr>
            <w:r>
              <w:rPr>
                <w:szCs w:val="21"/>
              </w:rPr>
              <w:t>厂界噪声值执行《工业企业厂界环境噪声排放标准》（GB12348-2008）表1中2类标准。</w:t>
            </w:r>
          </w:p>
        </w:tc>
      </w:tr>
      <w:tr w14:paraId="308D0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Merge w:val="restart"/>
            <w:vAlign w:val="center"/>
          </w:tcPr>
          <w:p w14:paraId="1645328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大气环境</w:t>
            </w:r>
          </w:p>
        </w:tc>
        <w:tc>
          <w:tcPr>
            <w:tcW w:w="2019" w:type="pct"/>
            <w:vMerge w:val="restart"/>
            <w:vAlign w:val="center"/>
          </w:tcPr>
          <w:p w14:paraId="77B103B7">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工程应选择在枯水期分段进行，洒水抑尘措施，禁止大风天气施工，施工场地周边应设置围挡等措施，采取洒水保湿、苫布覆盖等措施可有效减小堆场扬尘。风大天气禁止土方开挖。车辆路过村屯，车速低于20km/h。每处清淤作业区完成后，淤泥堆放在淤泥临时堆放场地的临时占地进行晾晒，晾晒过程做好拦挡、遮盖等措施，并及时喷洒除臭剂，</w:t>
            </w:r>
            <w:r>
              <w:rPr>
                <w:rFonts w:hint="eastAsia"/>
                <w:color w:val="000000" w:themeColor="text1"/>
                <w:szCs w:val="21"/>
                <w14:textFill>
                  <w14:solidFill>
                    <w14:schemeClr w14:val="tx1"/>
                  </w14:solidFill>
                </w14:textFill>
              </w:rPr>
              <w:t>干化后全部由伊美区人民政府统一处理，</w:t>
            </w:r>
            <w:r>
              <w:rPr>
                <w:color w:val="000000" w:themeColor="text1"/>
                <w:szCs w:val="21"/>
                <w14:textFill>
                  <w14:solidFill>
                    <w14:schemeClr w14:val="tx1"/>
                  </w14:solidFill>
                </w14:textFill>
              </w:rPr>
              <w:t>本工程设置临时堆土区进行暂存，临时堆土区距位于疏浚工程区约3km，有公路可直达，交通便利</w:t>
            </w:r>
            <w:r>
              <w:rPr>
                <w:rFonts w:hint="eastAsia"/>
                <w:color w:val="000000" w:themeColor="text1"/>
                <w:szCs w:val="21"/>
                <w14:textFill>
                  <w14:solidFill>
                    <w14:schemeClr w14:val="tx1"/>
                  </w14:solidFill>
                </w14:textFill>
              </w:rPr>
              <w:t>。</w:t>
            </w:r>
          </w:p>
        </w:tc>
        <w:tc>
          <w:tcPr>
            <w:tcW w:w="892" w:type="pct"/>
            <w:vMerge w:val="restart"/>
            <w:vAlign w:val="center"/>
          </w:tcPr>
          <w:p w14:paraId="5CE88208">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施工期产生的粉尘排放浓度执行《大气污染物综合排放标准》(GB16297-1996)表2中无组织排放监控浓度限值；清淤产生的恶臭执行《恶臭污染物排放标准》（GB14554-93）限值要求</w:t>
            </w:r>
          </w:p>
        </w:tc>
        <w:tc>
          <w:tcPr>
            <w:tcW w:w="735" w:type="pct"/>
            <w:vAlign w:val="center"/>
          </w:tcPr>
          <w:p w14:paraId="5ED1652A">
            <w:pPr>
              <w:adjustRightInd w:val="0"/>
              <w:snapToGrid w:val="0"/>
              <w:rPr>
                <w:color w:val="000000" w:themeColor="text1"/>
                <w:szCs w:val="21"/>
                <w14:textFill>
                  <w14:solidFill>
                    <w14:schemeClr w14:val="tx1"/>
                  </w14:solidFill>
                </w14:textFill>
              </w:rPr>
            </w:pPr>
            <w:r>
              <w:rPr>
                <w:rFonts w:hint="eastAsia"/>
                <w:szCs w:val="21"/>
              </w:rPr>
              <w:t>锅炉烟气通过多管</w:t>
            </w:r>
            <w:r>
              <w:rPr>
                <w:szCs w:val="21"/>
              </w:rPr>
              <w:t>旋风+布袋除尘器+低氮燃烧器，排入一根</w:t>
            </w:r>
            <w:r>
              <w:rPr>
                <w:rFonts w:hint="eastAsia"/>
                <w:szCs w:val="21"/>
              </w:rPr>
              <w:t>35m</w:t>
            </w:r>
            <w:r>
              <w:rPr>
                <w:szCs w:val="21"/>
              </w:rPr>
              <w:t>高烟囱DA001放</w:t>
            </w:r>
          </w:p>
        </w:tc>
        <w:tc>
          <w:tcPr>
            <w:tcW w:w="729" w:type="pct"/>
            <w:vAlign w:val="center"/>
          </w:tcPr>
          <w:p w14:paraId="2222EA8E">
            <w:pPr>
              <w:adjustRightInd w:val="0"/>
              <w:snapToGrid w:val="0"/>
              <w:rPr>
                <w:color w:val="000000" w:themeColor="text1"/>
                <w:szCs w:val="21"/>
                <w14:textFill>
                  <w14:solidFill>
                    <w14:schemeClr w14:val="tx1"/>
                  </w14:solidFill>
                </w14:textFill>
              </w:rPr>
            </w:pPr>
            <w:r>
              <w:t>《锅炉大气污染物排放标准》（GB 13271-2014）中表</w:t>
            </w:r>
            <w:r>
              <w:rPr>
                <w:rFonts w:hint="eastAsia"/>
              </w:rPr>
              <w:t>3</w:t>
            </w:r>
            <w:r>
              <w:t>排放限值</w:t>
            </w:r>
          </w:p>
        </w:tc>
      </w:tr>
      <w:tr w14:paraId="07009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Merge w:val="continue"/>
            <w:vAlign w:val="center"/>
          </w:tcPr>
          <w:p w14:paraId="65F38C73">
            <w:pPr>
              <w:adjustRightInd w:val="0"/>
              <w:snapToGrid w:val="0"/>
              <w:jc w:val="center"/>
              <w:rPr>
                <w:color w:val="000000" w:themeColor="text1"/>
                <w:szCs w:val="21"/>
                <w14:textFill>
                  <w14:solidFill>
                    <w14:schemeClr w14:val="tx1"/>
                  </w14:solidFill>
                </w14:textFill>
              </w:rPr>
            </w:pPr>
          </w:p>
        </w:tc>
        <w:tc>
          <w:tcPr>
            <w:tcW w:w="2019" w:type="pct"/>
            <w:vMerge w:val="continue"/>
            <w:vAlign w:val="center"/>
          </w:tcPr>
          <w:p w14:paraId="4B6005B2">
            <w:pPr>
              <w:adjustRightInd w:val="0"/>
              <w:snapToGrid w:val="0"/>
              <w:rPr>
                <w:color w:val="000000" w:themeColor="text1"/>
                <w14:textFill>
                  <w14:solidFill>
                    <w14:schemeClr w14:val="tx1"/>
                  </w14:solidFill>
                </w14:textFill>
              </w:rPr>
            </w:pPr>
          </w:p>
        </w:tc>
        <w:tc>
          <w:tcPr>
            <w:tcW w:w="892" w:type="pct"/>
            <w:vMerge w:val="continue"/>
            <w:vAlign w:val="center"/>
          </w:tcPr>
          <w:p w14:paraId="3DC76969">
            <w:pPr>
              <w:adjustRightInd w:val="0"/>
              <w:snapToGrid w:val="0"/>
              <w:rPr>
                <w:color w:val="000000" w:themeColor="text1"/>
                <w14:textFill>
                  <w14:solidFill>
                    <w14:schemeClr w14:val="tx1"/>
                  </w14:solidFill>
                </w14:textFill>
              </w:rPr>
            </w:pPr>
          </w:p>
        </w:tc>
        <w:tc>
          <w:tcPr>
            <w:tcW w:w="735" w:type="pct"/>
            <w:vAlign w:val="center"/>
          </w:tcPr>
          <w:p w14:paraId="2623C2A1">
            <w:pPr>
              <w:adjustRightInd w:val="0"/>
              <w:snapToGrid w:val="0"/>
              <w:rPr>
                <w:szCs w:val="21"/>
              </w:rPr>
            </w:pPr>
            <w:r>
              <w:rPr>
                <w:rFonts w:hint="eastAsia"/>
                <w:szCs w:val="21"/>
              </w:rPr>
              <w:t>生物质锅炉出渣口设置封闭漏斗，灰渣通过漏斗由密封袋收集，收集后暂存在锅炉房内的灰渣间，灰渣转运过程中采取洒水降尘措施，灰渣间为全封闭，贮存过程中锅炉房定期洒水降尘。</w:t>
            </w:r>
          </w:p>
        </w:tc>
        <w:tc>
          <w:tcPr>
            <w:tcW w:w="729" w:type="pct"/>
            <w:vAlign w:val="center"/>
          </w:tcPr>
          <w:p w14:paraId="2207D82C">
            <w:pPr>
              <w:adjustRightInd w:val="0"/>
              <w:snapToGrid w:val="0"/>
            </w:pPr>
            <w:r>
              <w:t>《大气污染物综合排放标准》（GB16297-1996）表2中无组织排放浓度监控限值要求</w:t>
            </w:r>
          </w:p>
          <w:p w14:paraId="44EE5A07">
            <w:pPr>
              <w:adjustRightInd w:val="0"/>
              <w:snapToGrid w:val="0"/>
            </w:pPr>
          </w:p>
        </w:tc>
      </w:tr>
      <w:tr w14:paraId="2F9467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Merge w:val="continue"/>
            <w:vAlign w:val="center"/>
          </w:tcPr>
          <w:p w14:paraId="4992AF74">
            <w:pPr>
              <w:adjustRightInd w:val="0"/>
              <w:snapToGrid w:val="0"/>
              <w:jc w:val="center"/>
              <w:rPr>
                <w:color w:val="000000" w:themeColor="text1"/>
                <w:szCs w:val="21"/>
                <w14:textFill>
                  <w14:solidFill>
                    <w14:schemeClr w14:val="tx1"/>
                  </w14:solidFill>
                </w14:textFill>
              </w:rPr>
            </w:pPr>
          </w:p>
        </w:tc>
        <w:tc>
          <w:tcPr>
            <w:tcW w:w="2019" w:type="pct"/>
            <w:vMerge w:val="continue"/>
            <w:vAlign w:val="center"/>
          </w:tcPr>
          <w:p w14:paraId="1B61D1C1">
            <w:pPr>
              <w:adjustRightInd w:val="0"/>
              <w:snapToGrid w:val="0"/>
              <w:rPr>
                <w:color w:val="000000" w:themeColor="text1"/>
                <w14:textFill>
                  <w14:solidFill>
                    <w14:schemeClr w14:val="tx1"/>
                  </w14:solidFill>
                </w14:textFill>
              </w:rPr>
            </w:pPr>
          </w:p>
        </w:tc>
        <w:tc>
          <w:tcPr>
            <w:tcW w:w="892" w:type="pct"/>
            <w:vMerge w:val="continue"/>
            <w:vAlign w:val="center"/>
          </w:tcPr>
          <w:p w14:paraId="12B8A013">
            <w:pPr>
              <w:adjustRightInd w:val="0"/>
              <w:snapToGrid w:val="0"/>
              <w:rPr>
                <w:color w:val="000000" w:themeColor="text1"/>
                <w14:textFill>
                  <w14:solidFill>
                    <w14:schemeClr w14:val="tx1"/>
                  </w14:solidFill>
                </w14:textFill>
              </w:rPr>
            </w:pPr>
          </w:p>
        </w:tc>
        <w:tc>
          <w:tcPr>
            <w:tcW w:w="735" w:type="pct"/>
            <w:vAlign w:val="center"/>
          </w:tcPr>
          <w:p w14:paraId="4FE1ACE7">
            <w:pPr>
              <w:adjustRightInd w:val="0"/>
              <w:snapToGrid w:val="0"/>
              <w:rPr>
                <w:szCs w:val="21"/>
              </w:rPr>
            </w:pPr>
            <w:r>
              <w:rPr>
                <w:rFonts w:hint="eastAsia"/>
                <w:bCs/>
              </w:rPr>
              <w:t>餐厅安装高效油烟净化设施，油烟经净化器处理后引至屋顶排放</w:t>
            </w:r>
          </w:p>
        </w:tc>
        <w:tc>
          <w:tcPr>
            <w:tcW w:w="729" w:type="pct"/>
            <w:vAlign w:val="center"/>
          </w:tcPr>
          <w:p w14:paraId="1FB2F602">
            <w:pPr>
              <w:adjustRightInd w:val="0"/>
              <w:snapToGrid w:val="0"/>
            </w:pPr>
            <w:r>
              <w:t>《饮食业油烟排放标准》（GB18483-2001）</w:t>
            </w:r>
            <w:r>
              <w:rPr>
                <w:rFonts w:hint="eastAsia"/>
              </w:rPr>
              <w:t>大型</w:t>
            </w:r>
          </w:p>
        </w:tc>
      </w:tr>
      <w:tr w14:paraId="0014DC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2DFD07A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2019" w:type="pct"/>
            <w:vAlign w:val="center"/>
          </w:tcPr>
          <w:p w14:paraId="5F1B7971">
            <w:pPr>
              <w:adjustRightInd w:val="0"/>
              <w:snapToGrid w:val="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szCs w:val="32"/>
                <w14:textFill>
                  <w14:solidFill>
                    <w14:schemeClr w14:val="tx1"/>
                  </w14:solidFill>
                </w14:textFill>
              </w:rPr>
              <w:t>本项目施工过程产生的弃方全部由伊美区人民政府统一处理，</w:t>
            </w:r>
            <w:r>
              <w:rPr>
                <w:color w:val="000000" w:themeColor="text1"/>
                <w:szCs w:val="32"/>
                <w14:textFill>
                  <w14:solidFill>
                    <w14:schemeClr w14:val="tx1"/>
                  </w14:solidFill>
                </w14:textFill>
              </w:rPr>
              <w:t>本工程设置临时堆土区进行暂存，临时堆土区距位于疏浚工程区约3km，有公路可直达，交通便利</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建筑垃圾</w:t>
            </w:r>
            <w:r>
              <w:rPr>
                <w:rFonts w:hint="eastAsia"/>
                <w:color w:val="000000" w:themeColor="text1"/>
                <w14:textFill>
                  <w14:solidFill>
                    <w14:schemeClr w14:val="tx1"/>
                  </w14:solidFill>
                </w14:textFill>
              </w:rPr>
              <w:t>回收利用或</w:t>
            </w:r>
            <w:r>
              <w:rPr>
                <w:color w:val="000000" w:themeColor="text1"/>
                <w14:textFill>
                  <w14:solidFill>
                    <w14:schemeClr w14:val="tx1"/>
                  </w14:solidFill>
                </w14:textFill>
              </w:rPr>
              <w:t>统一清运至市政管理部门指定堆放点；</w:t>
            </w:r>
            <w:r>
              <w:rPr>
                <w:rFonts w:hint="eastAsia"/>
                <w:color w:val="000000" w:themeColor="text1"/>
                <w14:textFill>
                  <w14:solidFill>
                    <w14:schemeClr w14:val="tx1"/>
                  </w14:solidFill>
                </w14:textFill>
              </w:rPr>
              <w:t>③</w:t>
            </w:r>
            <w:r>
              <w:rPr>
                <w:color w:val="000000" w:themeColor="text1"/>
                <w14:textFill>
                  <w14:solidFill>
                    <w14:schemeClr w14:val="tx1"/>
                  </w14:solidFill>
                </w14:textFill>
              </w:rPr>
              <w:t>生活垃圾集中收集后交由环卫部门统一处理</w:t>
            </w:r>
            <w:r>
              <w:rPr>
                <w:rFonts w:hint="eastAsia"/>
                <w:color w:val="000000" w:themeColor="text1"/>
                <w14:textFill>
                  <w14:solidFill>
                    <w14:schemeClr w14:val="tx1"/>
                  </w14:solidFill>
                </w14:textFill>
              </w:rPr>
              <w:t>。</w:t>
            </w:r>
          </w:p>
        </w:tc>
        <w:tc>
          <w:tcPr>
            <w:tcW w:w="892" w:type="pct"/>
            <w:vAlign w:val="center"/>
          </w:tcPr>
          <w:p w14:paraId="3C0ED3D8">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落实相关措施，</w:t>
            </w:r>
            <w:r>
              <w:rPr>
                <w:rFonts w:hint="eastAsia"/>
                <w:color w:val="000000" w:themeColor="text1"/>
                <w14:textFill>
                  <w14:solidFill>
                    <w14:schemeClr w14:val="tx1"/>
                  </w14:solidFill>
                </w14:textFill>
              </w:rPr>
              <w:t>施工期固体废物处置率为1</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无乱丢乱弃。</w:t>
            </w:r>
          </w:p>
        </w:tc>
        <w:tc>
          <w:tcPr>
            <w:tcW w:w="735" w:type="pct"/>
            <w:vAlign w:val="center"/>
          </w:tcPr>
          <w:p w14:paraId="1FE1DF9C">
            <w:pPr>
              <w:adjustRightInd w:val="0"/>
              <w:snapToGrid w:val="0"/>
              <w:jc w:val="center"/>
              <w:rPr>
                <w:color w:val="000000" w:themeColor="text1"/>
                <w:szCs w:val="21"/>
                <w14:textFill>
                  <w14:solidFill>
                    <w14:schemeClr w14:val="tx1"/>
                  </w14:solidFill>
                </w14:textFill>
              </w:rPr>
            </w:pPr>
            <w:r>
              <w:rPr>
                <w:rFonts w:hint="eastAsia"/>
                <w:szCs w:val="21"/>
              </w:rPr>
              <w:t>本项目锅炉不在厂内保养，不会产生废机油等危险废物，锅炉灰渣、旋风除尘器和布袋除尘器收集粉尘，集中收集，密封暂存于灰渣间内，外售综合利用。</w:t>
            </w:r>
            <w:r>
              <w:rPr>
                <w:szCs w:val="21"/>
              </w:rPr>
              <w:t>废弃离子交换树脂</w:t>
            </w:r>
            <w:r>
              <w:rPr>
                <w:rFonts w:hint="eastAsia"/>
                <w:szCs w:val="21"/>
              </w:rPr>
              <w:t>和废布袋</w:t>
            </w:r>
            <w:r>
              <w:rPr>
                <w:szCs w:val="21"/>
              </w:rPr>
              <w:t>在</w:t>
            </w:r>
            <w:r>
              <w:rPr>
                <w:rFonts w:hint="eastAsia"/>
                <w:szCs w:val="21"/>
              </w:rPr>
              <w:t>灰渣间暂存</w:t>
            </w:r>
            <w:r>
              <w:rPr>
                <w:szCs w:val="21"/>
              </w:rPr>
              <w:t>，产生后</w:t>
            </w:r>
            <w:r>
              <w:rPr>
                <w:rFonts w:hint="eastAsia"/>
                <w:szCs w:val="21"/>
              </w:rPr>
              <w:t>由专业的回收单位</w:t>
            </w:r>
            <w:r>
              <w:rPr>
                <w:szCs w:val="21"/>
              </w:rPr>
              <w:t>回收处置；</w:t>
            </w:r>
            <w:r>
              <w:t>生活垃圾由环卫部门统一集中处理</w:t>
            </w:r>
            <w:r>
              <w:rPr>
                <w:rFonts w:hint="eastAsia"/>
              </w:rPr>
              <w:t>；餐厨垃圾存放在专用收集容器内，日产日清，</w:t>
            </w:r>
            <w:r>
              <w:t>委托有资质的单位进行处置；隔油池油污</w:t>
            </w:r>
            <w:r>
              <w:rPr>
                <w:rFonts w:hint="eastAsia"/>
              </w:rPr>
              <w:t>和废弃油脂</w:t>
            </w:r>
            <w:r>
              <w:t>定期清理并委托有资质的单位进行处置。</w:t>
            </w:r>
          </w:p>
        </w:tc>
        <w:tc>
          <w:tcPr>
            <w:tcW w:w="729" w:type="pct"/>
            <w:vAlign w:val="center"/>
          </w:tcPr>
          <w:p w14:paraId="374C2ADB">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7CAE7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625" w:type="pct"/>
            <w:vAlign w:val="center"/>
          </w:tcPr>
          <w:p w14:paraId="3B5A90F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电磁环境</w:t>
            </w:r>
          </w:p>
        </w:tc>
        <w:tc>
          <w:tcPr>
            <w:tcW w:w="2019" w:type="pct"/>
            <w:vAlign w:val="center"/>
          </w:tcPr>
          <w:p w14:paraId="1C77C4AC">
            <w:pPr>
              <w:adjustRightInd w:val="0"/>
              <w:snapToGrid w:val="0"/>
              <w:jc w:val="center"/>
              <w:rPr>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w:t>
            </w:r>
          </w:p>
        </w:tc>
        <w:tc>
          <w:tcPr>
            <w:tcW w:w="892" w:type="pct"/>
            <w:vAlign w:val="center"/>
          </w:tcPr>
          <w:p w14:paraId="39C0CE68">
            <w:pPr>
              <w:adjustRightInd w:val="0"/>
              <w:snapToGrid w:val="0"/>
              <w:jc w:val="center"/>
              <w:rPr>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w:t>
            </w:r>
          </w:p>
        </w:tc>
        <w:tc>
          <w:tcPr>
            <w:tcW w:w="735" w:type="pct"/>
            <w:vAlign w:val="center"/>
          </w:tcPr>
          <w:p w14:paraId="34BB300B">
            <w:pPr>
              <w:adjustRightInd w:val="0"/>
              <w:snapToGrid w:val="0"/>
              <w:jc w:val="center"/>
              <w:rPr>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w:t>
            </w:r>
          </w:p>
        </w:tc>
        <w:tc>
          <w:tcPr>
            <w:tcW w:w="729" w:type="pct"/>
            <w:vAlign w:val="center"/>
          </w:tcPr>
          <w:p w14:paraId="0C2EDBAF">
            <w:pPr>
              <w:adjustRightInd w:val="0"/>
              <w:snapToGrid w:val="0"/>
              <w:jc w:val="center"/>
              <w:rPr>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w:t>
            </w:r>
          </w:p>
        </w:tc>
      </w:tr>
      <w:tr w14:paraId="03E3E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625" w:type="pct"/>
            <w:vAlign w:val="center"/>
          </w:tcPr>
          <w:p w14:paraId="4C6C954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w:t>
            </w:r>
          </w:p>
        </w:tc>
        <w:tc>
          <w:tcPr>
            <w:tcW w:w="2019" w:type="pct"/>
            <w:vAlign w:val="center"/>
          </w:tcPr>
          <w:p w14:paraId="7CA8D43B">
            <w:pPr>
              <w:adjustRightInd w:val="0"/>
              <w:snapToGrid w:val="0"/>
              <w:rPr>
                <w:color w:val="000000" w:themeColor="text1"/>
                <w:szCs w:val="21"/>
                <w14:textFill>
                  <w14:solidFill>
                    <w14:schemeClr w14:val="tx1"/>
                  </w14:solidFill>
                </w14:textFill>
              </w:rPr>
            </w:pPr>
            <w:bookmarkStart w:id="51" w:name="_Hlk221278521"/>
            <w:r>
              <w:rPr>
                <w:color w:val="000000" w:themeColor="text1"/>
                <w:szCs w:val="21"/>
                <w14:textFill>
                  <w14:solidFill>
                    <w14:schemeClr w14:val="tx1"/>
                  </w14:solidFill>
                </w14:textFill>
              </w:rPr>
              <w:t>加强</w:t>
            </w:r>
            <w:r>
              <w:rPr>
                <w:rFonts w:hint="eastAsia"/>
                <w:color w:val="000000" w:themeColor="text1"/>
                <w:szCs w:val="21"/>
                <w14:textFill>
                  <w14:solidFill>
                    <w14:schemeClr w14:val="tx1"/>
                  </w14:solidFill>
                </w14:textFill>
              </w:rPr>
              <w:t>施工期</w:t>
            </w:r>
            <w:r>
              <w:rPr>
                <w:color w:val="000000" w:themeColor="text1"/>
                <w:szCs w:val="21"/>
                <w14:textFill>
                  <w14:solidFill>
                    <w14:schemeClr w14:val="tx1"/>
                  </w14:solidFill>
                </w14:textFill>
              </w:rPr>
              <w:t>教育</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强化管理</w:t>
            </w:r>
            <w:r>
              <w:rPr>
                <w:rFonts w:hint="eastAsia"/>
                <w:color w:val="000000" w:themeColor="text1"/>
                <w:szCs w:val="21"/>
                <w14:textFill>
                  <w14:solidFill>
                    <w14:schemeClr w14:val="tx1"/>
                  </w14:solidFill>
                </w14:textFill>
              </w:rPr>
              <w:t>，危险品运输过程</w:t>
            </w:r>
            <w:r>
              <w:rPr>
                <w:color w:val="000000" w:themeColor="text1"/>
                <w:szCs w:val="21"/>
                <w14:textFill>
                  <w14:solidFill>
                    <w14:schemeClr w14:val="tx1"/>
                  </w14:solidFill>
                </w14:textFill>
              </w:rPr>
              <w:t>严格按照国家有关规定执行，</w:t>
            </w:r>
            <w:r>
              <w:rPr>
                <w:rFonts w:hint="eastAsia"/>
                <w:color w:val="000000" w:themeColor="text1"/>
                <w:szCs w:val="21"/>
                <w14:textFill>
                  <w14:solidFill>
                    <w14:schemeClr w14:val="tx1"/>
                  </w14:solidFill>
                </w14:textFill>
              </w:rPr>
              <w:t>配备消防器材，运输路线避开环境敏感点，危险废物贮存点按要求设置防渗措施并设有明显标志，</w:t>
            </w:r>
            <w:r>
              <w:rPr>
                <w:color w:val="000000" w:themeColor="text1"/>
                <w:szCs w:val="21"/>
                <w14:textFill>
                  <w14:solidFill>
                    <w14:schemeClr w14:val="tx1"/>
                  </w14:solidFill>
                </w14:textFill>
              </w:rPr>
              <w:t>有跑冒滴漏或其他异常现象的应及时检修，规范岗位操作，降低事故概率</w:t>
            </w:r>
            <w:r>
              <w:rPr>
                <w:rFonts w:hint="eastAsia"/>
                <w:color w:val="000000" w:themeColor="text1"/>
                <w:szCs w:val="21"/>
                <w14:textFill>
                  <w14:solidFill>
                    <w14:schemeClr w14:val="tx1"/>
                  </w14:solidFill>
                </w14:textFill>
              </w:rPr>
              <w:t>发生</w:t>
            </w:r>
            <w:bookmarkEnd w:id="51"/>
            <w:r>
              <w:rPr>
                <w:rFonts w:hint="eastAsia"/>
                <w:color w:val="000000" w:themeColor="text1"/>
                <w:szCs w:val="21"/>
                <w14:textFill>
                  <w14:solidFill>
                    <w14:schemeClr w14:val="tx1"/>
                  </w14:solidFill>
                </w14:textFill>
              </w:rPr>
              <w:t>。</w:t>
            </w:r>
          </w:p>
        </w:tc>
        <w:tc>
          <w:tcPr>
            <w:tcW w:w="892" w:type="pct"/>
            <w:vAlign w:val="center"/>
          </w:tcPr>
          <w:p w14:paraId="73E2E82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落实风险防范措施</w:t>
            </w:r>
            <w:r>
              <w:rPr>
                <w:rFonts w:hint="eastAsia"/>
                <w:color w:val="000000" w:themeColor="text1"/>
                <w:szCs w:val="21"/>
                <w14:textFill>
                  <w14:solidFill>
                    <w14:schemeClr w14:val="tx1"/>
                  </w14:solidFill>
                </w14:textFill>
              </w:rPr>
              <w:t>，环境风险可控</w:t>
            </w:r>
          </w:p>
        </w:tc>
        <w:tc>
          <w:tcPr>
            <w:tcW w:w="735" w:type="pct"/>
            <w:vAlign w:val="center"/>
          </w:tcPr>
          <w:p w14:paraId="62F0D870">
            <w:pPr>
              <w:adjustRightInd w:val="0"/>
              <w:snapToGrid w:val="0"/>
              <w:rPr>
                <w:color w:val="000000" w:themeColor="text1"/>
                <w:szCs w:val="21"/>
                <w14:textFill>
                  <w14:solidFill>
                    <w14:schemeClr w14:val="tx1"/>
                  </w14:solidFill>
                </w14:textFill>
              </w:rPr>
            </w:pPr>
            <w:r>
              <w:rPr>
                <w:rFonts w:hint="eastAsia"/>
                <w:color w:val="000000" w:themeColor="text1"/>
                <w:szCs w:val="32"/>
                <w14:textFill>
                  <w14:solidFill>
                    <w14:schemeClr w14:val="tx1"/>
                  </w14:solidFill>
                </w14:textFill>
              </w:rPr>
              <w:t>在道路处</w:t>
            </w:r>
            <w:r>
              <w:rPr>
                <w:color w:val="000000" w:themeColor="text1"/>
                <w:szCs w:val="32"/>
                <w14:textFill>
                  <w14:solidFill>
                    <w14:schemeClr w14:val="tx1"/>
                  </w14:solidFill>
                </w14:textFill>
              </w:rPr>
              <w:t>设置标识标牌</w:t>
            </w:r>
          </w:p>
        </w:tc>
        <w:tc>
          <w:tcPr>
            <w:tcW w:w="729" w:type="pct"/>
            <w:vAlign w:val="center"/>
          </w:tcPr>
          <w:p w14:paraId="4CAC2A69">
            <w:pPr>
              <w:adjustRightInd w:val="0"/>
              <w:snapToGrid w:val="0"/>
              <w:rPr>
                <w:color w:val="000000" w:themeColor="text1"/>
                <w:szCs w:val="21"/>
                <w14:textFill>
                  <w14:solidFill>
                    <w14:schemeClr w14:val="tx1"/>
                  </w14:solidFill>
                </w14:textFill>
              </w:rPr>
            </w:pPr>
            <w:r>
              <w:rPr>
                <w:color w:val="000000" w:themeColor="text1"/>
                <w:szCs w:val="32"/>
                <w14:textFill>
                  <w14:solidFill>
                    <w14:schemeClr w14:val="tx1"/>
                  </w14:solidFill>
                </w14:textFill>
              </w:rPr>
              <w:t>设置了标识标牌</w:t>
            </w:r>
          </w:p>
        </w:tc>
      </w:tr>
      <w:tr w14:paraId="4BB937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25" w:type="pct"/>
            <w:vAlign w:val="center"/>
          </w:tcPr>
          <w:p w14:paraId="5893BCB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环境监测</w:t>
            </w:r>
          </w:p>
        </w:tc>
        <w:tc>
          <w:tcPr>
            <w:tcW w:w="2019" w:type="pct"/>
            <w:vAlign w:val="center"/>
          </w:tcPr>
          <w:p w14:paraId="36BAA339">
            <w:pPr>
              <w:adjustRightInd w:val="0"/>
              <w:snapToGrid w:val="0"/>
              <w:rPr>
                <w:color w:val="000000" w:themeColor="text1"/>
                <w:szCs w:val="21"/>
                <w14:textFill>
                  <w14:solidFill>
                    <w14:schemeClr w14:val="tx1"/>
                  </w14:solidFill>
                </w14:textFill>
              </w:rPr>
            </w:pPr>
            <w:r>
              <w:rPr>
                <w:color w:val="000000" w:themeColor="text1"/>
                <w:lang w:val="zh-CN"/>
                <w14:textFill>
                  <w14:solidFill>
                    <w14:schemeClr w14:val="tx1"/>
                  </w14:solidFill>
                </w14:textFill>
              </w:rPr>
              <w:t>对扬尘、施工场界噪声进行监测</w:t>
            </w:r>
          </w:p>
        </w:tc>
        <w:tc>
          <w:tcPr>
            <w:tcW w:w="892" w:type="pct"/>
            <w:vAlign w:val="center"/>
          </w:tcPr>
          <w:p w14:paraId="3114A224">
            <w:pPr>
              <w:adjustRightInd w:val="0"/>
              <w:snapToGrid w:val="0"/>
              <w:rPr>
                <w:color w:val="000000" w:themeColor="text1"/>
                <w:szCs w:val="21"/>
                <w14:textFill>
                  <w14:solidFill>
                    <w14:schemeClr w14:val="tx1"/>
                  </w14:solidFill>
                </w14:textFill>
              </w:rPr>
            </w:pPr>
            <w:r>
              <w:rPr>
                <w:color w:val="000000" w:themeColor="text1"/>
                <w:lang w:val="zh-CN"/>
                <w14:textFill>
                  <w14:solidFill>
                    <w14:schemeClr w14:val="tx1"/>
                  </w14:solidFill>
                </w14:textFill>
              </w:rPr>
              <w:t>落实相关监测计划</w:t>
            </w:r>
          </w:p>
        </w:tc>
        <w:tc>
          <w:tcPr>
            <w:tcW w:w="735" w:type="pct"/>
            <w:vAlign w:val="center"/>
          </w:tcPr>
          <w:p w14:paraId="7F9D1026">
            <w:pPr>
              <w:adjustRightInd w:val="0"/>
              <w:snapToGrid w:val="0"/>
              <w:jc w:val="center"/>
              <w:rPr>
                <w:color w:val="000000" w:themeColor="text1"/>
                <w:szCs w:val="21"/>
                <w14:textFill>
                  <w14:solidFill>
                    <w14:schemeClr w14:val="tx1"/>
                  </w14:solidFill>
                </w14:textFill>
              </w:rPr>
            </w:pPr>
            <w:r>
              <w:rPr>
                <w:rFonts w:hint="eastAsia"/>
                <w:color w:val="000000" w:themeColor="text1"/>
                <w:lang w:val="zh-CN"/>
                <w14:textFill>
                  <w14:solidFill>
                    <w14:schemeClr w14:val="tx1"/>
                  </w14:solidFill>
                </w14:textFill>
              </w:rPr>
              <w:t>废气、噪声</w:t>
            </w:r>
            <w:r>
              <w:rPr>
                <w:color w:val="000000" w:themeColor="text1"/>
                <w:lang w:val="zh-CN"/>
                <w14:textFill>
                  <w14:solidFill>
                    <w14:schemeClr w14:val="tx1"/>
                  </w14:solidFill>
                </w14:textFill>
              </w:rPr>
              <w:t>进行监测</w:t>
            </w:r>
          </w:p>
        </w:tc>
        <w:tc>
          <w:tcPr>
            <w:tcW w:w="729" w:type="pct"/>
            <w:vAlign w:val="center"/>
          </w:tcPr>
          <w:p w14:paraId="4781702D">
            <w:pPr>
              <w:adjustRightInd w:val="0"/>
              <w:snapToGrid w:val="0"/>
              <w:jc w:val="center"/>
              <w:rPr>
                <w:color w:val="000000" w:themeColor="text1"/>
                <w:szCs w:val="21"/>
                <w14:textFill>
                  <w14:solidFill>
                    <w14:schemeClr w14:val="tx1"/>
                  </w14:solidFill>
                </w14:textFill>
              </w:rPr>
            </w:pPr>
            <w:r>
              <w:rPr>
                <w:color w:val="000000" w:themeColor="text1"/>
                <w:lang w:val="zh-CN"/>
                <w14:textFill>
                  <w14:solidFill>
                    <w14:schemeClr w14:val="tx1"/>
                  </w14:solidFill>
                </w14:textFill>
              </w:rPr>
              <w:t>落实相关监测计划</w:t>
            </w:r>
          </w:p>
        </w:tc>
      </w:tr>
      <w:tr w14:paraId="343072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25" w:type="pct"/>
            <w:vAlign w:val="center"/>
          </w:tcPr>
          <w:p w14:paraId="1B89885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w:t>
            </w:r>
          </w:p>
        </w:tc>
        <w:tc>
          <w:tcPr>
            <w:tcW w:w="2019" w:type="pct"/>
            <w:vAlign w:val="center"/>
          </w:tcPr>
          <w:p w14:paraId="06402F46">
            <w:pPr>
              <w:adjustRightInd w:val="0"/>
              <w:snapToGrid w:val="0"/>
              <w:rPr>
                <w:color w:val="000000" w:themeColor="text1"/>
                <w:szCs w:val="21"/>
                <w14:textFill>
                  <w14:solidFill>
                    <w14:schemeClr w14:val="tx1"/>
                  </w14:solidFill>
                </w14:textFill>
              </w:rPr>
            </w:pPr>
            <w:r>
              <w:rPr>
                <w:color w:val="000000" w:themeColor="text1"/>
                <w14:textFill>
                  <w14:solidFill>
                    <w14:schemeClr w14:val="tx1"/>
                  </w14:solidFill>
                </w14:textFill>
              </w:rPr>
              <w:t>在施工人员进驻前进行一次清理消毒，为施工人员提供良好的居住及卫生条件；施工期间要做好环境卫生防疫工作</w:t>
            </w:r>
            <w:r>
              <w:rPr>
                <w:rFonts w:hint="eastAsia"/>
                <w:color w:val="000000" w:themeColor="text1"/>
                <w14:textFill>
                  <w14:solidFill>
                    <w14:schemeClr w14:val="tx1"/>
                  </w14:solidFill>
                </w14:textFill>
              </w:rPr>
              <w:t>。施工前应作详细计划，尽量减少开挖面，以减少植被的破坏；平整场地时尽量使用开挖土，对于开挖土尽量回用或合理堆放，减少水土流失。建设单位及施工单位应当重视施工过程的环境保护，加强对施工人员的环保培训，尽量减少土地的开挖量，减少对土地的占用，将对陆生生态影响降到最低。提高项目区植被覆盖率，改善区域生态环境。施工完毕后应及时对临时占地区域进行平整恢复。应加强宣传、教育，强化其保护环境的意识，文明施工，达到工程建设和环境保护的同步发展。</w:t>
            </w:r>
          </w:p>
        </w:tc>
        <w:tc>
          <w:tcPr>
            <w:tcW w:w="892" w:type="pct"/>
            <w:vAlign w:val="center"/>
          </w:tcPr>
          <w:p w14:paraId="676256B6">
            <w:pPr>
              <w:adjustRightInd w:val="0"/>
              <w:snapToGrid w:val="0"/>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w:t>
            </w:r>
          </w:p>
        </w:tc>
        <w:tc>
          <w:tcPr>
            <w:tcW w:w="735" w:type="pct"/>
            <w:vAlign w:val="center"/>
          </w:tcPr>
          <w:p w14:paraId="42A56C7E">
            <w:pPr>
              <w:adjustRightInd w:val="0"/>
              <w:snapToGrid w:val="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运营期加强巡查管护工作</w:t>
            </w:r>
          </w:p>
        </w:tc>
        <w:tc>
          <w:tcPr>
            <w:tcW w:w="729" w:type="pct"/>
            <w:vAlign w:val="center"/>
          </w:tcPr>
          <w:p w14:paraId="5F3FF896">
            <w:pPr>
              <w:adjustRightInd w:val="0"/>
              <w:snapToGrid w:val="0"/>
              <w:rPr>
                <w:color w:val="000000" w:themeColor="text1"/>
                <w:szCs w:val="21"/>
                <w14:textFill>
                  <w14:solidFill>
                    <w14:schemeClr w14:val="tx1"/>
                  </w14:solidFill>
                </w14:textFill>
              </w:rPr>
            </w:pPr>
            <w:r>
              <w:rPr>
                <w:rFonts w:eastAsia="黑体"/>
                <w:color w:val="000000" w:themeColor="text1"/>
                <w:szCs w:val="21"/>
                <w14:textFill>
                  <w14:solidFill>
                    <w14:schemeClr w14:val="tx1"/>
                  </w14:solidFill>
                </w14:textFill>
              </w:rPr>
              <w:t>/</w:t>
            </w:r>
          </w:p>
        </w:tc>
      </w:tr>
    </w:tbl>
    <w:p w14:paraId="4926CC4D">
      <w:pPr>
        <w:pStyle w:val="15"/>
        <w:spacing w:before="0" w:beforeAutospacing="0" w:line="14" w:lineRule="auto"/>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br w:type="page"/>
      </w:r>
    </w:p>
    <w:p w14:paraId="707890AB">
      <w:pPr>
        <w:pStyle w:val="15"/>
        <w:spacing w:before="192" w:beforeLines="80" w:before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52" w:name="_Toc232073029"/>
      <w:r>
        <w:rPr>
          <w:rFonts w:ascii="Times New Roman" w:hAnsi="Times New Roman" w:eastAsia="黑体"/>
          <w:snapToGrid w:val="0"/>
          <w:color w:val="000000" w:themeColor="text1"/>
          <w:sz w:val="30"/>
          <w:szCs w:val="30"/>
          <w14:textFill>
            <w14:solidFill>
              <w14:schemeClr w14:val="tx1"/>
            </w14:solidFill>
          </w14:textFill>
        </w:rPr>
        <w:t>七、结论</w:t>
      </w:r>
      <w:bookmarkEnd w:id="52"/>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6"/>
      </w:tblGrid>
      <w:tr w14:paraId="11C50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349" w:hRule="atLeast"/>
          <w:jc w:val="center"/>
        </w:trPr>
        <w:tc>
          <w:tcPr>
            <w:tcW w:w="5000" w:type="pct"/>
          </w:tcPr>
          <w:p w14:paraId="5C52E322">
            <w:pPr>
              <w:pStyle w:val="47"/>
              <w:ind w:firstLine="420"/>
              <w:rPr>
                <w:color w:val="000000" w:themeColor="text1"/>
                <w14:textFill>
                  <w14:solidFill>
                    <w14:schemeClr w14:val="tx1"/>
                  </w14:solidFill>
                </w14:textFill>
              </w:rPr>
            </w:pPr>
          </w:p>
          <w:p w14:paraId="72E088A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本项目建设项目符合国家产业政策要求，项目建设各个阶段在确保严格落实本报告表提出的污染物防治措施的前提下，对地表水环境、环境空气、声环境等的影响较小，可以被周围环境所接受，能够做到社会效益、经济效益和环境效益的统一。通过加强环境管理和环境监测，杜绝事故发生，本项目建设可被周围环境所接受。</w:t>
            </w:r>
          </w:p>
          <w:p w14:paraId="2AE79828">
            <w:pPr>
              <w:pStyle w:val="47"/>
              <w:ind w:firstLine="420"/>
              <w:rPr>
                <w:color w:val="000000" w:themeColor="text1"/>
                <w14:textFill>
                  <w14:solidFill>
                    <w14:schemeClr w14:val="tx1"/>
                  </w14:solidFill>
                </w14:textFill>
              </w:rPr>
            </w:pPr>
            <w:r>
              <w:rPr>
                <w:color w:val="000000" w:themeColor="text1"/>
                <w14:textFill>
                  <w14:solidFill>
                    <w14:schemeClr w14:val="tx1"/>
                  </w14:solidFill>
                </w14:textFill>
              </w:rPr>
              <w:t>因此，从环境保护角度分析，本项目</w:t>
            </w:r>
            <w:r>
              <w:rPr>
                <w:rFonts w:hint="eastAsia"/>
                <w:color w:val="000000" w:themeColor="text1"/>
                <w14:textFill>
                  <w14:solidFill>
                    <w14:schemeClr w14:val="tx1"/>
                  </w14:solidFill>
                </w14:textFill>
              </w:rPr>
              <w:t>的建设具有</w:t>
            </w:r>
            <w:r>
              <w:rPr>
                <w:color w:val="000000" w:themeColor="text1"/>
                <w14:textFill>
                  <w14:solidFill>
                    <w14:schemeClr w14:val="tx1"/>
                  </w14:solidFill>
                </w14:textFill>
              </w:rPr>
              <w:t>可行</w:t>
            </w:r>
            <w:r>
              <w:rPr>
                <w:rFonts w:hint="eastAsia"/>
                <w:color w:val="000000" w:themeColor="text1"/>
                <w14:textFill>
                  <w14:solidFill>
                    <w14:schemeClr w14:val="tx1"/>
                  </w14:solidFill>
                </w14:textFill>
              </w:rPr>
              <w:t>性。</w:t>
            </w:r>
          </w:p>
        </w:tc>
      </w:tr>
    </w:tbl>
    <w:p w14:paraId="4F59E676">
      <w:pPr>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46EB1176">
      <w:pPr>
        <w:pStyle w:val="15"/>
        <w:adjustRightInd w:val="0"/>
        <w:snapToGrid w:val="0"/>
        <w:spacing w:before="0" w:beforeAutospacing="0" w:after="0" w:afterAutospacing="0"/>
        <w:outlineLvl w:val="0"/>
        <w:rPr>
          <w:rFonts w:ascii="Times New Roman" w:hAnsi="Times New Roman" w:eastAsia="黑体"/>
          <w:snapToGrid w:val="0"/>
          <w:color w:val="000000" w:themeColor="text1"/>
          <w:sz w:val="32"/>
          <w:szCs w:val="32"/>
          <w14:textFill>
            <w14:solidFill>
              <w14:schemeClr w14:val="tx1"/>
            </w14:solidFill>
          </w14:textFill>
        </w:rPr>
      </w:pPr>
      <w:bookmarkStart w:id="53" w:name="_Toc232073030"/>
      <w:r>
        <w:rPr>
          <w:rFonts w:ascii="Times New Roman" w:hAnsi="Times New Roman" w:eastAsia="黑体"/>
          <w:snapToGrid w:val="0"/>
          <w:color w:val="000000" w:themeColor="text1"/>
          <w:sz w:val="32"/>
          <w:szCs w:val="32"/>
          <w14:textFill>
            <w14:solidFill>
              <w14:schemeClr w14:val="tx1"/>
            </w14:solidFill>
          </w14:textFill>
        </w:rPr>
        <w:t>附图</w:t>
      </w:r>
      <w:bookmarkEnd w:id="53"/>
    </w:p>
    <w:p w14:paraId="4309B87B">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54" w:name="_Toc232073031"/>
      <w:r>
        <w:rPr>
          <w:rFonts w:ascii="Times New Roman" w:hAnsi="Times New Roman" w:eastAsia="黑体"/>
          <w:snapToGrid w:val="0"/>
          <w:color w:val="000000" w:themeColor="text1"/>
          <w:sz w:val="21"/>
          <w:szCs w:val="21"/>
          <w14:textFill>
            <w14:solidFill>
              <w14:schemeClr w14:val="tx1"/>
            </w14:solidFill>
          </w14:textFill>
        </w:rPr>
        <w:t>附图</w:t>
      </w:r>
      <w:r>
        <w:rPr>
          <w:rFonts w:hint="eastAsia" w:ascii="Times New Roman" w:hAnsi="Times New Roman" w:eastAsia="黑体"/>
          <w:snapToGrid w:val="0"/>
          <w:color w:val="000000" w:themeColor="text1"/>
          <w:sz w:val="21"/>
          <w:szCs w:val="21"/>
          <w14:textFill>
            <w14:solidFill>
              <w14:schemeClr w14:val="tx1"/>
            </w14:solidFill>
          </w14:textFill>
        </w:rPr>
        <w:t>1</w:t>
      </w:r>
      <w:r>
        <w:rPr>
          <w:rFonts w:ascii="Times New Roman" w:hAnsi="Times New Roman" w:eastAsia="黑体"/>
          <w:snapToGrid w:val="0"/>
          <w:color w:val="000000" w:themeColor="text1"/>
          <w:sz w:val="21"/>
          <w:szCs w:val="21"/>
          <w14:textFill>
            <w14:solidFill>
              <w14:schemeClr w14:val="tx1"/>
            </w14:solidFill>
          </w14:textFill>
        </w:rPr>
        <w:t xml:space="preserve"> </w:t>
      </w:r>
      <w:r>
        <w:rPr>
          <w:rFonts w:hint="eastAsia" w:ascii="Times New Roman" w:hAnsi="Times New Roman" w:eastAsia="黑体"/>
          <w:snapToGrid w:val="0"/>
          <w:color w:val="000000" w:themeColor="text1"/>
          <w:sz w:val="21"/>
          <w:szCs w:val="21"/>
          <w14:textFill>
            <w14:solidFill>
              <w14:schemeClr w14:val="tx1"/>
            </w14:solidFill>
          </w14:textFill>
        </w:rPr>
        <w:t>地理位置图</w:t>
      </w:r>
      <w:bookmarkEnd w:id="54"/>
    </w:p>
    <w:p w14:paraId="66F70DA3">
      <w:pPr>
        <w:pStyle w:val="46"/>
        <w:rPr>
          <w:color w:val="000000" w:themeColor="text1"/>
          <w14:textFill>
            <w14:solidFill>
              <w14:schemeClr w14:val="tx1"/>
            </w14:solidFill>
          </w14:textFill>
        </w:rPr>
      </w:pPr>
      <w:r>
        <w:drawing>
          <wp:anchor distT="0" distB="0" distL="114300" distR="114300" simplePos="0" relativeHeight="251683840" behindDoc="0" locked="0" layoutInCell="1" allowOverlap="1">
            <wp:simplePos x="0" y="0"/>
            <wp:positionH relativeFrom="column">
              <wp:posOffset>7223760</wp:posOffset>
            </wp:positionH>
            <wp:positionV relativeFrom="paragraph">
              <wp:posOffset>7620</wp:posOffset>
            </wp:positionV>
            <wp:extent cx="855345" cy="829945"/>
            <wp:effectExtent l="0" t="0" r="1905" b="8255"/>
            <wp:wrapNone/>
            <wp:docPr id="28547131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71317" name="图片 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855345" cy="829945"/>
                    </a:xfrm>
                    <a:prstGeom prst="rect">
                      <a:avLst/>
                    </a:prstGeom>
                    <a:noFill/>
                    <a:ln>
                      <a:noFill/>
                    </a:ln>
                  </pic:spPr>
                </pic:pic>
              </a:graphicData>
            </a:graphic>
          </wp:anchor>
        </w:drawing>
      </w:r>
      <w:r>
        <w:drawing>
          <wp:inline distT="0" distB="0" distL="0" distR="0">
            <wp:extent cx="7340600" cy="5154930"/>
            <wp:effectExtent l="0" t="0" r="0" b="7620"/>
            <wp:docPr id="16942860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86089" name="图片 1"/>
                    <pic:cNvPicPr>
                      <a:picLocks noChangeAspect="1"/>
                    </pic:cNvPicPr>
                  </pic:nvPicPr>
                  <pic:blipFill>
                    <a:blip r:embed="rId40"/>
                    <a:stretch>
                      <a:fillRect/>
                    </a:stretch>
                  </pic:blipFill>
                  <pic:spPr>
                    <a:xfrm>
                      <a:off x="0" y="0"/>
                      <a:ext cx="7348750" cy="5161116"/>
                    </a:xfrm>
                    <a:prstGeom prst="rect">
                      <a:avLst/>
                    </a:prstGeom>
                  </pic:spPr>
                </pic:pic>
              </a:graphicData>
            </a:graphic>
          </wp:inline>
        </w:drawing>
      </w:r>
    </w:p>
    <w:p w14:paraId="5E742C89">
      <w:pPr>
        <w:rPr>
          <w:color w:val="000000" w:themeColor="text1"/>
          <w14:textFill>
            <w14:solidFill>
              <w14:schemeClr w14:val="tx1"/>
            </w14:solidFill>
          </w14:textFill>
        </w:rPr>
        <w:sectPr>
          <w:pgSz w:w="16838" w:h="11906" w:orient="landscape"/>
          <w:pgMar w:top="1440" w:right="1440" w:bottom="1440" w:left="1440" w:header="851" w:footer="1077" w:gutter="0"/>
          <w:cols w:space="425" w:num="1"/>
          <w:docGrid w:linePitch="312" w:charSpace="0"/>
        </w:sectPr>
      </w:pPr>
    </w:p>
    <w:p w14:paraId="08719CA4">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55" w:name="_Toc232073032"/>
      <w:r>
        <w:rPr>
          <w:rFonts w:ascii="Times New Roman" w:hAnsi="Times New Roman" w:eastAsia="黑体"/>
          <w:snapToGrid w:val="0"/>
          <w:color w:val="000000" w:themeColor="text1"/>
          <w:sz w:val="21"/>
          <w:szCs w:val="21"/>
          <w14:textFill>
            <w14:solidFill>
              <w14:schemeClr w14:val="tx1"/>
            </w14:solidFill>
          </w14:textFill>
        </w:rPr>
        <w:t xml:space="preserve">附图2 </w:t>
      </w:r>
      <w:r>
        <w:rPr>
          <w:rFonts w:hint="eastAsia" w:ascii="Times New Roman" w:hAnsi="Times New Roman" w:eastAsia="黑体"/>
          <w:snapToGrid w:val="0"/>
          <w:color w:val="000000" w:themeColor="text1"/>
          <w:sz w:val="21"/>
          <w:szCs w:val="21"/>
          <w14:textFill>
            <w14:solidFill>
              <w14:schemeClr w14:val="tx1"/>
            </w14:solidFill>
          </w14:textFill>
        </w:rPr>
        <w:t>平面布置图</w:t>
      </w:r>
      <w:bookmarkEnd w:id="55"/>
    </w:p>
    <w:p w14:paraId="0992EE90">
      <w:pPr>
        <w:pStyle w:val="46"/>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7185025</wp:posOffset>
            </wp:positionH>
            <wp:positionV relativeFrom="paragraph">
              <wp:posOffset>13335</wp:posOffset>
            </wp:positionV>
            <wp:extent cx="855345" cy="829945"/>
            <wp:effectExtent l="0" t="0" r="1905" b="8255"/>
            <wp:wrapNone/>
            <wp:docPr id="4059658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6581" name="图片 7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855345" cy="829945"/>
                    </a:xfrm>
                    <a:prstGeom prst="rect">
                      <a:avLst/>
                    </a:prstGeom>
                    <a:noFill/>
                    <a:ln>
                      <a:noFill/>
                    </a:ln>
                  </pic:spPr>
                </pic:pic>
              </a:graphicData>
            </a:graphic>
          </wp:anchor>
        </w:drawing>
      </w:r>
      <w:r>
        <w:t xml:space="preserve"> </w:t>
      </w:r>
      <w:r>
        <w:drawing>
          <wp:inline distT="0" distB="0" distL="0" distR="0">
            <wp:extent cx="7199630" cy="5378450"/>
            <wp:effectExtent l="0" t="0" r="1270" b="0"/>
            <wp:docPr id="1656814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14204" name="图片 1"/>
                    <pic:cNvPicPr>
                      <a:picLocks noChangeAspect="1"/>
                    </pic:cNvPicPr>
                  </pic:nvPicPr>
                  <pic:blipFill>
                    <a:blip r:embed="rId41"/>
                    <a:stretch>
                      <a:fillRect/>
                    </a:stretch>
                  </pic:blipFill>
                  <pic:spPr>
                    <a:xfrm>
                      <a:off x="0" y="0"/>
                      <a:ext cx="7201017" cy="5379604"/>
                    </a:xfrm>
                    <a:prstGeom prst="rect">
                      <a:avLst/>
                    </a:prstGeom>
                  </pic:spPr>
                </pic:pic>
              </a:graphicData>
            </a:graphic>
          </wp:inline>
        </w:drawing>
      </w:r>
    </w:p>
    <w:p w14:paraId="64D6B984">
      <w:pPr>
        <w:jc w:val="center"/>
        <w:rPr>
          <w:color w:val="000000" w:themeColor="text1"/>
          <w14:textFill>
            <w14:solidFill>
              <w14:schemeClr w14:val="tx1"/>
            </w14:solidFill>
          </w14:textFill>
        </w:rPr>
        <w:sectPr>
          <w:pgSz w:w="16838" w:h="11906" w:orient="landscape"/>
          <w:pgMar w:top="1440" w:right="1440" w:bottom="1440" w:left="1440" w:header="851" w:footer="1077" w:gutter="0"/>
          <w:cols w:space="425" w:num="1"/>
          <w:docGrid w:linePitch="312" w:charSpace="0"/>
        </w:sectPr>
      </w:pPr>
    </w:p>
    <w:p w14:paraId="1C97E76E">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56" w:name="_Toc232073033"/>
      <w:r>
        <w:rPr>
          <w:rFonts w:ascii="Times New Roman" w:hAnsi="Times New Roman" w:eastAsia="黑体"/>
          <w:snapToGrid w:val="0"/>
          <w:color w:val="000000" w:themeColor="text1"/>
          <w:sz w:val="21"/>
          <w:szCs w:val="21"/>
          <w14:textFill>
            <w14:solidFill>
              <w14:schemeClr w14:val="tx1"/>
            </w14:solidFill>
          </w14:textFill>
        </w:rPr>
        <w:t xml:space="preserve">附图3 </w:t>
      </w:r>
      <w:r>
        <w:rPr>
          <w:rFonts w:hint="eastAsia" w:ascii="Times New Roman" w:hAnsi="Times New Roman" w:eastAsia="黑体"/>
          <w:snapToGrid w:val="0"/>
          <w:color w:val="000000" w:themeColor="text1"/>
          <w:sz w:val="21"/>
          <w:szCs w:val="21"/>
          <w14:textFill>
            <w14:solidFill>
              <w14:schemeClr w14:val="tx1"/>
            </w14:solidFill>
          </w14:textFill>
        </w:rPr>
        <w:t>运营期评价范围图</w:t>
      </w:r>
      <w:bookmarkEnd w:id="56"/>
    </w:p>
    <w:p w14:paraId="787EAC18">
      <w:pPr>
        <w:pStyle w:val="54"/>
        <w:ind w:firstLine="0" w:firstLineChars="0"/>
        <w:rPr>
          <w:color w:val="000000" w:themeColor="text1"/>
          <w14:textFill>
            <w14:solidFill>
              <w14:schemeClr w14:val="tx1"/>
            </w14:solidFill>
          </w14:textFill>
        </w:rPr>
        <w:sectPr>
          <w:pgSz w:w="16838" w:h="11906" w:orient="landscape"/>
          <w:pgMar w:top="1440" w:right="1440" w:bottom="1440" w:left="1440" w:header="851" w:footer="1077" w:gutter="0"/>
          <w:cols w:space="425" w:num="1"/>
          <w:docGrid w:linePitch="312" w:charSpace="0"/>
        </w:sectPr>
      </w:pPr>
      <w:r>
        <w:drawing>
          <wp:anchor distT="0" distB="0" distL="114300" distR="114300" simplePos="0" relativeHeight="251677696" behindDoc="0" locked="0" layoutInCell="1" allowOverlap="1">
            <wp:simplePos x="0" y="0"/>
            <wp:positionH relativeFrom="column">
              <wp:posOffset>7676515</wp:posOffset>
            </wp:positionH>
            <wp:positionV relativeFrom="paragraph">
              <wp:posOffset>10160</wp:posOffset>
            </wp:positionV>
            <wp:extent cx="855345" cy="829945"/>
            <wp:effectExtent l="0" t="0" r="1905" b="8255"/>
            <wp:wrapNone/>
            <wp:docPr id="159249520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95209" name="图片 7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855345" cy="829945"/>
                    </a:xfrm>
                    <a:prstGeom prst="rect">
                      <a:avLst/>
                    </a:prstGeom>
                    <a:noFill/>
                    <a:ln>
                      <a:noFill/>
                    </a:ln>
                  </pic:spPr>
                </pic:pic>
              </a:graphicData>
            </a:graphic>
          </wp:anchor>
        </w:drawing>
      </w:r>
      <w:r>
        <w:drawing>
          <wp:anchor distT="0" distB="0" distL="114300" distR="114300" simplePos="0" relativeHeight="251676672" behindDoc="0" locked="0" layoutInCell="1" allowOverlap="1">
            <wp:simplePos x="0" y="0"/>
            <wp:positionH relativeFrom="column">
              <wp:posOffset>6560820</wp:posOffset>
            </wp:positionH>
            <wp:positionV relativeFrom="paragraph">
              <wp:posOffset>4436745</wp:posOffset>
            </wp:positionV>
            <wp:extent cx="1971040" cy="838835"/>
            <wp:effectExtent l="0" t="0" r="0" b="0"/>
            <wp:wrapNone/>
            <wp:docPr id="1777054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54660" name="图片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1978942" cy="841854"/>
                    </a:xfrm>
                    <a:prstGeom prst="rect">
                      <a:avLst/>
                    </a:prstGeom>
                  </pic:spPr>
                </pic:pic>
              </a:graphicData>
            </a:graphic>
          </wp:anchor>
        </w:drawing>
      </w:r>
      <w:r>
        <w:drawing>
          <wp:inline distT="0" distB="0" distL="0" distR="0">
            <wp:extent cx="8177530" cy="5272405"/>
            <wp:effectExtent l="0" t="0" r="0" b="4445"/>
            <wp:docPr id="702072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72572" name="图片 1"/>
                    <pic:cNvPicPr>
                      <a:picLocks noChangeAspect="1"/>
                    </pic:cNvPicPr>
                  </pic:nvPicPr>
                  <pic:blipFill>
                    <a:blip r:embed="rId43"/>
                    <a:stretch>
                      <a:fillRect/>
                    </a:stretch>
                  </pic:blipFill>
                  <pic:spPr>
                    <a:xfrm>
                      <a:off x="0" y="0"/>
                      <a:ext cx="8179587" cy="5274128"/>
                    </a:xfrm>
                    <a:prstGeom prst="rect">
                      <a:avLst/>
                    </a:prstGeom>
                  </pic:spPr>
                </pic:pic>
              </a:graphicData>
            </a:graphic>
          </wp:inline>
        </w:drawing>
      </w:r>
    </w:p>
    <w:p w14:paraId="0A961EB6">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57" w:name="_Toc232073034"/>
      <w:r>
        <w:rPr>
          <w:rFonts w:hint="eastAsia" w:ascii="Times New Roman" w:hAnsi="Times New Roman" w:eastAsia="黑体"/>
          <w:snapToGrid w:val="0"/>
          <w:color w:val="000000" w:themeColor="text1"/>
          <w:sz w:val="21"/>
          <w:szCs w:val="21"/>
          <w14:textFill>
            <w14:solidFill>
              <w14:schemeClr w14:val="tx1"/>
            </w14:solidFill>
          </w14:textFill>
        </w:rPr>
        <w:t>附图4</w:t>
      </w:r>
      <w:r>
        <w:rPr>
          <w:rFonts w:ascii="Times New Roman" w:hAnsi="Times New Roman" w:eastAsia="黑体"/>
          <w:snapToGrid w:val="0"/>
          <w:color w:val="000000" w:themeColor="text1"/>
          <w:sz w:val="21"/>
          <w:szCs w:val="21"/>
          <w14:textFill>
            <w14:solidFill>
              <w14:schemeClr w14:val="tx1"/>
            </w14:solidFill>
          </w14:textFill>
        </w:rPr>
        <w:t xml:space="preserve"> </w:t>
      </w:r>
      <w:r>
        <w:rPr>
          <w:rFonts w:hint="eastAsia" w:ascii="Times New Roman" w:hAnsi="Times New Roman" w:eastAsia="黑体"/>
          <w:snapToGrid w:val="0"/>
          <w:color w:val="000000" w:themeColor="text1"/>
          <w:sz w:val="21"/>
          <w:szCs w:val="21"/>
          <w14:textFill>
            <w14:solidFill>
              <w14:schemeClr w14:val="tx1"/>
            </w14:solidFill>
          </w14:textFill>
        </w:rPr>
        <w:t>疏浚工程布设方案图</w:t>
      </w:r>
      <w:bookmarkEnd w:id="57"/>
    </w:p>
    <w:p w14:paraId="5CDF846D">
      <w:pPr>
        <w:pStyle w:val="15"/>
        <w:adjustRightInd w:val="0"/>
        <w:snapToGrid w:val="0"/>
        <w:spacing w:before="0" w:beforeAutospacing="0" w:after="0" w:afterAutospacing="0"/>
        <w:jc w:val="center"/>
        <w:outlineLvl w:val="0"/>
        <w:rPr>
          <w:rFonts w:ascii="Times New Roman" w:hAnsi="Times New Roman" w:eastAsia="黑体"/>
          <w:snapToGrid w:val="0"/>
          <w:color w:val="000000" w:themeColor="text1"/>
          <w:sz w:val="21"/>
          <w:szCs w:val="21"/>
          <w14:textFill>
            <w14:solidFill>
              <w14:schemeClr w14:val="tx1"/>
            </w14:solidFill>
          </w14:textFill>
        </w:rPr>
      </w:pPr>
      <w:bookmarkStart w:id="58" w:name="_Toc232073035"/>
      <w:bookmarkStart w:id="59" w:name="_Toc232072708"/>
      <w:r>
        <w:drawing>
          <wp:inline distT="0" distB="0" distL="0" distR="0">
            <wp:extent cx="5279390" cy="5273675"/>
            <wp:effectExtent l="0" t="0" r="0" b="3175"/>
            <wp:docPr id="2122644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644832" name="图片 1"/>
                    <pic:cNvPicPr>
                      <a:picLocks noChangeAspect="1"/>
                    </pic:cNvPicPr>
                  </pic:nvPicPr>
                  <pic:blipFill>
                    <a:blip r:embed="rId44"/>
                    <a:stretch>
                      <a:fillRect/>
                    </a:stretch>
                  </pic:blipFill>
                  <pic:spPr>
                    <a:xfrm>
                      <a:off x="0" y="0"/>
                      <a:ext cx="5282327" cy="5277065"/>
                    </a:xfrm>
                    <a:prstGeom prst="rect">
                      <a:avLst/>
                    </a:prstGeom>
                  </pic:spPr>
                </pic:pic>
              </a:graphicData>
            </a:graphic>
          </wp:inline>
        </w:drawing>
      </w:r>
      <w:bookmarkEnd w:id="58"/>
      <w:bookmarkEnd w:id="59"/>
    </w:p>
    <w:p w14:paraId="4EEDA0AF">
      <w:pPr>
        <w:pStyle w:val="15"/>
        <w:adjustRightInd w:val="0"/>
        <w:snapToGrid w:val="0"/>
        <w:spacing w:before="0" w:beforeAutospacing="0" w:after="0" w:afterAutospacing="0"/>
        <w:jc w:val="center"/>
        <w:outlineLvl w:val="0"/>
        <w:rPr>
          <w:rFonts w:ascii="Times New Roman" w:hAnsi="Times New Roman" w:eastAsia="黑体"/>
          <w:snapToGrid w:val="0"/>
          <w:color w:val="000000" w:themeColor="text1"/>
          <w:sz w:val="21"/>
          <w:szCs w:val="21"/>
          <w14:textFill>
            <w14:solidFill>
              <w14:schemeClr w14:val="tx1"/>
            </w14:solidFill>
          </w14:textFill>
        </w:rPr>
      </w:pPr>
    </w:p>
    <w:p w14:paraId="5032B109">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0" w:name="_Toc232073036"/>
      <w:r>
        <w:rPr>
          <w:rFonts w:hint="eastAsia" w:ascii="Times New Roman" w:hAnsi="Times New Roman" w:eastAsia="黑体"/>
          <w:snapToGrid w:val="0"/>
          <w:color w:val="000000" w:themeColor="text1"/>
          <w:sz w:val="21"/>
          <w:szCs w:val="21"/>
          <w14:textFill>
            <w14:solidFill>
              <w14:schemeClr w14:val="tx1"/>
            </w14:solidFill>
          </w14:textFill>
        </w:rPr>
        <w:t>附图</w:t>
      </w:r>
      <w:r>
        <w:rPr>
          <w:rFonts w:ascii="Times New Roman" w:hAnsi="Times New Roman" w:eastAsia="黑体"/>
          <w:snapToGrid w:val="0"/>
          <w:color w:val="000000" w:themeColor="text1"/>
          <w:sz w:val="21"/>
          <w:szCs w:val="21"/>
          <w14:textFill>
            <w14:solidFill>
              <w14:schemeClr w14:val="tx1"/>
            </w14:solidFill>
          </w14:textFill>
        </w:rPr>
        <w:t xml:space="preserve">5 </w:t>
      </w:r>
      <w:r>
        <w:rPr>
          <w:rFonts w:hint="eastAsia" w:ascii="Times New Roman" w:hAnsi="Times New Roman" w:eastAsia="黑体"/>
          <w:snapToGrid w:val="0"/>
          <w:color w:val="000000" w:themeColor="text1"/>
          <w:sz w:val="21"/>
          <w:szCs w:val="21"/>
          <w14:textFill>
            <w14:solidFill>
              <w14:schemeClr w14:val="tx1"/>
            </w14:solidFill>
          </w14:textFill>
        </w:rPr>
        <w:t>施工期环境保护目标分布图</w:t>
      </w:r>
      <w:bookmarkEnd w:id="60"/>
    </w:p>
    <w:p w14:paraId="4D97AE41">
      <w:pPr>
        <w:pStyle w:val="54"/>
        <w:ind w:firstLine="0" w:firstLineChars="0"/>
      </w:pPr>
      <w:r>
        <w:rPr>
          <w:color w:val="000000" w:themeColor="text1"/>
          <w:sz w:val="24"/>
          <w:szCs w:val="32"/>
          <w14:textFill>
            <w14:solidFill>
              <w14:schemeClr w14:val="tx1"/>
            </w14:solidFill>
          </w14:textFill>
        </w:rPr>
        <w:drawing>
          <wp:anchor distT="0" distB="0" distL="114300" distR="114300" simplePos="0" relativeHeight="251675648" behindDoc="0" locked="0" layoutInCell="1" allowOverlap="1">
            <wp:simplePos x="0" y="0"/>
            <wp:positionH relativeFrom="margin">
              <wp:posOffset>7299960</wp:posOffset>
            </wp:positionH>
            <wp:positionV relativeFrom="paragraph">
              <wp:posOffset>8255</wp:posOffset>
            </wp:positionV>
            <wp:extent cx="855345" cy="829945"/>
            <wp:effectExtent l="0" t="0" r="1905" b="8255"/>
            <wp:wrapNone/>
            <wp:docPr id="147529893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98931" name="图片 7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855345" cy="829945"/>
                    </a:xfrm>
                    <a:prstGeom prst="rect">
                      <a:avLst/>
                    </a:prstGeom>
                    <a:noFill/>
                    <a:ln>
                      <a:noFill/>
                    </a:ln>
                  </pic:spPr>
                </pic:pic>
              </a:graphicData>
            </a:graphic>
          </wp:anchor>
        </w:drawing>
      </w:r>
      <w:r>
        <w:drawing>
          <wp:anchor distT="0" distB="0" distL="114300" distR="114300" simplePos="0" relativeHeight="251674624" behindDoc="0" locked="0" layoutInCell="1" allowOverlap="1">
            <wp:simplePos x="0" y="0"/>
            <wp:positionH relativeFrom="column">
              <wp:posOffset>6400165</wp:posOffset>
            </wp:positionH>
            <wp:positionV relativeFrom="paragraph">
              <wp:posOffset>4492625</wp:posOffset>
            </wp:positionV>
            <wp:extent cx="1724660" cy="842645"/>
            <wp:effectExtent l="0" t="0" r="8890" b="0"/>
            <wp:wrapNone/>
            <wp:docPr id="936317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17499"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724780" cy="842790"/>
                    </a:xfrm>
                    <a:prstGeom prst="rect">
                      <a:avLst/>
                    </a:prstGeom>
                  </pic:spPr>
                </pic:pic>
              </a:graphicData>
            </a:graphic>
          </wp:anchor>
        </w:drawing>
      </w:r>
      <w:r>
        <w:t xml:space="preserve"> </w:t>
      </w:r>
      <w:r>
        <w:drawing>
          <wp:inline distT="0" distB="0" distL="0" distR="0">
            <wp:extent cx="7350125" cy="5343525"/>
            <wp:effectExtent l="0" t="0" r="3175" b="9525"/>
            <wp:docPr id="2047462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62538" name="图片 1"/>
                    <pic:cNvPicPr>
                      <a:picLocks noChangeAspect="1"/>
                    </pic:cNvPicPr>
                  </pic:nvPicPr>
                  <pic:blipFill>
                    <a:blip r:embed="rId46"/>
                    <a:stretch>
                      <a:fillRect/>
                    </a:stretch>
                  </pic:blipFill>
                  <pic:spPr>
                    <a:xfrm>
                      <a:off x="0" y="0"/>
                      <a:ext cx="7352439" cy="5345398"/>
                    </a:xfrm>
                    <a:prstGeom prst="rect">
                      <a:avLst/>
                    </a:prstGeom>
                  </pic:spPr>
                </pic:pic>
              </a:graphicData>
            </a:graphic>
          </wp:inline>
        </w:drawing>
      </w:r>
    </w:p>
    <w:p w14:paraId="491FF1AE">
      <w:pPr>
        <w:pStyle w:val="54"/>
        <w:ind w:firstLine="0" w:firstLineChars="0"/>
        <w:rPr>
          <w:snapToGrid w:val="0"/>
          <w:color w:val="000000" w:themeColor="text1"/>
          <w:sz w:val="24"/>
          <w:szCs w:val="32"/>
          <w14:textFill>
            <w14:solidFill>
              <w14:schemeClr w14:val="tx1"/>
            </w14:solidFill>
          </w14:textFill>
        </w:rPr>
        <w:sectPr>
          <w:pgSz w:w="16838" w:h="11906" w:orient="landscape"/>
          <w:pgMar w:top="1440" w:right="1440" w:bottom="1440" w:left="1440" w:header="851" w:footer="1077" w:gutter="0"/>
          <w:cols w:space="425" w:num="1"/>
          <w:docGrid w:linePitch="312" w:charSpace="0"/>
        </w:sectPr>
      </w:pPr>
    </w:p>
    <w:p w14:paraId="6CA4743A">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1" w:name="_Toc232073037"/>
      <w:r>
        <w:rPr>
          <w:rFonts w:ascii="Times New Roman" w:hAnsi="Times New Roman" w:eastAsia="黑体"/>
          <w:snapToGrid w:val="0"/>
          <w:color w:val="000000" w:themeColor="text1"/>
          <w:sz w:val="21"/>
          <w:szCs w:val="21"/>
          <w14:textFill>
            <w14:solidFill>
              <w14:schemeClr w14:val="tx1"/>
            </w14:solidFill>
          </w14:textFill>
        </w:rPr>
        <w:t xml:space="preserve">附图5 </w:t>
      </w:r>
      <w:r>
        <w:rPr>
          <w:rFonts w:hint="eastAsia" w:ascii="Times New Roman" w:hAnsi="Times New Roman" w:eastAsia="黑体"/>
          <w:snapToGrid w:val="0"/>
          <w:color w:val="000000" w:themeColor="text1"/>
          <w:sz w:val="21"/>
          <w:szCs w:val="21"/>
          <w14:textFill>
            <w14:solidFill>
              <w14:schemeClr w14:val="tx1"/>
            </w14:solidFill>
          </w14:textFill>
        </w:rPr>
        <w:t>项目区域地表水系图</w:t>
      </w:r>
      <w:bookmarkEnd w:id="61"/>
    </w:p>
    <w:p w14:paraId="4937CFDA">
      <w:pPr>
        <w:pStyle w:val="46"/>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410200" cy="7728585"/>
            <wp:effectExtent l="0" t="0" r="0" b="5715"/>
            <wp:docPr id="194461515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15157" name="图片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412432" cy="7732290"/>
                    </a:xfrm>
                    <a:prstGeom prst="rect">
                      <a:avLst/>
                    </a:prstGeom>
                    <a:noFill/>
                    <a:ln>
                      <a:noFill/>
                    </a:ln>
                  </pic:spPr>
                </pic:pic>
              </a:graphicData>
            </a:graphic>
          </wp:inline>
        </w:drawing>
      </w:r>
    </w:p>
    <w:p w14:paraId="6C32B97C">
      <w:pPr>
        <w:jc w:val="center"/>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1E658555">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2" w:name="_Toc232073038"/>
      <w:r>
        <w:rPr>
          <w:rFonts w:ascii="Times New Roman" w:hAnsi="Times New Roman" w:eastAsia="黑体"/>
          <w:snapToGrid w:val="0"/>
          <w:color w:val="000000" w:themeColor="text1"/>
          <w:sz w:val="21"/>
          <w:szCs w:val="21"/>
          <w14:textFill>
            <w14:solidFill>
              <w14:schemeClr w14:val="tx1"/>
            </w14:solidFill>
          </w14:textFill>
        </w:rPr>
        <w:t xml:space="preserve">附图6 </w:t>
      </w:r>
      <w:r>
        <w:rPr>
          <w:rFonts w:hint="eastAsia" w:ascii="Times New Roman" w:hAnsi="Times New Roman" w:eastAsia="黑体"/>
          <w:snapToGrid w:val="0"/>
          <w:color w:val="000000" w:themeColor="text1"/>
          <w:sz w:val="21"/>
          <w:szCs w:val="21"/>
          <w14:textFill>
            <w14:solidFill>
              <w14:schemeClr w14:val="tx1"/>
            </w14:solidFill>
          </w14:textFill>
        </w:rPr>
        <w:t>生态环境保护措施示意图</w:t>
      </w:r>
      <w:bookmarkEnd w:id="62"/>
    </w:p>
    <w:p w14:paraId="6F1BEDD3">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4977130</wp:posOffset>
                </wp:positionH>
                <wp:positionV relativeFrom="paragraph">
                  <wp:posOffset>3281680</wp:posOffset>
                </wp:positionV>
                <wp:extent cx="1743710" cy="1038860"/>
                <wp:effectExtent l="0" t="0" r="27940" b="28575"/>
                <wp:wrapNone/>
                <wp:docPr id="54" name="文本框 54"/>
                <wp:cNvGraphicFramePr/>
                <a:graphic xmlns:a="http://schemas.openxmlformats.org/drawingml/2006/main">
                  <a:graphicData uri="http://schemas.microsoft.com/office/word/2010/wordprocessingShape">
                    <wps:wsp>
                      <wps:cNvSpPr txBox="1"/>
                      <wps:spPr>
                        <a:xfrm>
                          <a:off x="0" y="0"/>
                          <a:ext cx="1743710" cy="1038758"/>
                        </a:xfrm>
                        <a:prstGeom prst="rect">
                          <a:avLst/>
                        </a:prstGeom>
                        <a:solidFill>
                          <a:schemeClr val="lt1"/>
                        </a:solidFill>
                        <a:ln w="6350">
                          <a:solidFill>
                            <a:prstClr val="black"/>
                          </a:solidFill>
                        </a:ln>
                      </wps:spPr>
                      <wps:txbx>
                        <w:txbxContent>
                          <w:p w14:paraId="6A8D62C6">
                            <w:pPr>
                              <w:jc w:val="center"/>
                              <w:rPr>
                                <w:sz w:val="16"/>
                                <w:szCs w:val="20"/>
                              </w:rPr>
                            </w:pPr>
                            <w:r>
                              <w:rPr>
                                <w:rFonts w:hint="eastAsia"/>
                                <w:sz w:val="16"/>
                                <w:szCs w:val="20"/>
                              </w:rPr>
                              <w:t>施工道路防治区</w:t>
                            </w:r>
                          </w:p>
                          <w:p w14:paraId="3830767E">
                            <w:pPr>
                              <w:rPr>
                                <w:sz w:val="13"/>
                                <w:szCs w:val="16"/>
                              </w:rPr>
                            </w:pPr>
                            <w:r>
                              <w:rPr>
                                <w:rFonts w:hint="eastAsia"/>
                                <w:sz w:val="16"/>
                                <w:szCs w:val="20"/>
                              </w:rPr>
                              <w:t>施工道路占地采取钢板铺垫；施工结束后，对施工道路区域耕地部分进行土地复垦，林地区域进行</w:t>
                            </w:r>
                            <w:r>
                              <w:rPr>
                                <w:sz w:val="16"/>
                                <w:szCs w:val="20"/>
                              </w:rPr>
                              <w:t>平整覆植，主要撒播树种和草籽，</w:t>
                            </w:r>
                            <w:r>
                              <w:rPr>
                                <w:rFonts w:hint="eastAsia"/>
                                <w:sz w:val="16"/>
                                <w:szCs w:val="20"/>
                              </w:rPr>
                              <w:t>按现状植被进行1:</w:t>
                            </w:r>
                            <w:r>
                              <w:rPr>
                                <w:sz w:val="16"/>
                                <w:szCs w:val="20"/>
                              </w:rPr>
                              <w:t>1</w:t>
                            </w:r>
                            <w:r>
                              <w:rPr>
                                <w:rFonts w:hint="eastAsia"/>
                                <w:sz w:val="16"/>
                                <w:szCs w:val="20"/>
                              </w:rPr>
                              <w:t>恢复，</w:t>
                            </w:r>
                            <w:r>
                              <w:rPr>
                                <w:sz w:val="16"/>
                                <w:szCs w:val="20"/>
                              </w:rPr>
                              <w:t>种植当地优势灌、草</w:t>
                            </w:r>
                            <w:r>
                              <w:rPr>
                                <w:rFonts w:hint="eastAsia"/>
                                <w:sz w:val="16"/>
                                <w:szCs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9pt;margin-top:258.4pt;height:81.8pt;width:137.3pt;z-index:251659264;mso-width-relative:page;mso-height-relative:page;" fillcolor="#FFFFFF [3201]" filled="t" stroked="t" coordsize="21600,21600" o:gfxdata="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igm&#10;2dgAAAAMAQAADwAAAAAAAAABACAAAAAiAAAAZHJzL2Rvd25yZXYueG1sUEsBAhQAFAAAAAgAh07i&#10;QCrrpsVbAgAAugQAAA4AAAAAAAAAAQAgAAAAJwEAAGRycy9lMm9Eb2MueG1sUEsFBgAAAAAGAAYA&#10;WQEAAPQFAAAAAA==&#10;">
                <v:fill on="t" focussize="0,0"/>
                <v:stroke weight="0.5pt" color="#000000" joinstyle="round"/>
                <v:imagedata o:title=""/>
                <o:lock v:ext="edit" aspectratio="f"/>
                <v:textbox>
                  <w:txbxContent>
                    <w:p w14:paraId="6A8D62C6">
                      <w:pPr>
                        <w:jc w:val="center"/>
                        <w:rPr>
                          <w:sz w:val="16"/>
                          <w:szCs w:val="20"/>
                        </w:rPr>
                      </w:pPr>
                      <w:r>
                        <w:rPr>
                          <w:rFonts w:hint="eastAsia"/>
                          <w:sz w:val="16"/>
                          <w:szCs w:val="20"/>
                        </w:rPr>
                        <w:t>施工道路防治区</w:t>
                      </w:r>
                    </w:p>
                    <w:p w14:paraId="3830767E">
                      <w:pPr>
                        <w:rPr>
                          <w:sz w:val="13"/>
                          <w:szCs w:val="16"/>
                        </w:rPr>
                      </w:pPr>
                      <w:r>
                        <w:rPr>
                          <w:rFonts w:hint="eastAsia"/>
                          <w:sz w:val="16"/>
                          <w:szCs w:val="20"/>
                        </w:rPr>
                        <w:t>施工道路占地采取钢板铺垫；施工结束后，对施工道路区域耕地部分进行土地复垦，林地区域进行</w:t>
                      </w:r>
                      <w:r>
                        <w:rPr>
                          <w:sz w:val="16"/>
                          <w:szCs w:val="20"/>
                        </w:rPr>
                        <w:t>平整覆植，主要撒播树种和草籽，</w:t>
                      </w:r>
                      <w:r>
                        <w:rPr>
                          <w:rFonts w:hint="eastAsia"/>
                          <w:sz w:val="16"/>
                          <w:szCs w:val="20"/>
                        </w:rPr>
                        <w:t>按现状植被进行1:</w:t>
                      </w:r>
                      <w:r>
                        <w:rPr>
                          <w:sz w:val="16"/>
                          <w:szCs w:val="20"/>
                        </w:rPr>
                        <w:t>1</w:t>
                      </w:r>
                      <w:r>
                        <w:rPr>
                          <w:rFonts w:hint="eastAsia"/>
                          <w:sz w:val="16"/>
                          <w:szCs w:val="20"/>
                        </w:rPr>
                        <w:t>恢复，</w:t>
                      </w:r>
                      <w:r>
                        <w:rPr>
                          <w:sz w:val="16"/>
                          <w:szCs w:val="20"/>
                        </w:rPr>
                        <w:t>种植当地优势灌、草</w:t>
                      </w:r>
                      <w:r>
                        <w:rPr>
                          <w:rFonts w:hint="eastAsia"/>
                          <w:sz w:val="16"/>
                          <w:szCs w:val="20"/>
                        </w:rPr>
                        <w:t>。</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margin">
                  <wp:posOffset>1012825</wp:posOffset>
                </wp:positionH>
                <wp:positionV relativeFrom="paragraph">
                  <wp:posOffset>2902585</wp:posOffset>
                </wp:positionV>
                <wp:extent cx="1882775" cy="1034415"/>
                <wp:effectExtent l="0" t="0" r="22860" b="13335"/>
                <wp:wrapNone/>
                <wp:docPr id="56" name="文本框 56"/>
                <wp:cNvGraphicFramePr/>
                <a:graphic xmlns:a="http://schemas.openxmlformats.org/drawingml/2006/main">
                  <a:graphicData uri="http://schemas.microsoft.com/office/word/2010/wordprocessingShape">
                    <wps:wsp>
                      <wps:cNvSpPr txBox="1"/>
                      <wps:spPr>
                        <a:xfrm>
                          <a:off x="0" y="0"/>
                          <a:ext cx="1882546" cy="1034592"/>
                        </a:xfrm>
                        <a:prstGeom prst="rect">
                          <a:avLst/>
                        </a:prstGeom>
                        <a:solidFill>
                          <a:schemeClr val="lt1"/>
                        </a:solidFill>
                        <a:ln w="6350">
                          <a:solidFill>
                            <a:prstClr val="black"/>
                          </a:solidFill>
                        </a:ln>
                      </wps:spPr>
                      <wps:txbx>
                        <w:txbxContent>
                          <w:p w14:paraId="71EC8B65">
                            <w:pPr>
                              <w:jc w:val="center"/>
                              <w:rPr>
                                <w:sz w:val="16"/>
                                <w:szCs w:val="20"/>
                              </w:rPr>
                            </w:pPr>
                            <w:r>
                              <w:rPr>
                                <w:rFonts w:hint="eastAsia"/>
                                <w:sz w:val="16"/>
                                <w:szCs w:val="20"/>
                              </w:rPr>
                              <w:t>淤泥堆放场地防治区</w:t>
                            </w:r>
                          </w:p>
                          <w:p w14:paraId="0A1CC215">
                            <w:pPr>
                              <w:rPr>
                                <w:sz w:val="16"/>
                                <w:szCs w:val="20"/>
                              </w:rPr>
                            </w:pPr>
                            <w:r>
                              <w:rPr>
                                <w:rFonts w:hint="eastAsia"/>
                                <w:sz w:val="16"/>
                                <w:szCs w:val="20"/>
                              </w:rPr>
                              <w:t>每处清淤作业区完成后，淤泥堆放在淤泥临时堆放场地的临时占地进行晾晒，晾晒过程做好拦挡、遮盖等措施，并及时喷洒除臭剂；</w:t>
                            </w:r>
                          </w:p>
                          <w:p w14:paraId="54D9FC59">
                            <w:pPr>
                              <w:rPr>
                                <w:sz w:val="16"/>
                                <w:szCs w:val="20"/>
                              </w:rPr>
                            </w:pPr>
                            <w:r>
                              <w:rPr>
                                <w:rFonts w:hint="eastAsia"/>
                                <w:sz w:val="16"/>
                                <w:szCs w:val="20"/>
                              </w:rPr>
                              <w:t>设置临时防渗旱厕、沉淀池、隔油池、危险废物贮存点。落实地下水防渗措施。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75pt;margin-top:228.55pt;height:81.45pt;width:148.25pt;mso-position-horizontal-relative:margin;z-index:251660288;mso-width-relative:page;mso-height-relative:page;" fillcolor="#FFFFFF [3201]" filled="t" stroked="t" coordsize="21600,21600" o:gfxdata="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1pUbj&#10;1wAAAAsBAAAPAAAAAAAAAAEAIAAAACIAAABkcnMvZG93bnJldi54bWxQSwECFAAUAAAACACHTuJA&#10;NUH7J1sCAAC6BAAADgAAAAAAAAABACAAAAAmAQAAZHJzL2Uyb0RvYy54bWxQSwUGAAAAAAYABgBZ&#10;AQAA8wUAAAAA&#10;">
                <v:fill on="t" focussize="0,0"/>
                <v:stroke weight="0.5pt" color="#000000" joinstyle="round"/>
                <v:imagedata o:title=""/>
                <o:lock v:ext="edit" aspectratio="f"/>
                <v:textbox>
                  <w:txbxContent>
                    <w:p w14:paraId="71EC8B65">
                      <w:pPr>
                        <w:jc w:val="center"/>
                        <w:rPr>
                          <w:sz w:val="16"/>
                          <w:szCs w:val="20"/>
                        </w:rPr>
                      </w:pPr>
                      <w:r>
                        <w:rPr>
                          <w:rFonts w:hint="eastAsia"/>
                          <w:sz w:val="16"/>
                          <w:szCs w:val="20"/>
                        </w:rPr>
                        <w:t>淤泥堆放场地防治区</w:t>
                      </w:r>
                    </w:p>
                    <w:p w14:paraId="0A1CC215">
                      <w:pPr>
                        <w:rPr>
                          <w:sz w:val="16"/>
                          <w:szCs w:val="20"/>
                        </w:rPr>
                      </w:pPr>
                      <w:r>
                        <w:rPr>
                          <w:rFonts w:hint="eastAsia"/>
                          <w:sz w:val="16"/>
                          <w:szCs w:val="20"/>
                        </w:rPr>
                        <w:t>每处清淤作业区完成后，淤泥堆放在淤泥临时堆放场地的临时占地进行晾晒，晾晒过程做好拦挡、遮盖等措施，并及时喷洒除臭剂；</w:t>
                      </w:r>
                    </w:p>
                    <w:p w14:paraId="54D9FC59">
                      <w:pPr>
                        <w:rPr>
                          <w:sz w:val="16"/>
                          <w:szCs w:val="20"/>
                        </w:rPr>
                      </w:pPr>
                      <w:r>
                        <w:rPr>
                          <w:rFonts w:hint="eastAsia"/>
                          <w:sz w:val="16"/>
                          <w:szCs w:val="20"/>
                        </w:rPr>
                        <w:t>设置临时防渗旱厕、沉淀池、隔油池、危险废物贮存点。落实地下水防渗措施。</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margin">
                  <wp:posOffset>2557780</wp:posOffset>
                </wp:positionH>
                <wp:positionV relativeFrom="paragraph">
                  <wp:posOffset>566420</wp:posOffset>
                </wp:positionV>
                <wp:extent cx="1648460" cy="1563370"/>
                <wp:effectExtent l="0" t="0" r="27940" b="17780"/>
                <wp:wrapNone/>
                <wp:docPr id="62" name="文本框 62"/>
                <wp:cNvGraphicFramePr/>
                <a:graphic xmlns:a="http://schemas.openxmlformats.org/drawingml/2006/main">
                  <a:graphicData uri="http://schemas.microsoft.com/office/word/2010/wordprocessingShape">
                    <wps:wsp>
                      <wps:cNvSpPr txBox="1"/>
                      <wps:spPr>
                        <a:xfrm>
                          <a:off x="0" y="0"/>
                          <a:ext cx="1648460" cy="1563370"/>
                        </a:xfrm>
                        <a:prstGeom prst="rect">
                          <a:avLst/>
                        </a:prstGeom>
                        <a:solidFill>
                          <a:schemeClr val="lt1"/>
                        </a:solidFill>
                        <a:ln w="6350">
                          <a:solidFill>
                            <a:prstClr val="black"/>
                          </a:solidFill>
                        </a:ln>
                      </wps:spPr>
                      <wps:txbx>
                        <w:txbxContent>
                          <w:p w14:paraId="5F72B9E2">
                            <w:pPr>
                              <w:jc w:val="center"/>
                              <w:rPr>
                                <w:sz w:val="16"/>
                                <w:szCs w:val="20"/>
                              </w:rPr>
                            </w:pPr>
                            <w:r>
                              <w:rPr>
                                <w:rFonts w:hint="eastAsia"/>
                                <w:sz w:val="16"/>
                                <w:szCs w:val="20"/>
                              </w:rPr>
                              <w:t>清淤工程防治区</w:t>
                            </w:r>
                          </w:p>
                          <w:p w14:paraId="4F51EF90">
                            <w:pPr>
                              <w:rPr>
                                <w:sz w:val="16"/>
                                <w:szCs w:val="20"/>
                              </w:rPr>
                            </w:pPr>
                            <w:r>
                              <w:rPr>
                                <w:rFonts w:hint="eastAsia"/>
                                <w:sz w:val="16"/>
                                <w:szCs w:val="20"/>
                              </w:rPr>
                              <w:t>在疏浚过程期间设置过滤网、防泥幕布等措施，降低颗粒物质在水中的流动。淤泥沥水经收集后引入沉淀池，经沉淀池澄清后上清液回用于周边场地洒水抑尘；</w:t>
                            </w:r>
                          </w:p>
                          <w:p w14:paraId="0A26CECF">
                            <w:pPr>
                              <w:rPr>
                                <w:sz w:val="16"/>
                                <w:szCs w:val="20"/>
                              </w:rPr>
                            </w:pPr>
                            <w:r>
                              <w:rPr>
                                <w:sz w:val="16"/>
                                <w:szCs w:val="20"/>
                              </w:rPr>
                              <w:t>选用低噪声机械设备，对振动大的机械设备，采用隔振胶垫或减振机座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4pt;margin-top:44.6pt;height:123.1pt;width:129.8pt;mso-position-horizontal-relative:margin;z-index:251672576;mso-width-relative:page;mso-height-relative:page;" fillcolor="#FFFFFF [3201]" filled="t" stroked="t" coordsize="21600,21600" o:gfxdata="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6z9oo&#10;1wAAAAoBAAAPAAAAAAAAAAEAIAAAACIAAABkcnMvZG93bnJldi54bWxQSwECFAAUAAAACACHTuJA&#10;he2rOlsCAAC6BAAADgAAAAAAAAABACAAAAAmAQAAZHJzL2Uyb0RvYy54bWxQSwUGAAAAAAYABgBZ&#10;AQAA8wUAAAAA&#10;">
                <v:fill on="t" focussize="0,0"/>
                <v:stroke weight="0.5pt" color="#000000" joinstyle="round"/>
                <v:imagedata o:title=""/>
                <o:lock v:ext="edit" aspectratio="f"/>
                <v:textbox>
                  <w:txbxContent>
                    <w:p w14:paraId="5F72B9E2">
                      <w:pPr>
                        <w:jc w:val="center"/>
                        <w:rPr>
                          <w:sz w:val="16"/>
                          <w:szCs w:val="20"/>
                        </w:rPr>
                      </w:pPr>
                      <w:r>
                        <w:rPr>
                          <w:rFonts w:hint="eastAsia"/>
                          <w:sz w:val="16"/>
                          <w:szCs w:val="20"/>
                        </w:rPr>
                        <w:t>清淤工程防治区</w:t>
                      </w:r>
                    </w:p>
                    <w:p w14:paraId="4F51EF90">
                      <w:pPr>
                        <w:rPr>
                          <w:sz w:val="16"/>
                          <w:szCs w:val="20"/>
                        </w:rPr>
                      </w:pPr>
                      <w:r>
                        <w:rPr>
                          <w:rFonts w:hint="eastAsia"/>
                          <w:sz w:val="16"/>
                          <w:szCs w:val="20"/>
                        </w:rPr>
                        <w:t>在疏浚过程期间设置过滤网、防泥幕布等措施，降低颗粒物质在水中的流动。淤泥沥水经收集后引入沉淀池，经沉淀池澄清后上清液回用于周边场地洒水抑尘；</w:t>
                      </w:r>
                    </w:p>
                    <w:p w14:paraId="0A26CECF">
                      <w:pPr>
                        <w:rPr>
                          <w:sz w:val="16"/>
                          <w:szCs w:val="20"/>
                        </w:rPr>
                      </w:pPr>
                      <w:r>
                        <w:rPr>
                          <w:sz w:val="16"/>
                          <w:szCs w:val="20"/>
                        </w:rPr>
                        <w:t>选用低噪声机械设备，对振动大的机械设备，采用隔振胶垫或减振机座</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5359400</wp:posOffset>
                </wp:positionH>
                <wp:positionV relativeFrom="paragraph">
                  <wp:posOffset>7756525</wp:posOffset>
                </wp:positionV>
                <wp:extent cx="191135" cy="116840"/>
                <wp:effectExtent l="0" t="0" r="0" b="0"/>
                <wp:wrapNone/>
                <wp:docPr id="601682211" name="矩形 2"/>
                <wp:cNvGraphicFramePr/>
                <a:graphic xmlns:a="http://schemas.openxmlformats.org/drawingml/2006/main">
                  <a:graphicData uri="http://schemas.microsoft.com/office/word/2010/wordprocessingShape">
                    <wps:wsp>
                      <wps:cNvSpPr/>
                      <wps:spPr>
                        <a:xfrm>
                          <a:off x="0" y="0"/>
                          <a:ext cx="191135" cy="116840"/>
                        </a:xfrm>
                        <a:prstGeom prst="rect">
                          <a:avLst/>
                        </a:prstGeom>
                        <a:solidFill>
                          <a:srgbClr val="18F02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422pt;margin-top:610.75pt;height:9.2pt;width:15.05pt;z-index:251664384;v-text-anchor:middle;mso-width-relative:page;mso-height-relative:page;" fillcolor="#18F02D" filled="t" stroked="f" coordsize="21600,21600" o:gfxdata="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fcd2d0AAAANAQAADwAAAAAAAAABACAAAAAiAAAAZHJz&#10;L2Rvd25yZXYueG1sUEsBAhQAFAAAAAgAh07iQLXh3Q5xAgAA0gQAAA4AAAAAAAAAAQAgAAAALAEA&#10;AGRycy9lMm9Eb2MueG1sUEsFBgAAAAAGAAYAWQEAAA8GAAAAAA==&#10;">
                <v:fill on="t" focussize="0,0"/>
                <v:stroke on="f" weight="1pt" miterlimit="8" joinstyle="miter"/>
                <v:imagedata o:title=""/>
                <o:lock v:ext="edit" aspectratio="f"/>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7646035</wp:posOffset>
                </wp:positionV>
                <wp:extent cx="445770" cy="0"/>
                <wp:effectExtent l="0" t="19050" r="30480" b="19050"/>
                <wp:wrapNone/>
                <wp:docPr id="890210862" name="直接连接符 890210862"/>
                <wp:cNvGraphicFramePr/>
                <a:graphic xmlns:a="http://schemas.openxmlformats.org/drawingml/2006/main">
                  <a:graphicData uri="http://schemas.microsoft.com/office/word/2010/wordprocessingShape">
                    <wps:wsp>
                      <wps:cNvCnPr/>
                      <wps:spPr>
                        <a:xfrm>
                          <a:off x="0" y="0"/>
                          <a:ext cx="4457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602.05pt;height:0pt;width:35.1pt;mso-position-horizontal:right;mso-position-horizontal-relative:margin;z-index:251662336;mso-width-relative:page;mso-height-relative:page;" filled="f" stroked="t" coordsize="21600,21600" o:gfxdata="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1It+rWAAAACQEAAA8AAAAAAAAAAQAgAAAAIgAAAGRycy9kb3ducmV2LnhtbFBLAQIUABQAAAAI&#10;AIdO4kDZuVfs7wEAAMEDAAAOAAAAAAAAAAEAIAAAACUBAABkcnMvZTJvRG9jLnhtbFBLBQYAAAAA&#10;BgAGAFkBAACGBQAAAAA=&#10;">
                <v:fill on="f" focussize="0,0"/>
                <v:stroke weight="2.25pt" color="#FF0000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7459980</wp:posOffset>
                </wp:positionV>
                <wp:extent cx="445770" cy="0"/>
                <wp:effectExtent l="0" t="19050" r="30480" b="19050"/>
                <wp:wrapNone/>
                <wp:docPr id="1062914291" name="直接连接符 1062914291"/>
                <wp:cNvGraphicFramePr/>
                <a:graphic xmlns:a="http://schemas.openxmlformats.org/drawingml/2006/main">
                  <a:graphicData uri="http://schemas.microsoft.com/office/word/2010/wordprocessingShape">
                    <wps:wsp>
                      <wps:cNvCnPr/>
                      <wps:spPr>
                        <a:xfrm>
                          <a:off x="0" y="0"/>
                          <a:ext cx="445770" cy="0"/>
                        </a:xfrm>
                        <a:prstGeom prst="line">
                          <a:avLst/>
                        </a:prstGeom>
                        <a:ln w="28575">
                          <a:solidFill>
                            <a:srgbClr val="66FF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87.4pt;height:0pt;width:35.1pt;mso-position-horizontal:right;mso-position-horizontal-relative:margin;z-index:251663360;mso-width-relative:page;mso-height-relative:page;" filled="f" stroked="t" coordsize="21600,21600" o:gfxdata="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ZPFnf1gAAAAkBAAAPAAAAAAAAAAEAIAAAACIAAABkcnMvZG93bnJldi54bWxQSwECFAAUAAAA&#10;CACHTuJAHPW8T/ABAADDAwAADgAAAAAAAAABACAAAAAlAQAAZHJzL2Uyb0RvYy54bWxQSwUGAAAA&#10;AAYABgBZAQAAhwUAAAAA&#10;">
                <v:fill on="f" focussize="0,0"/>
                <v:stroke weight="2.25pt" color="#66FFFF [3204]" miterlimit="8" joinstyle="miter"/>
                <v:imagedata o:title=""/>
                <o:lock v:ext="edit" aspectratio="f"/>
              </v:lin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4157980</wp:posOffset>
                </wp:positionH>
                <wp:positionV relativeFrom="paragraph">
                  <wp:posOffset>7164070</wp:posOffset>
                </wp:positionV>
                <wp:extent cx="1590040" cy="809625"/>
                <wp:effectExtent l="0" t="0" r="10160" b="28575"/>
                <wp:wrapNone/>
                <wp:docPr id="628220931" name="文本框 628220931"/>
                <wp:cNvGraphicFramePr/>
                <a:graphic xmlns:a="http://schemas.openxmlformats.org/drawingml/2006/main">
                  <a:graphicData uri="http://schemas.microsoft.com/office/word/2010/wordprocessingShape">
                    <wps:wsp>
                      <wps:cNvSpPr txBox="1"/>
                      <wps:spPr>
                        <a:xfrm>
                          <a:off x="0" y="0"/>
                          <a:ext cx="1590040" cy="809625"/>
                        </a:xfrm>
                        <a:prstGeom prst="rect">
                          <a:avLst/>
                        </a:prstGeom>
                        <a:solidFill>
                          <a:schemeClr val="lt1"/>
                        </a:solidFill>
                        <a:ln w="6350">
                          <a:solidFill>
                            <a:prstClr val="black"/>
                          </a:solidFill>
                        </a:ln>
                      </wps:spPr>
                      <wps:txbx>
                        <w:txbxContent>
                          <w:p w14:paraId="4A6FCC50">
                            <w:pPr>
                              <w:jc w:val="center"/>
                            </w:pPr>
                            <w:r>
                              <w:rPr>
                                <w:rFonts w:hint="eastAsia"/>
                              </w:rPr>
                              <w:t xml:space="preserve">图 </w:t>
                            </w:r>
                            <w:r>
                              <w:t xml:space="preserve"> </w:t>
                            </w:r>
                            <w:r>
                              <w:rPr>
                                <w:rFonts w:hint="eastAsia"/>
                              </w:rPr>
                              <w:t>例</w:t>
                            </w:r>
                          </w:p>
                          <w:p w14:paraId="3DFDEDF5">
                            <w:r>
                              <w:rPr>
                                <w:rFonts w:hint="eastAsia"/>
                              </w:rPr>
                              <w:t>施工道路防治区</w:t>
                            </w:r>
                          </w:p>
                          <w:p w14:paraId="519EA220">
                            <w:r>
                              <w:rPr>
                                <w:rFonts w:hint="eastAsia"/>
                              </w:rPr>
                              <w:t>防治区</w:t>
                            </w:r>
                          </w:p>
                          <w:p w14:paraId="7C88C5DA">
                            <w:r>
                              <w:rPr>
                                <w:rFonts w:hint="eastAsia"/>
                              </w:rPr>
                              <w:t>施工临建区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4pt;margin-top:564.1pt;height:63.75pt;width:125.2pt;z-index:251661312;mso-width-relative:page;mso-height-relative:page;" fillcolor="#FFFFFF [3201]" filled="t" stroked="t" coordsize="21600,21600" o:gfxdata="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22hyZ2QAAAA0BAAAPAAAAAAAAAAEAIAAAACIAAABkcnMvZG93bnJldi54bWxQSwECFAAUAAAA&#10;CACHTuJAwMdhk18CAADHBAAADgAAAAAAAAABACAAAAAoAQAAZHJzL2Uyb0RvYy54bWxQSwUGAAAA&#10;AAYABgBZAQAA+QUAAAAA&#10;">
                <v:fill on="t" focussize="0,0"/>
                <v:stroke weight="0.5pt" color="#000000" joinstyle="round"/>
                <v:imagedata o:title=""/>
                <o:lock v:ext="edit" aspectratio="f"/>
                <v:textbox>
                  <w:txbxContent>
                    <w:p w14:paraId="4A6FCC50">
                      <w:pPr>
                        <w:jc w:val="center"/>
                      </w:pPr>
                      <w:r>
                        <w:rPr>
                          <w:rFonts w:hint="eastAsia"/>
                        </w:rPr>
                        <w:t xml:space="preserve">图 </w:t>
                      </w:r>
                      <w:r>
                        <w:t xml:space="preserve"> </w:t>
                      </w:r>
                      <w:r>
                        <w:rPr>
                          <w:rFonts w:hint="eastAsia"/>
                        </w:rPr>
                        <w:t>例</w:t>
                      </w:r>
                    </w:p>
                    <w:p w14:paraId="3DFDEDF5">
                      <w:r>
                        <w:rPr>
                          <w:rFonts w:hint="eastAsia"/>
                        </w:rPr>
                        <w:t>施工道路防治区</w:t>
                      </w:r>
                    </w:p>
                    <w:p w14:paraId="519EA220">
                      <w:r>
                        <w:rPr>
                          <w:rFonts w:hint="eastAsia"/>
                        </w:rPr>
                        <w:t>防治区</w:t>
                      </w:r>
                    </w:p>
                    <w:p w14:paraId="7C88C5DA">
                      <w:r>
                        <w:rPr>
                          <w:rFonts w:hint="eastAsia"/>
                        </w:rPr>
                        <w:t>施工临建区</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46355</wp:posOffset>
            </wp:positionH>
            <wp:positionV relativeFrom="paragraph">
              <wp:posOffset>7367270</wp:posOffset>
            </wp:positionV>
            <wp:extent cx="873760" cy="152400"/>
            <wp:effectExtent l="0" t="0" r="3175" b="635"/>
            <wp:wrapNone/>
            <wp:docPr id="263438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38861" name="图片 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873456" cy="152092"/>
                    </a:xfrm>
                    <a:prstGeom prst="rect">
                      <a:avLst/>
                    </a:prstGeom>
                  </pic:spPr>
                </pic:pic>
              </a:graphicData>
            </a:graphic>
          </wp:anchor>
        </w:drawing>
      </w:r>
      <w:r>
        <w:drawing>
          <wp:inline distT="0" distB="0" distL="0" distR="0">
            <wp:extent cx="7340600" cy="5154930"/>
            <wp:effectExtent l="0" t="0" r="0" b="7620"/>
            <wp:docPr id="1920455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55826" name="图片 1"/>
                    <pic:cNvPicPr>
                      <a:picLocks noChangeAspect="1"/>
                    </pic:cNvPicPr>
                  </pic:nvPicPr>
                  <pic:blipFill>
                    <a:blip r:embed="rId40"/>
                    <a:stretch>
                      <a:fillRect/>
                    </a:stretch>
                  </pic:blipFill>
                  <pic:spPr>
                    <a:xfrm>
                      <a:off x="0" y="0"/>
                      <a:ext cx="7348750" cy="5161116"/>
                    </a:xfrm>
                    <a:prstGeom prst="rect">
                      <a:avLst/>
                    </a:prstGeom>
                  </pic:spPr>
                </pic:pic>
              </a:graphicData>
            </a:graphic>
          </wp:inline>
        </w:drawing>
      </w:r>
    </w:p>
    <w:p w14:paraId="251F2396">
      <w:pPr>
        <w:jc w:val="center"/>
        <w:rPr>
          <w:color w:val="000000" w:themeColor="text1"/>
          <w14:textFill>
            <w14:solidFill>
              <w14:schemeClr w14:val="tx1"/>
            </w14:solidFill>
          </w14:textFill>
        </w:rPr>
        <w:sectPr>
          <w:pgSz w:w="16838" w:h="11906" w:orient="landscape"/>
          <w:pgMar w:top="1440" w:right="1440" w:bottom="1440" w:left="1440" w:header="851" w:footer="1077" w:gutter="0"/>
          <w:cols w:space="425" w:num="1"/>
          <w:docGrid w:linePitch="312" w:charSpace="0"/>
        </w:sectPr>
      </w:pPr>
    </w:p>
    <w:p w14:paraId="0C1F1B69">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3" w:name="_Toc232073039"/>
      <w:r>
        <w:rPr>
          <w:rFonts w:ascii="Times New Roman" w:hAnsi="Times New Roman" w:eastAsia="黑体"/>
          <w:snapToGrid w:val="0"/>
          <w:color w:val="000000" w:themeColor="text1"/>
          <w:sz w:val="21"/>
          <w:szCs w:val="21"/>
          <w14:textFill>
            <w14:solidFill>
              <w14:schemeClr w14:val="tx1"/>
            </w14:solidFill>
          </w14:textFill>
        </w:rPr>
        <w:t xml:space="preserve">附图7 </w:t>
      </w:r>
      <w:r>
        <w:rPr>
          <w:rFonts w:hint="eastAsia" w:ascii="Times New Roman" w:hAnsi="Times New Roman" w:eastAsia="黑体"/>
          <w:snapToGrid w:val="0"/>
          <w:color w:val="000000" w:themeColor="text1"/>
          <w:sz w:val="21"/>
          <w:szCs w:val="21"/>
          <w14:textFill>
            <w14:solidFill>
              <w14:schemeClr w14:val="tx1"/>
            </w14:solidFill>
          </w14:textFill>
        </w:rPr>
        <w:t>典型生态措施设计图</w:t>
      </w:r>
      <w:bookmarkEnd w:id="63"/>
    </w:p>
    <w:p w14:paraId="206B4D75">
      <w:pPr>
        <w:ind w:firstLine="420"/>
        <w:rPr>
          <w:snapToGrid w:val="0"/>
          <w:color w:val="000000" w:themeColor="text1"/>
          <w:szCs w:val="2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1521460</wp:posOffset>
                </wp:positionH>
                <wp:positionV relativeFrom="paragraph">
                  <wp:posOffset>1729105</wp:posOffset>
                </wp:positionV>
                <wp:extent cx="1945640" cy="278130"/>
                <wp:effectExtent l="0" t="0" r="16510" b="27305"/>
                <wp:wrapNone/>
                <wp:docPr id="16" name="文本框 16"/>
                <wp:cNvGraphicFramePr/>
                <a:graphic xmlns:a="http://schemas.openxmlformats.org/drawingml/2006/main">
                  <a:graphicData uri="http://schemas.microsoft.com/office/word/2010/wordprocessingShape">
                    <wps:wsp>
                      <wps:cNvSpPr txBox="1"/>
                      <wps:spPr>
                        <a:xfrm>
                          <a:off x="0" y="0"/>
                          <a:ext cx="1945843" cy="277978"/>
                        </a:xfrm>
                        <a:prstGeom prst="rect">
                          <a:avLst/>
                        </a:prstGeom>
                        <a:solidFill>
                          <a:schemeClr val="bg1"/>
                        </a:solidFill>
                        <a:ln w="6350">
                          <a:solidFill>
                            <a:schemeClr val="bg1"/>
                          </a:solidFill>
                        </a:ln>
                      </wps:spPr>
                      <wps:txbx>
                        <w:txbxContent>
                          <w:p w14:paraId="42948725">
                            <w:r>
                              <w:rPr>
                                <w:rFonts w:hint="eastAsia"/>
                              </w:rPr>
                              <w:t>护岸绿化、临时占地林地恢复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8pt;margin-top:136.15pt;height:21.9pt;width:153.2pt;z-index:251669504;mso-width-relative:page;mso-height-relative:page;" fillcolor="#FFFFFF [3212]" filled="t" stroked="t" coordsize="21600,21600" o:gfxdata="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IyJwjaAAAA&#10;CwEAAA8AAAAAAAAAAQAgAAAAIgAAAGRycy9kb3ducmV2LnhtbFBLAQIUABQAAAAIAIdO4kBa8FxQ&#10;VAIAALoEAAAOAAAAAAAAAAEAIAAAACkBAABkcnMvZTJvRG9jLnhtbFBLBQYAAAAABgAGAFkBAADv&#10;BQAAAAA=&#10;">
                <v:fill on="t" focussize="0,0"/>
                <v:stroke weight="0.5pt" color="#FFFFFF [3212]" joinstyle="round"/>
                <v:imagedata o:title=""/>
                <o:lock v:ext="edit" aspectratio="f"/>
                <v:textbox>
                  <w:txbxContent>
                    <w:p w14:paraId="42948725">
                      <w:r>
                        <w:rPr>
                          <w:rFonts w:hint="eastAsia"/>
                        </w:rPr>
                        <w:t>护岸绿化、临时占地林地恢复</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3836670</wp:posOffset>
                </wp:positionH>
                <wp:positionV relativeFrom="paragraph">
                  <wp:posOffset>1088390</wp:posOffset>
                </wp:positionV>
                <wp:extent cx="739775" cy="361315"/>
                <wp:effectExtent l="0" t="0" r="22225" b="19685"/>
                <wp:wrapNone/>
                <wp:docPr id="19" name="文本框 19"/>
                <wp:cNvGraphicFramePr/>
                <a:graphic xmlns:a="http://schemas.openxmlformats.org/drawingml/2006/main">
                  <a:graphicData uri="http://schemas.microsoft.com/office/word/2010/wordprocessingShape">
                    <wps:wsp>
                      <wps:cNvSpPr txBox="1"/>
                      <wps:spPr>
                        <a:xfrm>
                          <a:off x="0" y="0"/>
                          <a:ext cx="739923" cy="361315"/>
                        </a:xfrm>
                        <a:prstGeom prst="rect">
                          <a:avLst/>
                        </a:prstGeom>
                        <a:solidFill>
                          <a:schemeClr val="bg1"/>
                        </a:solidFill>
                        <a:ln w="6350">
                          <a:solidFill>
                            <a:schemeClr val="bg1"/>
                          </a:solidFill>
                        </a:ln>
                      </wps:spPr>
                      <wps:txbx>
                        <w:txbxContent>
                          <w:p w14:paraId="53134BF2">
                            <w:pPr>
                              <w:rPr>
                                <w:sz w:val="20"/>
                                <w:szCs w:val="22"/>
                              </w:rPr>
                            </w:pPr>
                            <w:r>
                              <w:rPr>
                                <w:rFonts w:hint="eastAsia"/>
                                <w:sz w:val="20"/>
                                <w:szCs w:val="22"/>
                              </w:rPr>
                              <w:t>覆植种草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1pt;margin-top:85.7pt;height:28.45pt;width:58.25pt;z-index:251670528;mso-width-relative:page;mso-height-relative:page;" fillcolor="#FFFFFF [3212]" filled="t" stroked="t" coordsize="21600,21600" o:gfxdata="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NkboPZAAAACwEA&#10;AA8AAAAAAAAAAQAgAAAAIgAAAGRycy9kb3ducmV2LnhtbFBLAQIUABQAAAAIAIdO4kAfNhveUgIA&#10;ALkEAAAOAAAAAAAAAAEAIAAAACgBAABkcnMvZTJvRG9jLnhtbFBLBQYAAAAABgAGAFkBAADsBQAA&#10;AAA=&#10;">
                <v:fill on="t" focussize="0,0"/>
                <v:stroke weight="0.5pt" color="#FFFFFF [3212]" joinstyle="round"/>
                <v:imagedata o:title=""/>
                <o:lock v:ext="edit" aspectratio="f"/>
                <v:textbox>
                  <w:txbxContent>
                    <w:p w14:paraId="53134BF2">
                      <w:pPr>
                        <w:rPr>
                          <w:sz w:val="20"/>
                          <w:szCs w:val="22"/>
                        </w:rPr>
                      </w:pPr>
                      <w:r>
                        <w:rPr>
                          <w:rFonts w:hint="eastAsia"/>
                          <w:sz w:val="20"/>
                          <w:szCs w:val="22"/>
                        </w:rPr>
                        <w:t>覆植种草</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3860800</wp:posOffset>
                </wp:positionH>
                <wp:positionV relativeFrom="paragraph">
                  <wp:posOffset>717550</wp:posOffset>
                </wp:positionV>
                <wp:extent cx="706755" cy="361950"/>
                <wp:effectExtent l="0" t="0" r="17145" b="19685"/>
                <wp:wrapNone/>
                <wp:docPr id="20" name="文本框 20"/>
                <wp:cNvGraphicFramePr/>
                <a:graphic xmlns:a="http://schemas.openxmlformats.org/drawingml/2006/main">
                  <a:graphicData uri="http://schemas.microsoft.com/office/word/2010/wordprocessingShape">
                    <wps:wsp>
                      <wps:cNvSpPr txBox="1"/>
                      <wps:spPr>
                        <a:xfrm>
                          <a:off x="0" y="0"/>
                          <a:ext cx="707046" cy="361665"/>
                        </a:xfrm>
                        <a:prstGeom prst="rect">
                          <a:avLst/>
                        </a:prstGeom>
                        <a:solidFill>
                          <a:schemeClr val="bg1"/>
                        </a:solidFill>
                        <a:ln w="6350">
                          <a:solidFill>
                            <a:schemeClr val="bg1"/>
                          </a:solidFill>
                        </a:ln>
                      </wps:spPr>
                      <wps:txbx>
                        <w:txbxContent>
                          <w:p w14:paraId="19DA17E7">
                            <w:pPr>
                              <w:rPr>
                                <w:sz w:val="20"/>
                                <w:szCs w:val="22"/>
                              </w:rPr>
                            </w:pPr>
                            <w:r>
                              <w:rPr>
                                <w:rFonts w:hint="eastAsia"/>
                                <w:sz w:val="20"/>
                                <w:szCs w:val="22"/>
                              </w:rPr>
                              <w:t>全面整地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pt;margin-top:56.5pt;height:28.5pt;width:55.65pt;z-index:251671552;mso-width-relative:page;mso-height-relative:page;" fillcolor="#FFFFFF [3212]" filled="t" stroked="t" coordsize="21600,21600" o:gfxdata="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MMTSjZAAAACwEA&#10;AA8AAAAAAAAAAQAgAAAAIgAAAGRycy9kb3ducmV2LnhtbFBLAQIUABQAAAAIAIdO4kBPP0ShUgIA&#10;ALkEAAAOAAAAAAAAAAEAIAAAACgBAABkcnMvZTJvRG9jLnhtbFBLBQYAAAAABgAGAFkBAADsBQAA&#10;AAA=&#10;">
                <v:fill on="t" focussize="0,0"/>
                <v:stroke weight="0.5pt" color="#FFFFFF [3212]" joinstyle="round"/>
                <v:imagedata o:title=""/>
                <o:lock v:ext="edit" aspectratio="f"/>
                <v:textbox>
                  <w:txbxContent>
                    <w:p w14:paraId="19DA17E7">
                      <w:pPr>
                        <w:rPr>
                          <w:sz w:val="20"/>
                          <w:szCs w:val="22"/>
                        </w:rPr>
                      </w:pPr>
                      <w:r>
                        <w:rPr>
                          <w:rFonts w:hint="eastAsia"/>
                          <w:sz w:val="20"/>
                          <w:szCs w:val="22"/>
                        </w:rPr>
                        <w:t>全面整地</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3206750</wp:posOffset>
            </wp:positionH>
            <wp:positionV relativeFrom="paragraph">
              <wp:posOffset>325120</wp:posOffset>
            </wp:positionV>
            <wp:extent cx="1466850" cy="1179830"/>
            <wp:effectExtent l="0" t="0" r="0" b="127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469535" cy="1181938"/>
                    </a:xfrm>
                    <a:prstGeom prst="rect">
                      <a:avLst/>
                    </a:prstGeom>
                    <a:noFill/>
                    <a:ln>
                      <a:no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332105</wp:posOffset>
                </wp:positionV>
                <wp:extent cx="2997200" cy="1638300"/>
                <wp:effectExtent l="0" t="0" r="12700" b="19050"/>
                <wp:wrapNone/>
                <wp:docPr id="263438876" name="矩形 263438876"/>
                <wp:cNvGraphicFramePr/>
                <a:graphic xmlns:a="http://schemas.openxmlformats.org/drawingml/2006/main">
                  <a:graphicData uri="http://schemas.microsoft.com/office/word/2010/wordprocessingShape">
                    <wps:wsp>
                      <wps:cNvSpPr/>
                      <wps:spPr>
                        <a:xfrm>
                          <a:off x="0" y="0"/>
                          <a:ext cx="2997200" cy="16385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6.15pt;height:129pt;width:236pt;mso-position-horizontal:right;mso-position-horizontal-relative:margin;z-index:251667456;v-text-anchor:middle;mso-width-relative:page;mso-height-relative:page;" fillcolor="#FFFFFF [3212]" filled="t" stroked="t" coordsize="21600,21600" o:gfxdata="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u0oR21gAAAAcBAAAPAAAAAAAAAAEAIAAAACIAAABkcnMvZG93&#10;bnJldi54bWxQSwECFAAUAAAACACHTuJAGbp+dXQCAAAFBQAADgAAAAAAAAABACAAAAAlAQAAZHJz&#10;L2Uyb0RvYy54bWxQSwUGAAAAAAYABgBZAQAACwYAAAAA&#10;">
                <v:fill on="t" focussize="0,0"/>
                <v:stroke weight="1pt" color="#FFFFFF [3212]" miterlimit="8" joinstyle="miter"/>
                <v:imagedata o:title=""/>
                <o:lock v:ext="edit" aspectratio="f"/>
              </v:rect>
            </w:pict>
          </mc:Fallback>
        </mc:AlternateContent>
      </w:r>
      <w:r>
        <w:rPr>
          <w:color w:val="000000" w:themeColor="text1"/>
          <w14:textFill>
            <w14:solidFill>
              <w14:schemeClr w14:val="tx1"/>
            </w14:solidFill>
          </w14:textFill>
        </w:rPr>
        <w:drawing>
          <wp:inline distT="0" distB="0" distL="0" distR="0">
            <wp:extent cx="5274945" cy="2724150"/>
            <wp:effectExtent l="0" t="0" r="190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0">
                      <a:extLst>
                        <a:ext uri="{28A0092B-C50C-407E-A947-70E740481C1C}">
                          <a14:useLocalDpi xmlns:a14="http://schemas.microsoft.com/office/drawing/2010/main" val="0"/>
                        </a:ext>
                      </a:extLst>
                    </a:blip>
                    <a:srcRect t="39722" b="7419"/>
                    <a:stretch>
                      <a:fillRect/>
                    </a:stretch>
                  </pic:blipFill>
                  <pic:spPr>
                    <a:xfrm>
                      <a:off x="0" y="0"/>
                      <a:ext cx="5275580" cy="2724217"/>
                    </a:xfrm>
                    <a:prstGeom prst="rect">
                      <a:avLst/>
                    </a:prstGeom>
                    <a:noFill/>
                    <a:ln>
                      <a:noFill/>
                    </a:ln>
                  </pic:spPr>
                </pic:pic>
              </a:graphicData>
            </a:graphic>
          </wp:inline>
        </w:drawing>
      </w:r>
    </w:p>
    <w:p w14:paraId="4F8751D4">
      <w:pPr>
        <w:ind w:firstLine="420"/>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说明：</w:t>
      </w:r>
    </w:p>
    <w:p w14:paraId="155B0111">
      <w:pPr>
        <w:ind w:firstLine="420"/>
        <w:rPr>
          <w:snapToGrid w:val="0"/>
          <w:color w:val="000000" w:themeColor="text1"/>
          <w:szCs w:val="21"/>
          <w14:textFill>
            <w14:solidFill>
              <w14:schemeClr w14:val="tx1"/>
            </w14:solidFill>
          </w14:textFill>
        </w:rPr>
      </w:pPr>
      <w:r>
        <w:rPr>
          <w:rFonts w:hint="eastAsia"/>
          <w:snapToGrid w:val="0"/>
          <w:color w:val="000000" w:themeColor="text1"/>
          <w:szCs w:val="21"/>
          <w14:textFill>
            <w14:solidFill>
              <w14:schemeClr w14:val="tx1"/>
            </w14:solidFill>
          </w14:textFill>
        </w:rPr>
        <w:t>1、施工结束后对护岸临时占地空地区域全面整地后进行撒播种草；施工结束后，对施工道路区域占耕地部分进行土地复垦，占林地区域进行</w:t>
      </w:r>
      <w:r>
        <w:rPr>
          <w:snapToGrid w:val="0"/>
          <w:color w:val="000000" w:themeColor="text1"/>
          <w:szCs w:val="21"/>
          <w14:textFill>
            <w14:solidFill>
              <w14:schemeClr w14:val="tx1"/>
            </w14:solidFill>
          </w14:textFill>
        </w:rPr>
        <w:t>平整覆植，主要撒播树种和草籽，</w:t>
      </w:r>
      <w:r>
        <w:rPr>
          <w:rFonts w:hint="eastAsia"/>
          <w:snapToGrid w:val="0"/>
          <w:color w:val="000000" w:themeColor="text1"/>
          <w:szCs w:val="21"/>
          <w14:textFill>
            <w14:solidFill>
              <w14:schemeClr w14:val="tx1"/>
            </w14:solidFill>
          </w14:textFill>
        </w:rPr>
        <w:t>按现状植被进行1:</w:t>
      </w:r>
      <w:r>
        <w:rPr>
          <w:snapToGrid w:val="0"/>
          <w:color w:val="000000" w:themeColor="text1"/>
          <w:szCs w:val="21"/>
          <w14:textFill>
            <w14:solidFill>
              <w14:schemeClr w14:val="tx1"/>
            </w14:solidFill>
          </w14:textFill>
        </w:rPr>
        <w:t>1</w:t>
      </w:r>
      <w:r>
        <w:rPr>
          <w:rFonts w:hint="eastAsia"/>
          <w:snapToGrid w:val="0"/>
          <w:color w:val="000000" w:themeColor="text1"/>
          <w:szCs w:val="21"/>
          <w14:textFill>
            <w14:solidFill>
              <w14:schemeClr w14:val="tx1"/>
            </w14:solidFill>
          </w14:textFill>
        </w:rPr>
        <w:t>恢复，</w:t>
      </w:r>
      <w:r>
        <w:rPr>
          <w:snapToGrid w:val="0"/>
          <w:color w:val="000000" w:themeColor="text1"/>
          <w:szCs w:val="21"/>
          <w14:textFill>
            <w14:solidFill>
              <w14:schemeClr w14:val="tx1"/>
            </w14:solidFill>
          </w14:textFill>
        </w:rPr>
        <w:t>种植当地优势灌、草</w:t>
      </w:r>
      <w:r>
        <w:rPr>
          <w:rFonts w:hint="eastAsia"/>
          <w:snapToGrid w:val="0"/>
          <w:color w:val="000000" w:themeColor="text1"/>
          <w:szCs w:val="21"/>
          <w14:textFill>
            <w14:solidFill>
              <w14:schemeClr w14:val="tx1"/>
            </w14:solidFill>
          </w14:textFill>
        </w:rPr>
        <w:t>。</w:t>
      </w:r>
    </w:p>
    <w:p w14:paraId="5F44B4DA">
      <w:pPr>
        <w:ind w:firstLine="420"/>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2</w:t>
      </w:r>
      <w:r>
        <w:rPr>
          <w:rFonts w:hint="eastAsia"/>
          <w:snapToGrid w:val="0"/>
          <w:color w:val="000000" w:themeColor="text1"/>
          <w:szCs w:val="21"/>
          <w14:textFill>
            <w14:solidFill>
              <w14:schemeClr w14:val="tx1"/>
            </w14:solidFill>
          </w14:textFill>
        </w:rPr>
        <w:t>、草种选用早熟禾、紫羊茅等，撒播密度80kg/hm</w:t>
      </w:r>
      <w:r>
        <w:rPr>
          <w:rFonts w:hint="eastAsia"/>
          <w:snapToGrid w:val="0"/>
          <w:color w:val="000000" w:themeColor="text1"/>
          <w:szCs w:val="21"/>
          <w:vertAlign w:val="superscript"/>
          <w14:textFill>
            <w14:solidFill>
              <w14:schemeClr w14:val="tx1"/>
            </w14:solidFill>
          </w14:textFill>
        </w:rPr>
        <w:t>2</w:t>
      </w:r>
      <w:r>
        <w:rPr>
          <w:rFonts w:hint="eastAsia"/>
          <w:snapToGrid w:val="0"/>
          <w:color w:val="000000" w:themeColor="text1"/>
          <w:szCs w:val="21"/>
          <w14:textFill>
            <w14:solidFill>
              <w14:schemeClr w14:val="tx1"/>
            </w14:solidFill>
          </w14:textFill>
        </w:rPr>
        <w:t>。</w:t>
      </w:r>
    </w:p>
    <w:p w14:paraId="69DAFA91">
      <w:pPr>
        <w:ind w:firstLine="420"/>
        <w:rPr>
          <w:snapToGrid w:val="0"/>
          <w:color w:val="000000" w:themeColor="text1"/>
          <w:szCs w:val="21"/>
          <w14:textFill>
            <w14:solidFill>
              <w14:schemeClr w14:val="tx1"/>
            </w14:solidFill>
          </w14:textFill>
        </w:rPr>
      </w:pPr>
      <w:r>
        <w:rPr>
          <w:snapToGrid w:val="0"/>
          <w:color w:val="000000" w:themeColor="text1"/>
          <w:szCs w:val="21"/>
          <w14:textFill>
            <w14:solidFill>
              <w14:schemeClr w14:val="tx1"/>
            </w14:solidFill>
          </w14:textFill>
        </w:rPr>
        <w:t>3</w:t>
      </w:r>
      <w:r>
        <w:rPr>
          <w:rFonts w:hint="eastAsia"/>
          <w:snapToGrid w:val="0"/>
          <w:color w:val="000000" w:themeColor="text1"/>
          <w:szCs w:val="21"/>
          <w14:textFill>
            <w14:solidFill>
              <w14:schemeClr w14:val="tx1"/>
            </w14:solidFill>
          </w14:textFill>
        </w:rPr>
        <w:t>、种草播种前1～2天，应预先灌水，在土壤半干半湿的情况下进行播种，播种深度在1cm～1.5cm，播种后要经常保持土壤湿润，以利于种子发芽，还要勤除杂草，可追施化肥（氮肥）施量为5</w:t>
      </w:r>
      <w:r>
        <w:rPr>
          <w:snapToGrid w:val="0"/>
          <w:color w:val="000000" w:themeColor="text1"/>
          <w:szCs w:val="21"/>
          <w14:textFill>
            <w14:solidFill>
              <w14:schemeClr w14:val="tx1"/>
            </w14:solidFill>
          </w14:textFill>
        </w:rPr>
        <w:t>g/</w:t>
      </w:r>
      <w:r>
        <w:rPr>
          <w:rFonts w:hint="eastAsia"/>
          <w:snapToGrid w:val="0"/>
          <w:color w:val="000000" w:themeColor="text1"/>
          <w:szCs w:val="21"/>
          <w14:textFill>
            <w14:solidFill>
              <w14:schemeClr w14:val="tx1"/>
            </w14:solidFill>
          </w14:textFill>
        </w:rPr>
        <w:t>m</w:t>
      </w:r>
      <w:r>
        <w:rPr>
          <w:snapToGrid w:val="0"/>
          <w:color w:val="000000" w:themeColor="text1"/>
          <w:szCs w:val="21"/>
          <w:vertAlign w:val="superscript"/>
          <w14:textFill>
            <w14:solidFill>
              <w14:schemeClr w14:val="tx1"/>
            </w14:solidFill>
          </w14:textFill>
        </w:rPr>
        <w:t>2</w:t>
      </w:r>
      <w:r>
        <w:rPr>
          <w:rFonts w:hint="eastAsia"/>
          <w:snapToGrid w:val="0"/>
          <w:color w:val="000000" w:themeColor="text1"/>
          <w:szCs w:val="21"/>
          <w14:textFill>
            <w14:solidFill>
              <w14:schemeClr w14:val="tx1"/>
            </w14:solidFill>
          </w14:textFill>
        </w:rPr>
        <w:t>。</w:t>
      </w:r>
    </w:p>
    <w:p w14:paraId="10CB71AF">
      <w:pPr>
        <w:pStyle w:val="50"/>
        <w:rPr>
          <w:rFonts w:eastAsia="黑体"/>
          <w:snapToGrid w:val="0"/>
          <w:color w:val="000000" w:themeColor="text1"/>
          <w:szCs w:val="21"/>
          <w14:textFill>
            <w14:solidFill>
              <w14:schemeClr w14:val="tx1"/>
            </w14:solidFill>
          </w14:textFill>
        </w:rPr>
      </w:pPr>
    </w:p>
    <w:p w14:paraId="67D4F45A">
      <w:pPr>
        <w:pStyle w:val="50"/>
        <w:rPr>
          <w:rFonts w:eastAsia="黑体"/>
          <w:snapToGrid w:val="0"/>
          <w:color w:val="000000" w:themeColor="text1"/>
          <w:szCs w:val="21"/>
          <w14:textFill>
            <w14:solidFill>
              <w14:schemeClr w14:val="tx1"/>
            </w14:solidFill>
          </w14:textFill>
        </w:rPr>
      </w:pPr>
    </w:p>
    <w:p w14:paraId="0B6C3A18">
      <w:pPr>
        <w:pStyle w:val="50"/>
        <w:rPr>
          <w:rFonts w:eastAsia="黑体"/>
          <w:snapToGrid w:val="0"/>
          <w:color w:val="000000" w:themeColor="text1"/>
          <w:szCs w:val="21"/>
          <w14:textFill>
            <w14:solidFill>
              <w14:schemeClr w14:val="tx1"/>
            </w14:solidFill>
          </w14:textFill>
        </w:rPr>
        <w:sectPr>
          <w:pgSz w:w="11906" w:h="16838"/>
          <w:pgMar w:top="1440" w:right="1440" w:bottom="1440" w:left="1440" w:header="851" w:footer="1077" w:gutter="0"/>
          <w:cols w:space="425" w:num="1"/>
          <w:docGrid w:linePitch="312" w:charSpace="0"/>
        </w:sectPr>
      </w:pPr>
    </w:p>
    <w:p w14:paraId="51F6CFCF">
      <w:pPr>
        <w:widowControl/>
        <w:adjustRightInd w:val="0"/>
        <w:snapToGrid w:val="0"/>
        <w:jc w:val="left"/>
        <w:outlineLvl w:val="0"/>
        <w:rPr>
          <w:rFonts w:eastAsia="黑体"/>
          <w:snapToGrid w:val="0"/>
          <w:color w:val="000000" w:themeColor="text1"/>
          <w:kern w:val="0"/>
          <w:sz w:val="32"/>
          <w:szCs w:val="32"/>
          <w14:textFill>
            <w14:solidFill>
              <w14:schemeClr w14:val="tx1"/>
            </w14:solidFill>
          </w14:textFill>
        </w:rPr>
      </w:pPr>
      <w:bookmarkStart w:id="64" w:name="_Toc232073040"/>
      <w:r>
        <w:rPr>
          <w:rFonts w:hint="eastAsia" w:eastAsia="黑体"/>
          <w:snapToGrid w:val="0"/>
          <w:color w:val="000000" w:themeColor="text1"/>
          <w:kern w:val="0"/>
          <w:sz w:val="32"/>
          <w:szCs w:val="32"/>
          <w14:textFill>
            <w14:solidFill>
              <w14:schemeClr w14:val="tx1"/>
            </w14:solidFill>
          </w14:textFill>
        </w:rPr>
        <w:t>附件</w:t>
      </w:r>
      <w:bookmarkEnd w:id="64"/>
    </w:p>
    <w:p w14:paraId="6D07B694">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5" w:name="_Toc232073041"/>
      <w:r>
        <w:rPr>
          <w:rFonts w:hint="eastAsia" w:ascii="Times New Roman" w:hAnsi="Times New Roman" w:eastAsia="黑体"/>
          <w:snapToGrid w:val="0"/>
          <w:color w:val="000000" w:themeColor="text1"/>
          <w:sz w:val="21"/>
          <w:szCs w:val="21"/>
          <w14:textFill>
            <w14:solidFill>
              <w14:schemeClr w14:val="tx1"/>
            </w14:solidFill>
          </w14:textFill>
        </w:rPr>
        <w:t>附件</w:t>
      </w:r>
      <w:r>
        <w:rPr>
          <w:rFonts w:ascii="Times New Roman" w:hAnsi="Times New Roman" w:eastAsia="黑体"/>
          <w:snapToGrid w:val="0"/>
          <w:color w:val="000000" w:themeColor="text1"/>
          <w:sz w:val="21"/>
          <w:szCs w:val="21"/>
          <w14:textFill>
            <w14:solidFill>
              <w14:schemeClr w14:val="tx1"/>
            </w14:solidFill>
          </w14:textFill>
        </w:rPr>
        <w:t xml:space="preserve">1 </w:t>
      </w:r>
      <w:r>
        <w:rPr>
          <w:rFonts w:hint="eastAsia" w:ascii="Times New Roman" w:hAnsi="Times New Roman" w:eastAsia="黑体"/>
          <w:snapToGrid w:val="0"/>
          <w:color w:val="000000" w:themeColor="text1"/>
          <w:sz w:val="21"/>
          <w:szCs w:val="21"/>
          <w14:textFill>
            <w14:solidFill>
              <w14:schemeClr w14:val="tx1"/>
            </w14:solidFill>
          </w14:textFill>
        </w:rPr>
        <w:t>生态环境分区管控分析报告</w:t>
      </w:r>
      <w:bookmarkEnd w:id="65"/>
    </w:p>
    <w:p w14:paraId="2EC937D1">
      <w:pPr>
        <w:jc w:val="center"/>
        <w:rPr>
          <w:color w:val="000000" w:themeColor="text1"/>
          <w14:textFill>
            <w14:solidFill>
              <w14:schemeClr w14:val="tx1"/>
            </w14:solidFill>
          </w14:textFill>
        </w:rPr>
      </w:pPr>
      <w:r>
        <w:drawing>
          <wp:inline distT="0" distB="0" distL="0" distR="0">
            <wp:extent cx="5731510" cy="4051300"/>
            <wp:effectExtent l="0" t="0" r="2540" b="6350"/>
            <wp:docPr id="815088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88453" name="图片 1"/>
                    <pic:cNvPicPr>
                      <a:picLocks noChangeAspect="1"/>
                    </pic:cNvPicPr>
                  </pic:nvPicPr>
                  <pic:blipFill>
                    <a:blip r:embed="rId51"/>
                    <a:stretch>
                      <a:fillRect/>
                    </a:stretch>
                  </pic:blipFill>
                  <pic:spPr>
                    <a:xfrm>
                      <a:off x="0" y="0"/>
                      <a:ext cx="5731510" cy="4051300"/>
                    </a:xfrm>
                    <a:prstGeom prst="rect">
                      <a:avLst/>
                    </a:prstGeom>
                  </pic:spPr>
                </pic:pic>
              </a:graphicData>
            </a:graphic>
          </wp:inline>
        </w:drawing>
      </w:r>
      <w:r>
        <w:t xml:space="preserve"> </w:t>
      </w:r>
      <w:r>
        <w:drawing>
          <wp:inline distT="0" distB="0" distL="0" distR="0">
            <wp:extent cx="5731510" cy="4051935"/>
            <wp:effectExtent l="0" t="0" r="2540" b="5715"/>
            <wp:docPr id="638978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78047" name="图片 1"/>
                    <pic:cNvPicPr>
                      <a:picLocks noChangeAspect="1"/>
                    </pic:cNvPicPr>
                  </pic:nvPicPr>
                  <pic:blipFill>
                    <a:blip r:embed="rId52"/>
                    <a:stretch>
                      <a:fillRect/>
                    </a:stretch>
                  </pic:blipFill>
                  <pic:spPr>
                    <a:xfrm>
                      <a:off x="0" y="0"/>
                      <a:ext cx="5731510" cy="4051935"/>
                    </a:xfrm>
                    <a:prstGeom prst="rect">
                      <a:avLst/>
                    </a:prstGeom>
                  </pic:spPr>
                </pic:pic>
              </a:graphicData>
            </a:graphic>
          </wp:inline>
        </w:drawing>
      </w:r>
      <w:r>
        <w:t xml:space="preserve"> </w:t>
      </w:r>
      <w:r>
        <w:drawing>
          <wp:inline distT="0" distB="0" distL="0" distR="0">
            <wp:extent cx="5731510" cy="4045585"/>
            <wp:effectExtent l="0" t="0" r="2540" b="0"/>
            <wp:docPr id="5533789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78961" name="图片 1"/>
                    <pic:cNvPicPr>
                      <a:picLocks noChangeAspect="1"/>
                    </pic:cNvPicPr>
                  </pic:nvPicPr>
                  <pic:blipFill>
                    <a:blip r:embed="rId53"/>
                    <a:stretch>
                      <a:fillRect/>
                    </a:stretch>
                  </pic:blipFill>
                  <pic:spPr>
                    <a:xfrm>
                      <a:off x="0" y="0"/>
                      <a:ext cx="5731510" cy="4045585"/>
                    </a:xfrm>
                    <a:prstGeom prst="rect">
                      <a:avLst/>
                    </a:prstGeom>
                  </pic:spPr>
                </pic:pic>
              </a:graphicData>
            </a:graphic>
          </wp:inline>
        </w:drawing>
      </w:r>
      <w:r>
        <w:t xml:space="preserve"> </w:t>
      </w:r>
      <w:r>
        <w:drawing>
          <wp:inline distT="0" distB="0" distL="0" distR="0">
            <wp:extent cx="5731510" cy="4068445"/>
            <wp:effectExtent l="0" t="0" r="2540" b="8255"/>
            <wp:docPr id="1097637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637284" name="图片 1"/>
                    <pic:cNvPicPr>
                      <a:picLocks noChangeAspect="1"/>
                    </pic:cNvPicPr>
                  </pic:nvPicPr>
                  <pic:blipFill>
                    <a:blip r:embed="rId54"/>
                    <a:stretch>
                      <a:fillRect/>
                    </a:stretch>
                  </pic:blipFill>
                  <pic:spPr>
                    <a:xfrm>
                      <a:off x="0" y="0"/>
                      <a:ext cx="5731510" cy="4068445"/>
                    </a:xfrm>
                    <a:prstGeom prst="rect">
                      <a:avLst/>
                    </a:prstGeom>
                  </pic:spPr>
                </pic:pic>
              </a:graphicData>
            </a:graphic>
          </wp:inline>
        </w:drawing>
      </w:r>
      <w:r>
        <w:t xml:space="preserve"> </w:t>
      </w:r>
      <w:r>
        <w:drawing>
          <wp:inline distT="0" distB="0" distL="0" distR="0">
            <wp:extent cx="5731510" cy="4045585"/>
            <wp:effectExtent l="0" t="0" r="2540" b="0"/>
            <wp:docPr id="1813552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52569" name="图片 1"/>
                    <pic:cNvPicPr>
                      <a:picLocks noChangeAspect="1"/>
                    </pic:cNvPicPr>
                  </pic:nvPicPr>
                  <pic:blipFill>
                    <a:blip r:embed="rId55"/>
                    <a:stretch>
                      <a:fillRect/>
                    </a:stretch>
                  </pic:blipFill>
                  <pic:spPr>
                    <a:xfrm>
                      <a:off x="0" y="0"/>
                      <a:ext cx="5731510" cy="4045585"/>
                    </a:xfrm>
                    <a:prstGeom prst="rect">
                      <a:avLst/>
                    </a:prstGeom>
                  </pic:spPr>
                </pic:pic>
              </a:graphicData>
            </a:graphic>
          </wp:inline>
        </w:drawing>
      </w:r>
      <w:r>
        <w:t xml:space="preserve"> </w:t>
      </w:r>
      <w:r>
        <w:drawing>
          <wp:inline distT="0" distB="0" distL="0" distR="0">
            <wp:extent cx="5731510" cy="4063365"/>
            <wp:effectExtent l="0" t="0" r="2540" b="0"/>
            <wp:docPr id="19254960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96028" name="图片 1"/>
                    <pic:cNvPicPr>
                      <a:picLocks noChangeAspect="1"/>
                    </pic:cNvPicPr>
                  </pic:nvPicPr>
                  <pic:blipFill>
                    <a:blip r:embed="rId56"/>
                    <a:stretch>
                      <a:fillRect/>
                    </a:stretch>
                  </pic:blipFill>
                  <pic:spPr>
                    <a:xfrm>
                      <a:off x="0" y="0"/>
                      <a:ext cx="5731510" cy="4063365"/>
                    </a:xfrm>
                    <a:prstGeom prst="rect">
                      <a:avLst/>
                    </a:prstGeom>
                  </pic:spPr>
                </pic:pic>
              </a:graphicData>
            </a:graphic>
          </wp:inline>
        </w:drawing>
      </w:r>
      <w:r>
        <w:t xml:space="preserve"> </w:t>
      </w:r>
      <w:r>
        <w:drawing>
          <wp:inline distT="0" distB="0" distL="0" distR="0">
            <wp:extent cx="5731510" cy="4047490"/>
            <wp:effectExtent l="0" t="0" r="2540" b="0"/>
            <wp:docPr id="858585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85431" name="图片 1"/>
                    <pic:cNvPicPr>
                      <a:picLocks noChangeAspect="1"/>
                    </pic:cNvPicPr>
                  </pic:nvPicPr>
                  <pic:blipFill>
                    <a:blip r:embed="rId57"/>
                    <a:stretch>
                      <a:fillRect/>
                    </a:stretch>
                  </pic:blipFill>
                  <pic:spPr>
                    <a:xfrm>
                      <a:off x="0" y="0"/>
                      <a:ext cx="5731510" cy="4047490"/>
                    </a:xfrm>
                    <a:prstGeom prst="rect">
                      <a:avLst/>
                    </a:prstGeom>
                  </pic:spPr>
                </pic:pic>
              </a:graphicData>
            </a:graphic>
          </wp:inline>
        </w:drawing>
      </w:r>
      <w:r>
        <w:t xml:space="preserve"> </w:t>
      </w:r>
      <w:r>
        <w:drawing>
          <wp:inline distT="0" distB="0" distL="0" distR="0">
            <wp:extent cx="5731510" cy="4073525"/>
            <wp:effectExtent l="0" t="0" r="2540" b="3175"/>
            <wp:docPr id="2123435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35835" name="图片 1"/>
                    <pic:cNvPicPr>
                      <a:picLocks noChangeAspect="1"/>
                    </pic:cNvPicPr>
                  </pic:nvPicPr>
                  <pic:blipFill>
                    <a:blip r:embed="rId58"/>
                    <a:stretch>
                      <a:fillRect/>
                    </a:stretch>
                  </pic:blipFill>
                  <pic:spPr>
                    <a:xfrm>
                      <a:off x="0" y="0"/>
                      <a:ext cx="5731510" cy="4073525"/>
                    </a:xfrm>
                    <a:prstGeom prst="rect">
                      <a:avLst/>
                    </a:prstGeom>
                  </pic:spPr>
                </pic:pic>
              </a:graphicData>
            </a:graphic>
          </wp:inline>
        </w:drawing>
      </w:r>
      <w:r>
        <w:t xml:space="preserve"> </w:t>
      </w:r>
      <w:r>
        <w:drawing>
          <wp:inline distT="0" distB="0" distL="0" distR="0">
            <wp:extent cx="5731510" cy="4071620"/>
            <wp:effectExtent l="0" t="0" r="2540" b="5080"/>
            <wp:docPr id="1868510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10688" name="图片 1"/>
                    <pic:cNvPicPr>
                      <a:picLocks noChangeAspect="1"/>
                    </pic:cNvPicPr>
                  </pic:nvPicPr>
                  <pic:blipFill>
                    <a:blip r:embed="rId59"/>
                    <a:stretch>
                      <a:fillRect/>
                    </a:stretch>
                  </pic:blipFill>
                  <pic:spPr>
                    <a:xfrm>
                      <a:off x="0" y="0"/>
                      <a:ext cx="5731510" cy="4071620"/>
                    </a:xfrm>
                    <a:prstGeom prst="rect">
                      <a:avLst/>
                    </a:prstGeom>
                  </pic:spPr>
                </pic:pic>
              </a:graphicData>
            </a:graphic>
          </wp:inline>
        </w:drawing>
      </w:r>
      <w:r>
        <w:t xml:space="preserve"> </w:t>
      </w:r>
      <w:r>
        <w:drawing>
          <wp:inline distT="0" distB="0" distL="0" distR="0">
            <wp:extent cx="5731510" cy="4073525"/>
            <wp:effectExtent l="0" t="0" r="2540" b="3175"/>
            <wp:docPr id="97994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4047" name="图片 1"/>
                    <pic:cNvPicPr>
                      <a:picLocks noChangeAspect="1"/>
                    </pic:cNvPicPr>
                  </pic:nvPicPr>
                  <pic:blipFill>
                    <a:blip r:embed="rId60"/>
                    <a:stretch>
                      <a:fillRect/>
                    </a:stretch>
                  </pic:blipFill>
                  <pic:spPr>
                    <a:xfrm>
                      <a:off x="0" y="0"/>
                      <a:ext cx="5731510" cy="4073525"/>
                    </a:xfrm>
                    <a:prstGeom prst="rect">
                      <a:avLst/>
                    </a:prstGeom>
                  </pic:spPr>
                </pic:pic>
              </a:graphicData>
            </a:graphic>
          </wp:inline>
        </w:drawing>
      </w:r>
      <w:r>
        <w:rPr>
          <w:color w:val="000000" w:themeColor="text1"/>
          <w14:textFill>
            <w14:solidFill>
              <w14:schemeClr w14:val="tx1"/>
            </w14:solidFill>
          </w14:textFill>
        </w:rPr>
        <w:t xml:space="preserve">          </w:t>
      </w:r>
    </w:p>
    <w:p w14:paraId="7BD02199">
      <w:pPr>
        <w:jc w:val="center"/>
        <w:rPr>
          <w:color w:val="000000" w:themeColor="text1"/>
          <w14:textFill>
            <w14:solidFill>
              <w14:schemeClr w14:val="tx1"/>
            </w14:solidFill>
          </w14:textFill>
        </w:rPr>
      </w:pPr>
    </w:p>
    <w:p w14:paraId="5D763084">
      <w:pPr>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1A301039">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6" w:name="_Toc232073042"/>
      <w:r>
        <w:rPr>
          <w:rFonts w:hint="eastAsia" w:ascii="Times New Roman" w:hAnsi="Times New Roman" w:eastAsia="黑体"/>
          <w:snapToGrid w:val="0"/>
          <w:color w:val="000000" w:themeColor="text1"/>
          <w:sz w:val="21"/>
          <w:szCs w:val="21"/>
          <w14:textFill>
            <w14:solidFill>
              <w14:schemeClr w14:val="tx1"/>
            </w14:solidFill>
          </w14:textFill>
        </w:rPr>
        <w:t>附件2</w:t>
      </w:r>
      <w:r>
        <w:rPr>
          <w:rFonts w:ascii="Times New Roman" w:hAnsi="Times New Roman" w:eastAsia="黑体"/>
          <w:snapToGrid w:val="0"/>
          <w:color w:val="000000" w:themeColor="text1"/>
          <w:sz w:val="21"/>
          <w:szCs w:val="21"/>
          <w14:textFill>
            <w14:solidFill>
              <w14:schemeClr w14:val="tx1"/>
            </w14:solidFill>
          </w14:textFill>
        </w:rPr>
        <w:t xml:space="preserve"> </w:t>
      </w:r>
      <w:r>
        <w:rPr>
          <w:rFonts w:hint="eastAsia" w:ascii="Times New Roman" w:hAnsi="Times New Roman" w:eastAsia="黑体"/>
          <w:snapToGrid w:val="0"/>
          <w:color w:val="000000" w:themeColor="text1"/>
          <w:sz w:val="21"/>
          <w:szCs w:val="21"/>
          <w14:textFill>
            <w14:solidFill>
              <w14:schemeClr w14:val="tx1"/>
            </w14:solidFill>
          </w14:textFill>
        </w:rPr>
        <w:t>营业执照</w:t>
      </w:r>
      <w:bookmarkEnd w:id="66"/>
    </w:p>
    <w:p w14:paraId="4CC1DB12">
      <w:pPr>
        <w:pStyle w:val="4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31510" cy="8333105"/>
            <wp:effectExtent l="0" t="0" r="2540" b="0"/>
            <wp:docPr id="181632563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25633" name="图片 6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31510" cy="8333105"/>
                    </a:xfrm>
                    <a:prstGeom prst="rect">
                      <a:avLst/>
                    </a:prstGeom>
                    <a:noFill/>
                    <a:ln>
                      <a:noFill/>
                    </a:ln>
                  </pic:spPr>
                </pic:pic>
              </a:graphicData>
            </a:graphic>
          </wp:inline>
        </w:drawing>
      </w:r>
    </w:p>
    <w:p w14:paraId="068C2BF5">
      <w:pPr>
        <w:pStyle w:val="43"/>
        <w:rPr>
          <w:color w:val="000000" w:themeColor="text1"/>
          <w14:textFill>
            <w14:solidFill>
              <w14:schemeClr w14:val="tx1"/>
            </w14:solidFill>
          </w14:textFill>
        </w:rPr>
      </w:pPr>
    </w:p>
    <w:p w14:paraId="2A4A35E4">
      <w:pPr>
        <w:jc w:val="center"/>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7D79CB53">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7" w:name="_Toc232073043"/>
      <w:r>
        <w:rPr>
          <w:rFonts w:hint="eastAsia" w:ascii="Times New Roman" w:hAnsi="Times New Roman" w:eastAsia="黑体"/>
          <w:snapToGrid w:val="0"/>
          <w:color w:val="000000" w:themeColor="text1"/>
          <w:sz w:val="21"/>
          <w:szCs w:val="21"/>
          <w14:textFill>
            <w14:solidFill>
              <w14:schemeClr w14:val="tx1"/>
            </w14:solidFill>
          </w14:textFill>
        </w:rPr>
        <w:t>附件</w:t>
      </w:r>
      <w:r>
        <w:rPr>
          <w:rFonts w:ascii="Times New Roman" w:hAnsi="Times New Roman" w:eastAsia="黑体"/>
          <w:snapToGrid w:val="0"/>
          <w:color w:val="000000" w:themeColor="text1"/>
          <w:sz w:val="21"/>
          <w:szCs w:val="21"/>
          <w14:textFill>
            <w14:solidFill>
              <w14:schemeClr w14:val="tx1"/>
            </w14:solidFill>
          </w14:textFill>
        </w:rPr>
        <w:t xml:space="preserve">3 </w:t>
      </w:r>
      <w:r>
        <w:rPr>
          <w:rFonts w:hint="eastAsia" w:ascii="Times New Roman" w:hAnsi="Times New Roman" w:eastAsia="黑体"/>
          <w:snapToGrid w:val="0"/>
          <w:color w:val="000000" w:themeColor="text1"/>
          <w:sz w:val="21"/>
          <w:szCs w:val="21"/>
          <w14:textFill>
            <w14:solidFill>
              <w14:schemeClr w14:val="tx1"/>
            </w14:solidFill>
          </w14:textFill>
        </w:rPr>
        <w:t>投资项目备案书</w:t>
      </w:r>
      <w:bookmarkEnd w:id="67"/>
    </w:p>
    <w:p w14:paraId="67B846ED">
      <w:pPr>
        <w:pStyle w:val="43"/>
        <w:rPr>
          <w:snapToGrid w:val="0"/>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31510" cy="8106410"/>
            <wp:effectExtent l="0" t="0" r="2540" b="8890"/>
            <wp:docPr id="157610893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08935" name="图片 6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731510" cy="8106410"/>
                    </a:xfrm>
                    <a:prstGeom prst="rect">
                      <a:avLst/>
                    </a:prstGeom>
                    <a:noFill/>
                    <a:ln>
                      <a:noFill/>
                    </a:ln>
                  </pic:spPr>
                </pic:pic>
              </a:graphicData>
            </a:graphic>
          </wp:inline>
        </w:drawing>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5731510" cy="8384540"/>
            <wp:effectExtent l="0" t="0" r="2540" b="0"/>
            <wp:docPr id="150878130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781305" name="图片 6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731510" cy="8384540"/>
                    </a:xfrm>
                    <a:prstGeom prst="rect">
                      <a:avLst/>
                    </a:prstGeom>
                    <a:noFill/>
                    <a:ln>
                      <a:noFill/>
                    </a:ln>
                  </pic:spPr>
                </pic:pic>
              </a:graphicData>
            </a:graphic>
          </wp:inline>
        </w:drawing>
      </w:r>
      <w:r>
        <w:rPr>
          <w:color w:val="000000" w:themeColor="text1"/>
          <w14:textFill>
            <w14:solidFill>
              <w14:schemeClr w14:val="tx1"/>
            </w14:solidFill>
          </w14:textFill>
        </w:rPr>
        <w:t xml:space="preserve"> </w:t>
      </w:r>
    </w:p>
    <w:p w14:paraId="0210366F">
      <w:pPr>
        <w:pStyle w:val="43"/>
        <w:rPr>
          <w:color w:val="000000" w:themeColor="text1"/>
          <w14:textFill>
            <w14:solidFill>
              <w14:schemeClr w14:val="tx1"/>
            </w14:solidFill>
          </w14:textFill>
        </w:rPr>
      </w:pPr>
    </w:p>
    <w:p w14:paraId="04FB1F13">
      <w:pPr>
        <w:pStyle w:val="43"/>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7A68CCB1">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8" w:name="_Toc232073044"/>
      <w:r>
        <w:rPr>
          <w:rFonts w:hint="eastAsia" w:ascii="Times New Roman" w:hAnsi="Times New Roman" w:eastAsia="黑体"/>
          <w:snapToGrid w:val="0"/>
          <w:color w:val="000000" w:themeColor="text1"/>
          <w:sz w:val="21"/>
          <w:szCs w:val="21"/>
          <w14:textFill>
            <w14:solidFill>
              <w14:schemeClr w14:val="tx1"/>
            </w14:solidFill>
          </w14:textFill>
        </w:rPr>
        <w:t>附件</w:t>
      </w:r>
      <w:r>
        <w:rPr>
          <w:rFonts w:ascii="Times New Roman" w:hAnsi="Times New Roman" w:eastAsia="黑体"/>
          <w:snapToGrid w:val="0"/>
          <w:color w:val="000000" w:themeColor="text1"/>
          <w:sz w:val="21"/>
          <w:szCs w:val="21"/>
          <w14:textFill>
            <w14:solidFill>
              <w14:schemeClr w14:val="tx1"/>
            </w14:solidFill>
          </w14:textFill>
        </w:rPr>
        <w:t xml:space="preserve">4 </w:t>
      </w:r>
      <w:r>
        <w:rPr>
          <w:rFonts w:hint="eastAsia" w:ascii="Times New Roman" w:hAnsi="Times New Roman" w:eastAsia="黑体"/>
          <w:snapToGrid w:val="0"/>
          <w:color w:val="000000" w:themeColor="text1"/>
          <w:sz w:val="21"/>
          <w:szCs w:val="21"/>
          <w14:textFill>
            <w14:solidFill>
              <w14:schemeClr w14:val="tx1"/>
            </w14:solidFill>
          </w14:textFill>
        </w:rPr>
        <w:t>土地证</w:t>
      </w:r>
      <w:bookmarkEnd w:id="68"/>
    </w:p>
    <w:p w14:paraId="311B70F1">
      <w:pPr>
        <w:pStyle w:val="43"/>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31510" cy="4168140"/>
            <wp:effectExtent l="0" t="0" r="2540" b="3810"/>
            <wp:docPr id="210331479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14795" name="图片 9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731510" cy="4168140"/>
                    </a:xfrm>
                    <a:prstGeom prst="rect">
                      <a:avLst/>
                    </a:prstGeom>
                    <a:noFill/>
                    <a:ln>
                      <a:noFill/>
                    </a:ln>
                  </pic:spPr>
                </pic:pic>
              </a:graphicData>
            </a:graphic>
          </wp:inline>
        </w:drawing>
      </w:r>
    </w:p>
    <w:p w14:paraId="1929333D">
      <w:pPr>
        <w:pStyle w:val="43"/>
        <w:rPr>
          <w:color w:val="000000" w:themeColor="text1"/>
          <w14:textFill>
            <w14:solidFill>
              <w14:schemeClr w14:val="tx1"/>
            </w14:solidFill>
          </w14:textFill>
        </w:rPr>
      </w:pPr>
      <w:r>
        <w:rPr>
          <w:color w:val="000000" w:themeColor="text1"/>
          <w14:textFill>
            <w14:solidFill>
              <w14:schemeClr w14:val="tx1"/>
            </w14:solidFill>
          </w14:textFill>
        </w:rPr>
        <w:t xml:space="preserve"> </w:t>
      </w:r>
    </w:p>
    <w:p w14:paraId="261B45D8">
      <w:pPr>
        <w:pStyle w:val="43"/>
        <w:rPr>
          <w:color w:val="000000" w:themeColor="text1"/>
          <w14:textFill>
            <w14:solidFill>
              <w14:schemeClr w14:val="tx1"/>
            </w14:solidFill>
          </w14:textFill>
        </w:rPr>
        <w:sectPr>
          <w:pgSz w:w="11906" w:h="16838"/>
          <w:pgMar w:top="1440" w:right="1440" w:bottom="1440" w:left="1440" w:header="851" w:footer="1077" w:gutter="0"/>
          <w:cols w:space="425" w:num="1"/>
          <w:docGrid w:linePitch="312" w:charSpace="0"/>
        </w:sectPr>
      </w:pPr>
    </w:p>
    <w:p w14:paraId="3F753F71">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69" w:name="_Toc232073045"/>
      <w:r>
        <w:rPr>
          <w:rFonts w:hint="eastAsia" w:ascii="Times New Roman" w:hAnsi="Times New Roman" w:eastAsia="黑体"/>
          <w:snapToGrid w:val="0"/>
          <w:color w:val="000000" w:themeColor="text1"/>
          <w:sz w:val="21"/>
          <w:szCs w:val="21"/>
          <w14:textFill>
            <w14:solidFill>
              <w14:schemeClr w14:val="tx1"/>
            </w14:solidFill>
          </w14:textFill>
        </w:rPr>
        <w:t>附件</w:t>
      </w:r>
      <w:r>
        <w:rPr>
          <w:rFonts w:ascii="Times New Roman" w:hAnsi="Times New Roman" w:eastAsia="黑体"/>
          <w:snapToGrid w:val="0"/>
          <w:color w:val="000000" w:themeColor="text1"/>
          <w:sz w:val="21"/>
          <w:szCs w:val="21"/>
          <w14:textFill>
            <w14:solidFill>
              <w14:schemeClr w14:val="tx1"/>
            </w14:solidFill>
          </w14:textFill>
        </w:rPr>
        <w:t xml:space="preserve">5 </w:t>
      </w:r>
      <w:r>
        <w:rPr>
          <w:rFonts w:hint="eastAsia" w:ascii="Times New Roman" w:hAnsi="Times New Roman" w:eastAsia="黑体"/>
          <w:snapToGrid w:val="0"/>
          <w:color w:val="000000" w:themeColor="text1"/>
          <w:sz w:val="21"/>
          <w:szCs w:val="21"/>
          <w14:textFill>
            <w14:solidFill>
              <w14:schemeClr w14:val="tx1"/>
            </w14:solidFill>
          </w14:textFill>
        </w:rPr>
        <w:t>监测报告</w:t>
      </w:r>
      <w:bookmarkEnd w:id="69"/>
    </w:p>
    <w:p w14:paraId="1BD96EE9">
      <w:pPr>
        <w:pStyle w:val="43"/>
        <w:rPr>
          <w:rFonts w:eastAsia="黑体"/>
          <w:snapToGrid w:val="0"/>
          <w:color w:val="000000" w:themeColor="text1"/>
          <w:sz w:val="21"/>
          <w:szCs w:val="21"/>
          <w14:textFill>
            <w14:solidFill>
              <w14:schemeClr w14:val="tx1"/>
            </w14:solidFill>
          </w14:textFill>
        </w:rPr>
      </w:pPr>
      <w:r>
        <w:rPr>
          <w:color w:val="000000" w:themeColor="text1"/>
          <w14:textFill>
            <w14:solidFill>
              <w14:schemeClr w14:val="tx1"/>
            </w14:solidFill>
          </w14:textFill>
        </w:rPr>
        <w:drawing>
          <wp:inline distT="0" distB="0" distL="0" distR="0">
            <wp:extent cx="5731510" cy="8164830"/>
            <wp:effectExtent l="0" t="0" r="2540" b="7620"/>
            <wp:docPr id="26796789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967894" name="图片 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731510" cy="81648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5731510" cy="8164830"/>
            <wp:effectExtent l="0" t="0" r="2540" b="7620"/>
            <wp:docPr id="1735379081"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79081" name="图片 7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31510" cy="81648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5731510" cy="8164830"/>
            <wp:effectExtent l="0" t="0" r="2540" b="7620"/>
            <wp:docPr id="192578529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85299" name="图片 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731510" cy="81648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5731510" cy="8164830"/>
            <wp:effectExtent l="0" t="0" r="2540" b="7620"/>
            <wp:docPr id="11929338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3385" name="图片 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731510" cy="8164830"/>
                    </a:xfrm>
                    <a:prstGeom prst="rect">
                      <a:avLst/>
                    </a:prstGeom>
                    <a:noFill/>
                    <a:ln>
                      <a:noFill/>
                    </a:ln>
                  </pic:spPr>
                </pic:pic>
              </a:graphicData>
            </a:graphic>
          </wp:inline>
        </w:drawing>
      </w:r>
    </w:p>
    <w:p w14:paraId="4B365EDC">
      <w:pPr>
        <w:pStyle w:val="43"/>
        <w:rPr>
          <w:rFonts w:eastAsia="黑体"/>
          <w:snapToGrid w:val="0"/>
          <w:color w:val="000000" w:themeColor="text1"/>
          <w:sz w:val="21"/>
          <w:szCs w:val="21"/>
          <w14:textFill>
            <w14:solidFill>
              <w14:schemeClr w14:val="tx1"/>
            </w14:solidFill>
          </w14:textFill>
        </w:rPr>
      </w:pPr>
    </w:p>
    <w:p w14:paraId="1CCACFEB">
      <w:pPr>
        <w:pStyle w:val="43"/>
        <w:rPr>
          <w:rFonts w:eastAsia="黑体"/>
          <w:snapToGrid w:val="0"/>
          <w:color w:val="000000" w:themeColor="text1"/>
          <w:sz w:val="21"/>
          <w:szCs w:val="21"/>
          <w14:textFill>
            <w14:solidFill>
              <w14:schemeClr w14:val="tx1"/>
            </w14:solidFill>
          </w14:textFill>
        </w:rPr>
      </w:pPr>
    </w:p>
    <w:p w14:paraId="5FAB9C24">
      <w:pPr>
        <w:pStyle w:val="43"/>
        <w:rPr>
          <w:rFonts w:eastAsia="黑体"/>
          <w:snapToGrid w:val="0"/>
          <w:color w:val="000000" w:themeColor="text1"/>
          <w:sz w:val="21"/>
          <w:szCs w:val="21"/>
          <w14:textFill>
            <w14:solidFill>
              <w14:schemeClr w14:val="tx1"/>
            </w14:solidFill>
          </w14:textFill>
        </w:rPr>
      </w:pPr>
    </w:p>
    <w:p w14:paraId="5B0D7E1C">
      <w:pPr>
        <w:pStyle w:val="43"/>
        <w:rPr>
          <w:rFonts w:eastAsia="黑体"/>
          <w:snapToGrid w:val="0"/>
          <w:color w:val="000000" w:themeColor="text1"/>
          <w:sz w:val="21"/>
          <w:szCs w:val="21"/>
          <w14:textFill>
            <w14:solidFill>
              <w14:schemeClr w14:val="tx1"/>
            </w14:solidFill>
          </w14:textFill>
        </w:rPr>
      </w:pPr>
    </w:p>
    <w:p w14:paraId="6F0EBE77">
      <w:pPr>
        <w:pStyle w:val="43"/>
        <w:rPr>
          <w:rFonts w:eastAsia="黑体"/>
          <w:snapToGrid w:val="0"/>
          <w:color w:val="000000" w:themeColor="text1"/>
          <w:sz w:val="21"/>
          <w:szCs w:val="21"/>
          <w14:textFill>
            <w14:solidFill>
              <w14:schemeClr w14:val="tx1"/>
            </w14:solidFill>
          </w14:textFill>
        </w:rPr>
      </w:pPr>
      <w:r>
        <w:drawing>
          <wp:inline distT="0" distB="0" distL="0" distR="0">
            <wp:extent cx="5593080" cy="7991475"/>
            <wp:effectExtent l="0" t="0" r="7620" b="9525"/>
            <wp:docPr id="298136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36031" name="图片 1"/>
                    <pic:cNvPicPr>
                      <a:picLocks noChangeAspect="1"/>
                    </pic:cNvPicPr>
                  </pic:nvPicPr>
                  <pic:blipFill>
                    <a:blip r:embed="rId69"/>
                    <a:stretch>
                      <a:fillRect/>
                    </a:stretch>
                  </pic:blipFill>
                  <pic:spPr>
                    <a:xfrm>
                      <a:off x="0" y="0"/>
                      <a:ext cx="5593797" cy="7992561"/>
                    </a:xfrm>
                    <a:prstGeom prst="rect">
                      <a:avLst/>
                    </a:prstGeom>
                  </pic:spPr>
                </pic:pic>
              </a:graphicData>
            </a:graphic>
          </wp:inline>
        </w:drawing>
      </w:r>
    </w:p>
    <w:p w14:paraId="0C014513">
      <w:pPr>
        <w:pStyle w:val="43"/>
        <w:rPr>
          <w:rFonts w:eastAsia="黑体"/>
          <w:snapToGrid w:val="0"/>
          <w:color w:val="000000" w:themeColor="text1"/>
          <w:sz w:val="21"/>
          <w:szCs w:val="21"/>
          <w14:textFill>
            <w14:solidFill>
              <w14:schemeClr w14:val="tx1"/>
            </w14:solidFill>
          </w14:textFill>
        </w:rPr>
      </w:pPr>
    </w:p>
    <w:p w14:paraId="1908C66D">
      <w:pPr>
        <w:pStyle w:val="43"/>
        <w:rPr>
          <w:rFonts w:eastAsia="黑体"/>
          <w:snapToGrid w:val="0"/>
          <w:color w:val="000000" w:themeColor="text1"/>
          <w:sz w:val="21"/>
          <w:szCs w:val="21"/>
          <w14:textFill>
            <w14:solidFill>
              <w14:schemeClr w14:val="tx1"/>
            </w14:solidFill>
          </w14:textFill>
        </w:rPr>
      </w:pPr>
    </w:p>
    <w:p w14:paraId="22DD84BA">
      <w:pPr>
        <w:pStyle w:val="43"/>
        <w:rPr>
          <w:rFonts w:eastAsia="黑体"/>
          <w:snapToGrid w:val="0"/>
          <w:color w:val="000000" w:themeColor="text1"/>
          <w:sz w:val="21"/>
          <w:szCs w:val="21"/>
          <w14:textFill>
            <w14:solidFill>
              <w14:schemeClr w14:val="tx1"/>
            </w14:solidFill>
          </w14:textFill>
        </w:rPr>
      </w:pPr>
    </w:p>
    <w:p w14:paraId="690985F9">
      <w:pPr>
        <w:pStyle w:val="43"/>
        <w:rPr>
          <w:rFonts w:eastAsia="黑体"/>
          <w:snapToGrid w:val="0"/>
          <w:color w:val="000000" w:themeColor="text1"/>
          <w:sz w:val="21"/>
          <w:szCs w:val="21"/>
          <w14:textFill>
            <w14:solidFill>
              <w14:schemeClr w14:val="tx1"/>
            </w14:solidFill>
          </w14:textFill>
        </w:rPr>
      </w:pPr>
    </w:p>
    <w:p w14:paraId="2D3B8616">
      <w:pPr>
        <w:pStyle w:val="43"/>
        <w:rPr>
          <w:rFonts w:eastAsia="黑体"/>
          <w:snapToGrid w:val="0"/>
          <w:color w:val="000000" w:themeColor="text1"/>
          <w:sz w:val="21"/>
          <w:szCs w:val="21"/>
          <w14:textFill>
            <w14:solidFill>
              <w14:schemeClr w14:val="tx1"/>
            </w14:solidFill>
          </w14:textFill>
        </w:rPr>
      </w:pPr>
    </w:p>
    <w:p w14:paraId="43553985">
      <w:pPr>
        <w:pStyle w:val="43"/>
        <w:rPr>
          <w:rFonts w:eastAsia="黑体"/>
          <w:snapToGrid w:val="0"/>
          <w:color w:val="000000" w:themeColor="text1"/>
          <w:sz w:val="21"/>
          <w:szCs w:val="21"/>
          <w14:textFill>
            <w14:solidFill>
              <w14:schemeClr w14:val="tx1"/>
            </w14:solidFill>
          </w14:textFill>
        </w:rPr>
      </w:pPr>
      <w:r>
        <w:drawing>
          <wp:inline distT="0" distB="0" distL="0" distR="0">
            <wp:extent cx="5362575" cy="7610475"/>
            <wp:effectExtent l="0" t="0" r="9525" b="9525"/>
            <wp:docPr id="1340285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285545" name="图片 1"/>
                    <pic:cNvPicPr>
                      <a:picLocks noChangeAspect="1"/>
                    </pic:cNvPicPr>
                  </pic:nvPicPr>
                  <pic:blipFill>
                    <a:blip r:embed="rId70"/>
                    <a:stretch>
                      <a:fillRect/>
                    </a:stretch>
                  </pic:blipFill>
                  <pic:spPr>
                    <a:xfrm>
                      <a:off x="0" y="0"/>
                      <a:ext cx="5362575" cy="7610475"/>
                    </a:xfrm>
                    <a:prstGeom prst="rect">
                      <a:avLst/>
                    </a:prstGeom>
                  </pic:spPr>
                </pic:pic>
              </a:graphicData>
            </a:graphic>
          </wp:inline>
        </w:drawing>
      </w:r>
    </w:p>
    <w:p w14:paraId="22A1C51A">
      <w:pPr>
        <w:pStyle w:val="43"/>
        <w:rPr>
          <w:rFonts w:eastAsia="黑体"/>
          <w:snapToGrid w:val="0"/>
          <w:color w:val="000000" w:themeColor="text1"/>
          <w:sz w:val="21"/>
          <w:szCs w:val="21"/>
          <w14:textFill>
            <w14:solidFill>
              <w14:schemeClr w14:val="tx1"/>
            </w14:solidFill>
          </w14:textFill>
        </w:rPr>
      </w:pPr>
    </w:p>
    <w:p w14:paraId="063E1ABB">
      <w:pPr>
        <w:pStyle w:val="43"/>
        <w:rPr>
          <w:rFonts w:eastAsia="黑体"/>
          <w:snapToGrid w:val="0"/>
          <w:color w:val="000000" w:themeColor="text1"/>
          <w:sz w:val="21"/>
          <w:szCs w:val="21"/>
          <w14:textFill>
            <w14:solidFill>
              <w14:schemeClr w14:val="tx1"/>
            </w14:solidFill>
          </w14:textFill>
        </w:rPr>
      </w:pPr>
    </w:p>
    <w:p w14:paraId="2AC527A5">
      <w:pPr>
        <w:pStyle w:val="43"/>
        <w:rPr>
          <w:rFonts w:eastAsia="黑体"/>
          <w:snapToGrid w:val="0"/>
          <w:color w:val="000000" w:themeColor="text1"/>
          <w:sz w:val="21"/>
          <w:szCs w:val="21"/>
          <w14:textFill>
            <w14:solidFill>
              <w14:schemeClr w14:val="tx1"/>
            </w14:solidFill>
          </w14:textFill>
        </w:rPr>
      </w:pPr>
    </w:p>
    <w:p w14:paraId="4573A4C3">
      <w:pPr>
        <w:pStyle w:val="43"/>
        <w:rPr>
          <w:rFonts w:eastAsia="黑体"/>
          <w:snapToGrid w:val="0"/>
          <w:color w:val="000000" w:themeColor="text1"/>
          <w:sz w:val="21"/>
          <w:szCs w:val="21"/>
          <w14:textFill>
            <w14:solidFill>
              <w14:schemeClr w14:val="tx1"/>
            </w14:solidFill>
          </w14:textFill>
        </w:rPr>
      </w:pPr>
    </w:p>
    <w:p w14:paraId="7E20C5E0">
      <w:pPr>
        <w:pStyle w:val="43"/>
        <w:rPr>
          <w:rFonts w:eastAsia="黑体"/>
          <w:snapToGrid w:val="0"/>
          <w:color w:val="000000" w:themeColor="text1"/>
          <w:sz w:val="21"/>
          <w:szCs w:val="21"/>
          <w14:textFill>
            <w14:solidFill>
              <w14:schemeClr w14:val="tx1"/>
            </w14:solidFill>
          </w14:textFill>
        </w:rPr>
      </w:pPr>
    </w:p>
    <w:p w14:paraId="16FC0DE5">
      <w:pPr>
        <w:pStyle w:val="43"/>
        <w:rPr>
          <w:rFonts w:eastAsia="黑体"/>
          <w:snapToGrid w:val="0"/>
          <w:color w:val="000000" w:themeColor="text1"/>
          <w:sz w:val="21"/>
          <w:szCs w:val="21"/>
          <w14:textFill>
            <w14:solidFill>
              <w14:schemeClr w14:val="tx1"/>
            </w14:solidFill>
          </w14:textFill>
        </w:rPr>
      </w:pPr>
    </w:p>
    <w:p w14:paraId="4B912C70">
      <w:pPr>
        <w:pStyle w:val="43"/>
        <w:rPr>
          <w:rFonts w:eastAsia="黑体"/>
          <w:snapToGrid w:val="0"/>
          <w:color w:val="000000" w:themeColor="text1"/>
          <w:sz w:val="21"/>
          <w:szCs w:val="21"/>
          <w14:textFill>
            <w14:solidFill>
              <w14:schemeClr w14:val="tx1"/>
            </w14:solidFill>
          </w14:textFill>
        </w:rPr>
      </w:pPr>
    </w:p>
    <w:p w14:paraId="31C74E73">
      <w:pPr>
        <w:pStyle w:val="43"/>
        <w:rPr>
          <w:rFonts w:eastAsia="黑体"/>
          <w:snapToGrid w:val="0"/>
          <w:color w:val="000000" w:themeColor="text1"/>
          <w:sz w:val="21"/>
          <w:szCs w:val="21"/>
          <w14:textFill>
            <w14:solidFill>
              <w14:schemeClr w14:val="tx1"/>
            </w14:solidFill>
          </w14:textFill>
        </w:rPr>
      </w:pPr>
    </w:p>
    <w:p w14:paraId="550F22ED">
      <w:pPr>
        <w:pStyle w:val="43"/>
        <w:rPr>
          <w:rFonts w:eastAsia="黑体"/>
          <w:snapToGrid w:val="0"/>
          <w:color w:val="000000" w:themeColor="text1"/>
          <w:sz w:val="21"/>
          <w:szCs w:val="21"/>
          <w14:textFill>
            <w14:solidFill>
              <w14:schemeClr w14:val="tx1"/>
            </w14:solidFill>
          </w14:textFill>
        </w:rPr>
      </w:pPr>
    </w:p>
    <w:p w14:paraId="03102E63">
      <w:pPr>
        <w:pStyle w:val="43"/>
        <w:rPr>
          <w:rFonts w:eastAsia="黑体"/>
          <w:snapToGrid w:val="0"/>
          <w:color w:val="000000" w:themeColor="text1"/>
          <w:sz w:val="21"/>
          <w:szCs w:val="21"/>
          <w14:textFill>
            <w14:solidFill>
              <w14:schemeClr w14:val="tx1"/>
            </w14:solidFill>
          </w14:textFill>
        </w:rPr>
      </w:pPr>
      <w:r>
        <w:drawing>
          <wp:inline distT="0" distB="0" distL="0" distR="0">
            <wp:extent cx="5381625" cy="7610475"/>
            <wp:effectExtent l="0" t="0" r="9525" b="9525"/>
            <wp:docPr id="977150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50899" name="图片 1"/>
                    <pic:cNvPicPr>
                      <a:picLocks noChangeAspect="1"/>
                    </pic:cNvPicPr>
                  </pic:nvPicPr>
                  <pic:blipFill>
                    <a:blip r:embed="rId71"/>
                    <a:stretch>
                      <a:fillRect/>
                    </a:stretch>
                  </pic:blipFill>
                  <pic:spPr>
                    <a:xfrm>
                      <a:off x="0" y="0"/>
                      <a:ext cx="5381625" cy="7610475"/>
                    </a:xfrm>
                    <a:prstGeom prst="rect">
                      <a:avLst/>
                    </a:prstGeom>
                  </pic:spPr>
                </pic:pic>
              </a:graphicData>
            </a:graphic>
          </wp:inline>
        </w:drawing>
      </w:r>
    </w:p>
    <w:p w14:paraId="36EABA8B">
      <w:pPr>
        <w:pStyle w:val="43"/>
        <w:rPr>
          <w:rFonts w:eastAsia="黑体"/>
          <w:snapToGrid w:val="0"/>
          <w:color w:val="000000" w:themeColor="text1"/>
          <w:sz w:val="21"/>
          <w:szCs w:val="21"/>
          <w14:textFill>
            <w14:solidFill>
              <w14:schemeClr w14:val="tx1"/>
            </w14:solidFill>
          </w14:textFill>
        </w:rPr>
      </w:pPr>
    </w:p>
    <w:p w14:paraId="258E7781">
      <w:pPr>
        <w:pStyle w:val="43"/>
        <w:rPr>
          <w:rFonts w:eastAsia="黑体"/>
          <w:snapToGrid w:val="0"/>
          <w:color w:val="000000" w:themeColor="text1"/>
          <w:sz w:val="21"/>
          <w:szCs w:val="21"/>
          <w14:textFill>
            <w14:solidFill>
              <w14:schemeClr w14:val="tx1"/>
            </w14:solidFill>
          </w14:textFill>
        </w:rPr>
      </w:pPr>
    </w:p>
    <w:p w14:paraId="2B6C693A">
      <w:pPr>
        <w:pStyle w:val="43"/>
        <w:rPr>
          <w:rFonts w:eastAsia="黑体"/>
          <w:snapToGrid w:val="0"/>
          <w:color w:val="000000" w:themeColor="text1"/>
          <w:sz w:val="21"/>
          <w:szCs w:val="21"/>
          <w14:textFill>
            <w14:solidFill>
              <w14:schemeClr w14:val="tx1"/>
            </w14:solidFill>
          </w14:textFill>
        </w:rPr>
      </w:pPr>
    </w:p>
    <w:p w14:paraId="1A14727F">
      <w:pPr>
        <w:pStyle w:val="43"/>
        <w:rPr>
          <w:rFonts w:eastAsia="黑体"/>
          <w:snapToGrid w:val="0"/>
          <w:color w:val="000000" w:themeColor="text1"/>
          <w:sz w:val="21"/>
          <w:szCs w:val="21"/>
          <w14:textFill>
            <w14:solidFill>
              <w14:schemeClr w14:val="tx1"/>
            </w14:solidFill>
          </w14:textFill>
        </w:rPr>
      </w:pPr>
    </w:p>
    <w:p w14:paraId="4CDB3BBD">
      <w:pPr>
        <w:pStyle w:val="43"/>
        <w:rPr>
          <w:rFonts w:eastAsia="黑体"/>
          <w:snapToGrid w:val="0"/>
          <w:color w:val="000000" w:themeColor="text1"/>
          <w:sz w:val="21"/>
          <w:szCs w:val="21"/>
          <w14:textFill>
            <w14:solidFill>
              <w14:schemeClr w14:val="tx1"/>
            </w14:solidFill>
          </w14:textFill>
        </w:rPr>
      </w:pPr>
    </w:p>
    <w:p w14:paraId="4F867591">
      <w:pPr>
        <w:pStyle w:val="43"/>
        <w:rPr>
          <w:rFonts w:eastAsia="黑体"/>
          <w:snapToGrid w:val="0"/>
          <w:color w:val="000000" w:themeColor="text1"/>
          <w:sz w:val="21"/>
          <w:szCs w:val="21"/>
          <w14:textFill>
            <w14:solidFill>
              <w14:schemeClr w14:val="tx1"/>
            </w14:solidFill>
          </w14:textFill>
        </w:rPr>
      </w:pPr>
    </w:p>
    <w:p w14:paraId="16FD4D40">
      <w:pPr>
        <w:pStyle w:val="43"/>
        <w:rPr>
          <w:rFonts w:eastAsia="黑体"/>
          <w:snapToGrid w:val="0"/>
          <w:color w:val="000000" w:themeColor="text1"/>
          <w:sz w:val="21"/>
          <w:szCs w:val="21"/>
          <w14:textFill>
            <w14:solidFill>
              <w14:schemeClr w14:val="tx1"/>
            </w14:solidFill>
          </w14:textFill>
        </w:rPr>
      </w:pPr>
    </w:p>
    <w:p w14:paraId="459E69B9">
      <w:pPr>
        <w:pStyle w:val="43"/>
        <w:rPr>
          <w:rFonts w:eastAsia="黑体"/>
          <w:snapToGrid w:val="0"/>
          <w:color w:val="000000" w:themeColor="text1"/>
          <w:sz w:val="21"/>
          <w:szCs w:val="21"/>
          <w14:textFill>
            <w14:solidFill>
              <w14:schemeClr w14:val="tx1"/>
            </w14:solidFill>
          </w14:textFill>
        </w:rPr>
      </w:pPr>
    </w:p>
    <w:p w14:paraId="147297C3">
      <w:pPr>
        <w:pStyle w:val="43"/>
        <w:rPr>
          <w:snapToGrid w:val="0"/>
          <w:color w:val="000000" w:themeColor="text1"/>
          <w14:textFill>
            <w14:solidFill>
              <w14:schemeClr w14:val="tx1"/>
            </w14:solidFill>
          </w14:textFill>
        </w:rPr>
      </w:pPr>
      <w:r>
        <w:drawing>
          <wp:inline distT="0" distB="0" distL="0" distR="0">
            <wp:extent cx="5391150" cy="7600950"/>
            <wp:effectExtent l="0" t="0" r="0" b="0"/>
            <wp:docPr id="1443392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92005" name="图片 1"/>
                    <pic:cNvPicPr>
                      <a:picLocks noChangeAspect="1"/>
                    </pic:cNvPicPr>
                  </pic:nvPicPr>
                  <pic:blipFill>
                    <a:blip r:embed="rId72"/>
                    <a:stretch>
                      <a:fillRect/>
                    </a:stretch>
                  </pic:blipFill>
                  <pic:spPr>
                    <a:xfrm>
                      <a:off x="0" y="0"/>
                      <a:ext cx="5391150" cy="7600950"/>
                    </a:xfrm>
                    <a:prstGeom prst="rect">
                      <a:avLst/>
                    </a:prstGeom>
                  </pic:spPr>
                </pic:pic>
              </a:graphicData>
            </a:graphic>
          </wp:inline>
        </w:drawing>
      </w:r>
    </w:p>
    <w:p w14:paraId="131504D9">
      <w:pPr>
        <w:pStyle w:val="43"/>
        <w:rPr>
          <w:snapToGrid w:val="0"/>
          <w:color w:val="000000" w:themeColor="text1"/>
          <w14:textFill>
            <w14:solidFill>
              <w14:schemeClr w14:val="tx1"/>
            </w14:solidFill>
          </w14:textFill>
        </w:rPr>
      </w:pPr>
    </w:p>
    <w:p w14:paraId="2C4A245F">
      <w:pPr>
        <w:pStyle w:val="43"/>
        <w:rPr>
          <w:snapToGrid w:val="0"/>
          <w:color w:val="000000" w:themeColor="text1"/>
          <w14:textFill>
            <w14:solidFill>
              <w14:schemeClr w14:val="tx1"/>
            </w14:solidFill>
          </w14:textFill>
        </w:rPr>
      </w:pPr>
    </w:p>
    <w:p w14:paraId="57EE5124">
      <w:pPr>
        <w:pStyle w:val="43"/>
        <w:rPr>
          <w:snapToGrid w:val="0"/>
          <w:color w:val="000000" w:themeColor="text1"/>
          <w14:textFill>
            <w14:solidFill>
              <w14:schemeClr w14:val="tx1"/>
            </w14:solidFill>
          </w14:textFill>
        </w:rPr>
      </w:pPr>
    </w:p>
    <w:p w14:paraId="14927E25">
      <w:pPr>
        <w:pStyle w:val="43"/>
        <w:rPr>
          <w:snapToGrid w:val="0"/>
          <w:color w:val="000000" w:themeColor="text1"/>
          <w14:textFill>
            <w14:solidFill>
              <w14:schemeClr w14:val="tx1"/>
            </w14:solidFill>
          </w14:textFill>
        </w:rPr>
      </w:pPr>
    </w:p>
    <w:p w14:paraId="772370A0">
      <w:pPr>
        <w:pStyle w:val="43"/>
        <w:rPr>
          <w:snapToGrid w:val="0"/>
          <w:color w:val="000000" w:themeColor="text1"/>
          <w14:textFill>
            <w14:solidFill>
              <w14:schemeClr w14:val="tx1"/>
            </w14:solidFill>
          </w14:textFill>
        </w:rPr>
      </w:pPr>
    </w:p>
    <w:p w14:paraId="3749FFBB">
      <w:pPr>
        <w:pStyle w:val="43"/>
        <w:rPr>
          <w:snapToGrid w:val="0"/>
          <w:color w:val="000000" w:themeColor="text1"/>
          <w14:textFill>
            <w14:solidFill>
              <w14:schemeClr w14:val="tx1"/>
            </w14:solidFill>
          </w14:textFill>
        </w:rPr>
      </w:pPr>
    </w:p>
    <w:p w14:paraId="557C9779">
      <w:pPr>
        <w:pStyle w:val="43"/>
        <w:rPr>
          <w:snapToGrid w:val="0"/>
          <w:color w:val="000000" w:themeColor="text1"/>
          <w14:textFill>
            <w14:solidFill>
              <w14:schemeClr w14:val="tx1"/>
            </w14:solidFill>
          </w14:textFill>
        </w:rPr>
      </w:pPr>
    </w:p>
    <w:p w14:paraId="514CC9AB">
      <w:pPr>
        <w:pStyle w:val="43"/>
        <w:rPr>
          <w:snapToGrid w:val="0"/>
          <w:color w:val="000000" w:themeColor="text1"/>
          <w14:textFill>
            <w14:solidFill>
              <w14:schemeClr w14:val="tx1"/>
            </w14:solidFill>
          </w14:textFill>
        </w:rPr>
      </w:pPr>
    </w:p>
    <w:p w14:paraId="3DAC36F8">
      <w:pPr>
        <w:pStyle w:val="15"/>
        <w:adjustRightInd w:val="0"/>
        <w:snapToGrid w:val="0"/>
        <w:spacing w:before="0" w:beforeAutospacing="0" w:after="0" w:afterAutospacing="0"/>
        <w:outlineLvl w:val="0"/>
        <w:rPr>
          <w:rFonts w:ascii="Times New Roman" w:hAnsi="Times New Roman" w:eastAsia="黑体"/>
          <w:snapToGrid w:val="0"/>
          <w:color w:val="000000" w:themeColor="text1"/>
          <w:sz w:val="21"/>
          <w:szCs w:val="21"/>
          <w14:textFill>
            <w14:solidFill>
              <w14:schemeClr w14:val="tx1"/>
            </w14:solidFill>
          </w14:textFill>
        </w:rPr>
      </w:pPr>
      <w:bookmarkStart w:id="70" w:name="_Toc232073046"/>
      <w:r>
        <w:rPr>
          <w:rFonts w:hint="eastAsia" w:ascii="Times New Roman" w:hAnsi="Times New Roman" w:eastAsia="黑体"/>
          <w:snapToGrid w:val="0"/>
          <w:color w:val="000000" w:themeColor="text1"/>
          <w:sz w:val="21"/>
          <w:szCs w:val="21"/>
          <w14:textFill>
            <w14:solidFill>
              <w14:schemeClr w14:val="tx1"/>
            </w14:solidFill>
          </w14:textFill>
        </w:rPr>
        <w:t>附件6</w:t>
      </w:r>
      <w:r>
        <w:rPr>
          <w:rFonts w:ascii="Times New Roman" w:hAnsi="Times New Roman" w:eastAsia="黑体"/>
          <w:snapToGrid w:val="0"/>
          <w:color w:val="000000" w:themeColor="text1"/>
          <w:sz w:val="21"/>
          <w:szCs w:val="21"/>
          <w14:textFill>
            <w14:solidFill>
              <w14:schemeClr w14:val="tx1"/>
            </w14:solidFill>
          </w14:textFill>
        </w:rPr>
        <w:t xml:space="preserve"> </w:t>
      </w:r>
      <w:r>
        <w:rPr>
          <w:rFonts w:hint="eastAsia" w:ascii="Times New Roman" w:hAnsi="Times New Roman" w:eastAsia="黑体"/>
          <w:snapToGrid w:val="0"/>
          <w:color w:val="000000" w:themeColor="text1"/>
          <w:sz w:val="21"/>
          <w:szCs w:val="21"/>
          <w14:textFill>
            <w14:solidFill>
              <w14:schemeClr w14:val="tx1"/>
            </w14:solidFill>
          </w14:textFill>
        </w:rPr>
        <w:t>燃料分析单</w:t>
      </w:r>
      <w:bookmarkEnd w:id="70"/>
    </w:p>
    <w:p w14:paraId="2DECB138">
      <w:pPr>
        <w:pStyle w:val="43"/>
        <w:rPr>
          <w:snapToGrid w:val="0"/>
          <w:color w:val="000000" w:themeColor="text1"/>
          <w14:textFill>
            <w14:solidFill>
              <w14:schemeClr w14:val="tx1"/>
            </w14:solidFill>
          </w14:textFill>
        </w:rPr>
      </w:pPr>
      <w:r>
        <w:drawing>
          <wp:inline distT="0" distB="0" distL="0" distR="0">
            <wp:extent cx="5181600" cy="7139940"/>
            <wp:effectExtent l="0" t="0" r="0" b="3810"/>
            <wp:docPr id="1827544234" name="图片 92" descr="1(1~O_K[M~YM[KZNJ4TW}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44234" name="图片 92" descr="1(1~O_K[M~YM[KZNJ4TW}_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181600" cy="7139940"/>
                    </a:xfrm>
                    <a:prstGeom prst="rect">
                      <a:avLst/>
                    </a:prstGeom>
                    <a:noFill/>
                    <a:ln>
                      <a:noFill/>
                    </a:ln>
                  </pic:spPr>
                </pic:pic>
              </a:graphicData>
            </a:graphic>
          </wp:inline>
        </w:drawing>
      </w:r>
    </w:p>
    <w:p w14:paraId="7119AE92">
      <w:pPr>
        <w:pStyle w:val="43"/>
        <w:rPr>
          <w:snapToGrid w:val="0"/>
          <w:color w:val="000000" w:themeColor="text1"/>
          <w14:textFill>
            <w14:solidFill>
              <w14:schemeClr w14:val="tx1"/>
            </w14:solidFill>
          </w14:textFill>
        </w:rPr>
      </w:pPr>
    </w:p>
    <w:p w14:paraId="34386BC7">
      <w:pPr>
        <w:pStyle w:val="43"/>
        <w:rPr>
          <w:snapToGrid w:val="0"/>
          <w:color w:val="000000" w:themeColor="text1"/>
          <w14:textFill>
            <w14:solidFill>
              <w14:schemeClr w14:val="tx1"/>
            </w14:solidFill>
          </w14:textFill>
        </w:rPr>
      </w:pPr>
    </w:p>
    <w:p w14:paraId="4A2662E1">
      <w:pPr>
        <w:pStyle w:val="43"/>
        <w:rPr>
          <w:snapToGrid w:val="0"/>
          <w:color w:val="000000" w:themeColor="text1"/>
          <w14:textFill>
            <w14:solidFill>
              <w14:schemeClr w14:val="tx1"/>
            </w14:solidFill>
          </w14:textFill>
        </w:rPr>
      </w:pPr>
    </w:p>
    <w:sectPr>
      <w:pgSz w:w="11906" w:h="16838"/>
      <w:pgMar w:top="1440" w:right="1440" w:bottom="1440" w:left="1440" w:header="851" w:footer="1077"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Wingdings 2">
    <w:altName w:val="Wingdings"/>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Wingdings">
    <w:panose1 w:val="05000000000000000000"/>
    <w:charset w:val="00"/>
    <w:family w:val="auto"/>
    <w:pitch w:val="default"/>
    <w:sig w:usb0="00000000" w:usb1="00000000" w:usb2="00000000" w:usb3="00000000" w:csb0="80000000"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9A68B1">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6930381"/>
      <w:docPartObj>
        <w:docPartGallery w:val="AutoText"/>
      </w:docPartObj>
    </w:sdtPr>
    <w:sdtContent>
      <w:p w14:paraId="03EBFDF7">
        <w:pPr>
          <w:pStyle w:val="11"/>
          <w:jc w:val="center"/>
        </w:pPr>
        <w:r>
          <w:fldChar w:fldCharType="begin"/>
        </w:r>
        <w:r>
          <w:instrText xml:space="preserve">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219D9">
    <w:pPr>
      <w:pStyle w:val="11"/>
      <w:framePr w:wrap="around" w:vAnchor="text" w:hAnchor="margin" w:xAlign="outside" w:y="1"/>
      <w:rPr>
        <w:rStyle w:val="22"/>
      </w:rPr>
    </w:pPr>
    <w:r>
      <w:rPr>
        <w:rStyle w:val="22"/>
      </w:rPr>
      <w:fldChar w:fldCharType="begin"/>
    </w:r>
    <w:r>
      <w:rPr>
        <w:rStyle w:val="22"/>
      </w:rPr>
      <w:instrText xml:space="preserve">PAGE  </w:instrText>
    </w:r>
    <w:r>
      <w:rPr>
        <w:rStyle w:val="22"/>
      </w:rPr>
      <w:fldChar w:fldCharType="end"/>
    </w:r>
  </w:p>
  <w:p w14:paraId="6C269D1B">
    <w:pPr>
      <w:pStyle w:val="11"/>
      <w:ind w:right="360" w:firstLine="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03B3"/>
    <w:rsid w:val="00000908"/>
    <w:rsid w:val="00001A62"/>
    <w:rsid w:val="00001CED"/>
    <w:rsid w:val="00001E67"/>
    <w:rsid w:val="000022A1"/>
    <w:rsid w:val="0000231E"/>
    <w:rsid w:val="00002656"/>
    <w:rsid w:val="00003CD8"/>
    <w:rsid w:val="00003CE6"/>
    <w:rsid w:val="00005047"/>
    <w:rsid w:val="000057E3"/>
    <w:rsid w:val="00005DB0"/>
    <w:rsid w:val="00006632"/>
    <w:rsid w:val="00006C91"/>
    <w:rsid w:val="000071C0"/>
    <w:rsid w:val="00007862"/>
    <w:rsid w:val="00007D63"/>
    <w:rsid w:val="00010798"/>
    <w:rsid w:val="000111E4"/>
    <w:rsid w:val="00011E84"/>
    <w:rsid w:val="0001225A"/>
    <w:rsid w:val="000122F5"/>
    <w:rsid w:val="000123A7"/>
    <w:rsid w:val="000136DB"/>
    <w:rsid w:val="00014965"/>
    <w:rsid w:val="0001523A"/>
    <w:rsid w:val="00015531"/>
    <w:rsid w:val="00015B02"/>
    <w:rsid w:val="00015B3C"/>
    <w:rsid w:val="00016ECB"/>
    <w:rsid w:val="0001703F"/>
    <w:rsid w:val="00017ED0"/>
    <w:rsid w:val="0002009F"/>
    <w:rsid w:val="00020C64"/>
    <w:rsid w:val="00020E96"/>
    <w:rsid w:val="00021239"/>
    <w:rsid w:val="00021F78"/>
    <w:rsid w:val="00022126"/>
    <w:rsid w:val="00022948"/>
    <w:rsid w:val="00022CA2"/>
    <w:rsid w:val="00022D94"/>
    <w:rsid w:val="00023C75"/>
    <w:rsid w:val="00023E7C"/>
    <w:rsid w:val="000241F8"/>
    <w:rsid w:val="000259E8"/>
    <w:rsid w:val="000268F9"/>
    <w:rsid w:val="000269F6"/>
    <w:rsid w:val="000270CF"/>
    <w:rsid w:val="0002749B"/>
    <w:rsid w:val="000278D8"/>
    <w:rsid w:val="00030D1B"/>
    <w:rsid w:val="000311A3"/>
    <w:rsid w:val="00031939"/>
    <w:rsid w:val="00031A97"/>
    <w:rsid w:val="00031FEC"/>
    <w:rsid w:val="0003287A"/>
    <w:rsid w:val="00032D25"/>
    <w:rsid w:val="000340E6"/>
    <w:rsid w:val="0003434A"/>
    <w:rsid w:val="00035693"/>
    <w:rsid w:val="00035962"/>
    <w:rsid w:val="00037161"/>
    <w:rsid w:val="00037332"/>
    <w:rsid w:val="00037538"/>
    <w:rsid w:val="00040D89"/>
    <w:rsid w:val="00041E02"/>
    <w:rsid w:val="0004280F"/>
    <w:rsid w:val="00043800"/>
    <w:rsid w:val="00043AD4"/>
    <w:rsid w:val="00043D86"/>
    <w:rsid w:val="00044C1C"/>
    <w:rsid w:val="000462EE"/>
    <w:rsid w:val="00046D1A"/>
    <w:rsid w:val="00046DBE"/>
    <w:rsid w:val="000474D8"/>
    <w:rsid w:val="000505BE"/>
    <w:rsid w:val="00050BEF"/>
    <w:rsid w:val="000510EF"/>
    <w:rsid w:val="000518C8"/>
    <w:rsid w:val="00051A5B"/>
    <w:rsid w:val="00052173"/>
    <w:rsid w:val="0005219D"/>
    <w:rsid w:val="00052A18"/>
    <w:rsid w:val="00053302"/>
    <w:rsid w:val="0005456C"/>
    <w:rsid w:val="00054949"/>
    <w:rsid w:val="00054DDC"/>
    <w:rsid w:val="0005568F"/>
    <w:rsid w:val="00056F92"/>
    <w:rsid w:val="0005714E"/>
    <w:rsid w:val="00057D1C"/>
    <w:rsid w:val="00061323"/>
    <w:rsid w:val="0006134A"/>
    <w:rsid w:val="0006153D"/>
    <w:rsid w:val="00061B1F"/>
    <w:rsid w:val="000620EA"/>
    <w:rsid w:val="0006310E"/>
    <w:rsid w:val="000631C4"/>
    <w:rsid w:val="00064CEE"/>
    <w:rsid w:val="00065285"/>
    <w:rsid w:val="000655F4"/>
    <w:rsid w:val="000664DB"/>
    <w:rsid w:val="00067B8A"/>
    <w:rsid w:val="00067F61"/>
    <w:rsid w:val="0007066A"/>
    <w:rsid w:val="00070841"/>
    <w:rsid w:val="0007127D"/>
    <w:rsid w:val="00071679"/>
    <w:rsid w:val="00071AE5"/>
    <w:rsid w:val="00072A83"/>
    <w:rsid w:val="00072CF1"/>
    <w:rsid w:val="0007325F"/>
    <w:rsid w:val="00073336"/>
    <w:rsid w:val="00073A24"/>
    <w:rsid w:val="00074643"/>
    <w:rsid w:val="00074783"/>
    <w:rsid w:val="00074A49"/>
    <w:rsid w:val="00074BD3"/>
    <w:rsid w:val="00074EC3"/>
    <w:rsid w:val="00075889"/>
    <w:rsid w:val="000767B9"/>
    <w:rsid w:val="000772CF"/>
    <w:rsid w:val="000776B1"/>
    <w:rsid w:val="000800E8"/>
    <w:rsid w:val="000801E0"/>
    <w:rsid w:val="000815E5"/>
    <w:rsid w:val="000821BB"/>
    <w:rsid w:val="00082A29"/>
    <w:rsid w:val="00082ADB"/>
    <w:rsid w:val="0008331D"/>
    <w:rsid w:val="0008358F"/>
    <w:rsid w:val="00083C18"/>
    <w:rsid w:val="0008411E"/>
    <w:rsid w:val="00084C77"/>
    <w:rsid w:val="00085EC2"/>
    <w:rsid w:val="00086275"/>
    <w:rsid w:val="00086776"/>
    <w:rsid w:val="0008685A"/>
    <w:rsid w:val="00086F85"/>
    <w:rsid w:val="000902D8"/>
    <w:rsid w:val="00090822"/>
    <w:rsid w:val="00090D8C"/>
    <w:rsid w:val="00090FA7"/>
    <w:rsid w:val="00091BEF"/>
    <w:rsid w:val="00092899"/>
    <w:rsid w:val="00095A54"/>
    <w:rsid w:val="000963F8"/>
    <w:rsid w:val="0009754A"/>
    <w:rsid w:val="000A0431"/>
    <w:rsid w:val="000A04C9"/>
    <w:rsid w:val="000A178E"/>
    <w:rsid w:val="000A1D95"/>
    <w:rsid w:val="000A2483"/>
    <w:rsid w:val="000A251F"/>
    <w:rsid w:val="000A2830"/>
    <w:rsid w:val="000A2D89"/>
    <w:rsid w:val="000A38C2"/>
    <w:rsid w:val="000A451C"/>
    <w:rsid w:val="000A48D0"/>
    <w:rsid w:val="000A54F8"/>
    <w:rsid w:val="000A557E"/>
    <w:rsid w:val="000A68B8"/>
    <w:rsid w:val="000A6C91"/>
    <w:rsid w:val="000A71A2"/>
    <w:rsid w:val="000A7583"/>
    <w:rsid w:val="000A7798"/>
    <w:rsid w:val="000A7F1F"/>
    <w:rsid w:val="000B0414"/>
    <w:rsid w:val="000B058F"/>
    <w:rsid w:val="000B0672"/>
    <w:rsid w:val="000B09A2"/>
    <w:rsid w:val="000B148B"/>
    <w:rsid w:val="000B1806"/>
    <w:rsid w:val="000B1CBF"/>
    <w:rsid w:val="000B3A3D"/>
    <w:rsid w:val="000B3C3A"/>
    <w:rsid w:val="000B3C80"/>
    <w:rsid w:val="000B441D"/>
    <w:rsid w:val="000B4961"/>
    <w:rsid w:val="000B636B"/>
    <w:rsid w:val="000B693F"/>
    <w:rsid w:val="000B6D4B"/>
    <w:rsid w:val="000B6F17"/>
    <w:rsid w:val="000B6FDD"/>
    <w:rsid w:val="000B7048"/>
    <w:rsid w:val="000B76D2"/>
    <w:rsid w:val="000B7C8D"/>
    <w:rsid w:val="000C0495"/>
    <w:rsid w:val="000C053B"/>
    <w:rsid w:val="000C055D"/>
    <w:rsid w:val="000C069F"/>
    <w:rsid w:val="000C0788"/>
    <w:rsid w:val="000C09AC"/>
    <w:rsid w:val="000C0A63"/>
    <w:rsid w:val="000C14AE"/>
    <w:rsid w:val="000C270A"/>
    <w:rsid w:val="000C2A56"/>
    <w:rsid w:val="000C304E"/>
    <w:rsid w:val="000C30AB"/>
    <w:rsid w:val="000C31D6"/>
    <w:rsid w:val="000C344E"/>
    <w:rsid w:val="000C3BEB"/>
    <w:rsid w:val="000C40F7"/>
    <w:rsid w:val="000C437E"/>
    <w:rsid w:val="000C4427"/>
    <w:rsid w:val="000C7E58"/>
    <w:rsid w:val="000D12E2"/>
    <w:rsid w:val="000D354E"/>
    <w:rsid w:val="000D35AA"/>
    <w:rsid w:val="000D46D9"/>
    <w:rsid w:val="000D46EE"/>
    <w:rsid w:val="000D48CC"/>
    <w:rsid w:val="000D4D6E"/>
    <w:rsid w:val="000D5A70"/>
    <w:rsid w:val="000D63A4"/>
    <w:rsid w:val="000D6ECE"/>
    <w:rsid w:val="000D70D5"/>
    <w:rsid w:val="000D7EA8"/>
    <w:rsid w:val="000E0165"/>
    <w:rsid w:val="000E03D2"/>
    <w:rsid w:val="000E04BD"/>
    <w:rsid w:val="000E154C"/>
    <w:rsid w:val="000E2C1E"/>
    <w:rsid w:val="000E33DF"/>
    <w:rsid w:val="000E354E"/>
    <w:rsid w:val="000E3986"/>
    <w:rsid w:val="000E443C"/>
    <w:rsid w:val="000E4998"/>
    <w:rsid w:val="000E5A65"/>
    <w:rsid w:val="000E5F16"/>
    <w:rsid w:val="000E6CA3"/>
    <w:rsid w:val="000E6EF6"/>
    <w:rsid w:val="000E763B"/>
    <w:rsid w:val="000F0283"/>
    <w:rsid w:val="000F17BF"/>
    <w:rsid w:val="000F221D"/>
    <w:rsid w:val="000F2560"/>
    <w:rsid w:val="000F274A"/>
    <w:rsid w:val="000F28F8"/>
    <w:rsid w:val="000F2CF4"/>
    <w:rsid w:val="000F30BD"/>
    <w:rsid w:val="000F31D5"/>
    <w:rsid w:val="000F3200"/>
    <w:rsid w:val="000F33FC"/>
    <w:rsid w:val="000F372B"/>
    <w:rsid w:val="000F3932"/>
    <w:rsid w:val="000F4452"/>
    <w:rsid w:val="000F46F9"/>
    <w:rsid w:val="000F4808"/>
    <w:rsid w:val="000F48B0"/>
    <w:rsid w:val="000F515D"/>
    <w:rsid w:val="000F546C"/>
    <w:rsid w:val="000F5DDF"/>
    <w:rsid w:val="000F636B"/>
    <w:rsid w:val="000F63BD"/>
    <w:rsid w:val="000F6A26"/>
    <w:rsid w:val="000F6DA1"/>
    <w:rsid w:val="000F701B"/>
    <w:rsid w:val="000F78E0"/>
    <w:rsid w:val="00100F22"/>
    <w:rsid w:val="00101C03"/>
    <w:rsid w:val="00102638"/>
    <w:rsid w:val="00103D96"/>
    <w:rsid w:val="00103E15"/>
    <w:rsid w:val="001041DC"/>
    <w:rsid w:val="00104284"/>
    <w:rsid w:val="00104966"/>
    <w:rsid w:val="00105429"/>
    <w:rsid w:val="001054AD"/>
    <w:rsid w:val="001056A0"/>
    <w:rsid w:val="00106519"/>
    <w:rsid w:val="00107613"/>
    <w:rsid w:val="00107707"/>
    <w:rsid w:val="0010778E"/>
    <w:rsid w:val="00107A86"/>
    <w:rsid w:val="00107ED7"/>
    <w:rsid w:val="001108CA"/>
    <w:rsid w:val="00110BA6"/>
    <w:rsid w:val="00111545"/>
    <w:rsid w:val="001136B5"/>
    <w:rsid w:val="001136EC"/>
    <w:rsid w:val="00115279"/>
    <w:rsid w:val="0011604D"/>
    <w:rsid w:val="001161BA"/>
    <w:rsid w:val="001166E2"/>
    <w:rsid w:val="00116E26"/>
    <w:rsid w:val="00116ECF"/>
    <w:rsid w:val="00117447"/>
    <w:rsid w:val="00117459"/>
    <w:rsid w:val="0011749A"/>
    <w:rsid w:val="001179A3"/>
    <w:rsid w:val="00120910"/>
    <w:rsid w:val="001217DE"/>
    <w:rsid w:val="00122B63"/>
    <w:rsid w:val="00122BF0"/>
    <w:rsid w:val="00122EB2"/>
    <w:rsid w:val="00123E9F"/>
    <w:rsid w:val="001241FB"/>
    <w:rsid w:val="00124346"/>
    <w:rsid w:val="00125D93"/>
    <w:rsid w:val="001270DB"/>
    <w:rsid w:val="00127A68"/>
    <w:rsid w:val="00132BF6"/>
    <w:rsid w:val="0013344B"/>
    <w:rsid w:val="00133580"/>
    <w:rsid w:val="00134552"/>
    <w:rsid w:val="001347F9"/>
    <w:rsid w:val="00135B4E"/>
    <w:rsid w:val="00136123"/>
    <w:rsid w:val="001366F1"/>
    <w:rsid w:val="00137300"/>
    <w:rsid w:val="00137DC7"/>
    <w:rsid w:val="00140344"/>
    <w:rsid w:val="001406C4"/>
    <w:rsid w:val="00140B13"/>
    <w:rsid w:val="00140CCC"/>
    <w:rsid w:val="00140F3A"/>
    <w:rsid w:val="00140FA9"/>
    <w:rsid w:val="001412EE"/>
    <w:rsid w:val="00141B68"/>
    <w:rsid w:val="001420B7"/>
    <w:rsid w:val="00142A7F"/>
    <w:rsid w:val="00142D05"/>
    <w:rsid w:val="00145A50"/>
    <w:rsid w:val="00145EA5"/>
    <w:rsid w:val="001466DA"/>
    <w:rsid w:val="001469B3"/>
    <w:rsid w:val="00147CEF"/>
    <w:rsid w:val="00150F31"/>
    <w:rsid w:val="00151929"/>
    <w:rsid w:val="0015205F"/>
    <w:rsid w:val="00152125"/>
    <w:rsid w:val="00153A85"/>
    <w:rsid w:val="0015405C"/>
    <w:rsid w:val="00154302"/>
    <w:rsid w:val="0015487C"/>
    <w:rsid w:val="0015493A"/>
    <w:rsid w:val="00154DE1"/>
    <w:rsid w:val="00155B40"/>
    <w:rsid w:val="0015622D"/>
    <w:rsid w:val="001568CB"/>
    <w:rsid w:val="00156911"/>
    <w:rsid w:val="00156A2D"/>
    <w:rsid w:val="00156B64"/>
    <w:rsid w:val="00157435"/>
    <w:rsid w:val="00157A2E"/>
    <w:rsid w:val="00160BFD"/>
    <w:rsid w:val="001619D6"/>
    <w:rsid w:val="00163E87"/>
    <w:rsid w:val="00163EEA"/>
    <w:rsid w:val="00163FB9"/>
    <w:rsid w:val="00164268"/>
    <w:rsid w:val="0016457F"/>
    <w:rsid w:val="001657C8"/>
    <w:rsid w:val="0016581A"/>
    <w:rsid w:val="00165DCB"/>
    <w:rsid w:val="00166A72"/>
    <w:rsid w:val="00167A07"/>
    <w:rsid w:val="00167A09"/>
    <w:rsid w:val="0017046A"/>
    <w:rsid w:val="001704A3"/>
    <w:rsid w:val="00171748"/>
    <w:rsid w:val="00171A59"/>
    <w:rsid w:val="00172107"/>
    <w:rsid w:val="0017282B"/>
    <w:rsid w:val="0017341A"/>
    <w:rsid w:val="0017373C"/>
    <w:rsid w:val="00173753"/>
    <w:rsid w:val="00174174"/>
    <w:rsid w:val="0017469B"/>
    <w:rsid w:val="00174A3C"/>
    <w:rsid w:val="00174E9F"/>
    <w:rsid w:val="0017504D"/>
    <w:rsid w:val="001761FA"/>
    <w:rsid w:val="00176F2A"/>
    <w:rsid w:val="00177422"/>
    <w:rsid w:val="001774AA"/>
    <w:rsid w:val="00177600"/>
    <w:rsid w:val="00177F7C"/>
    <w:rsid w:val="00180F89"/>
    <w:rsid w:val="0018142F"/>
    <w:rsid w:val="00181EFF"/>
    <w:rsid w:val="00182080"/>
    <w:rsid w:val="00184F10"/>
    <w:rsid w:val="00185198"/>
    <w:rsid w:val="001851F8"/>
    <w:rsid w:val="00185382"/>
    <w:rsid w:val="00185546"/>
    <w:rsid w:val="001872AF"/>
    <w:rsid w:val="00187E56"/>
    <w:rsid w:val="00190234"/>
    <w:rsid w:val="0019026E"/>
    <w:rsid w:val="00190766"/>
    <w:rsid w:val="00190848"/>
    <w:rsid w:val="00190945"/>
    <w:rsid w:val="00190BF0"/>
    <w:rsid w:val="00191155"/>
    <w:rsid w:val="0019146B"/>
    <w:rsid w:val="00191773"/>
    <w:rsid w:val="00192F81"/>
    <w:rsid w:val="001934F1"/>
    <w:rsid w:val="00194398"/>
    <w:rsid w:val="00194DB2"/>
    <w:rsid w:val="00195170"/>
    <w:rsid w:val="001955D0"/>
    <w:rsid w:val="001964B3"/>
    <w:rsid w:val="00197615"/>
    <w:rsid w:val="001977BE"/>
    <w:rsid w:val="001979A5"/>
    <w:rsid w:val="001A01FF"/>
    <w:rsid w:val="001A0385"/>
    <w:rsid w:val="001A0A69"/>
    <w:rsid w:val="001A1907"/>
    <w:rsid w:val="001A1BD7"/>
    <w:rsid w:val="001A1C26"/>
    <w:rsid w:val="001A1E84"/>
    <w:rsid w:val="001A2A1E"/>
    <w:rsid w:val="001A2E03"/>
    <w:rsid w:val="001A3659"/>
    <w:rsid w:val="001A384B"/>
    <w:rsid w:val="001A4531"/>
    <w:rsid w:val="001A4899"/>
    <w:rsid w:val="001A512B"/>
    <w:rsid w:val="001A54BA"/>
    <w:rsid w:val="001A5DD3"/>
    <w:rsid w:val="001A7D2A"/>
    <w:rsid w:val="001A7FA3"/>
    <w:rsid w:val="001B002B"/>
    <w:rsid w:val="001B2767"/>
    <w:rsid w:val="001B2778"/>
    <w:rsid w:val="001B3148"/>
    <w:rsid w:val="001B3847"/>
    <w:rsid w:val="001B38DE"/>
    <w:rsid w:val="001B3BFA"/>
    <w:rsid w:val="001B3FAA"/>
    <w:rsid w:val="001B4FB1"/>
    <w:rsid w:val="001B56CE"/>
    <w:rsid w:val="001B574C"/>
    <w:rsid w:val="001B5ABA"/>
    <w:rsid w:val="001B7257"/>
    <w:rsid w:val="001C0A22"/>
    <w:rsid w:val="001C0AF9"/>
    <w:rsid w:val="001C142B"/>
    <w:rsid w:val="001C155A"/>
    <w:rsid w:val="001C29F0"/>
    <w:rsid w:val="001C4728"/>
    <w:rsid w:val="001C48C0"/>
    <w:rsid w:val="001C5783"/>
    <w:rsid w:val="001C7616"/>
    <w:rsid w:val="001D0D01"/>
    <w:rsid w:val="001D1565"/>
    <w:rsid w:val="001D19E8"/>
    <w:rsid w:val="001D2143"/>
    <w:rsid w:val="001D2455"/>
    <w:rsid w:val="001D261E"/>
    <w:rsid w:val="001D4F61"/>
    <w:rsid w:val="001D52A4"/>
    <w:rsid w:val="001D55C8"/>
    <w:rsid w:val="001D5864"/>
    <w:rsid w:val="001D6603"/>
    <w:rsid w:val="001D6726"/>
    <w:rsid w:val="001D682C"/>
    <w:rsid w:val="001D6D21"/>
    <w:rsid w:val="001D7517"/>
    <w:rsid w:val="001D786C"/>
    <w:rsid w:val="001E079F"/>
    <w:rsid w:val="001E2E8D"/>
    <w:rsid w:val="001E312B"/>
    <w:rsid w:val="001E37F5"/>
    <w:rsid w:val="001E4DD6"/>
    <w:rsid w:val="001E70E5"/>
    <w:rsid w:val="001E7F5F"/>
    <w:rsid w:val="001F02F3"/>
    <w:rsid w:val="001F07E8"/>
    <w:rsid w:val="001F11CE"/>
    <w:rsid w:val="001F128E"/>
    <w:rsid w:val="001F13D5"/>
    <w:rsid w:val="001F1A9D"/>
    <w:rsid w:val="001F20DE"/>
    <w:rsid w:val="001F26E2"/>
    <w:rsid w:val="001F271F"/>
    <w:rsid w:val="001F3347"/>
    <w:rsid w:val="001F35ED"/>
    <w:rsid w:val="001F361C"/>
    <w:rsid w:val="001F3894"/>
    <w:rsid w:val="001F3959"/>
    <w:rsid w:val="001F3FED"/>
    <w:rsid w:val="001F4440"/>
    <w:rsid w:val="001F474D"/>
    <w:rsid w:val="001F53A6"/>
    <w:rsid w:val="001F69C7"/>
    <w:rsid w:val="001F69E4"/>
    <w:rsid w:val="001F6E33"/>
    <w:rsid w:val="001F71BD"/>
    <w:rsid w:val="001F7ED1"/>
    <w:rsid w:val="00200841"/>
    <w:rsid w:val="00200A13"/>
    <w:rsid w:val="00200F88"/>
    <w:rsid w:val="00201082"/>
    <w:rsid w:val="00201717"/>
    <w:rsid w:val="00201856"/>
    <w:rsid w:val="00202280"/>
    <w:rsid w:val="00202D7A"/>
    <w:rsid w:val="00202E92"/>
    <w:rsid w:val="00203782"/>
    <w:rsid w:val="002037BA"/>
    <w:rsid w:val="002042E7"/>
    <w:rsid w:val="00204BD9"/>
    <w:rsid w:val="0020578F"/>
    <w:rsid w:val="0020588B"/>
    <w:rsid w:val="00206A65"/>
    <w:rsid w:val="0020787B"/>
    <w:rsid w:val="00207CEE"/>
    <w:rsid w:val="00211118"/>
    <w:rsid w:val="00211307"/>
    <w:rsid w:val="002120DD"/>
    <w:rsid w:val="00212934"/>
    <w:rsid w:val="00212B4E"/>
    <w:rsid w:val="00212D31"/>
    <w:rsid w:val="002130C7"/>
    <w:rsid w:val="00214920"/>
    <w:rsid w:val="00214A51"/>
    <w:rsid w:val="00215720"/>
    <w:rsid w:val="002158AB"/>
    <w:rsid w:val="002160A9"/>
    <w:rsid w:val="002169C8"/>
    <w:rsid w:val="00217218"/>
    <w:rsid w:val="00217954"/>
    <w:rsid w:val="0022014D"/>
    <w:rsid w:val="002209A2"/>
    <w:rsid w:val="002218A8"/>
    <w:rsid w:val="00222B5F"/>
    <w:rsid w:val="00222F3D"/>
    <w:rsid w:val="0022306D"/>
    <w:rsid w:val="0022324F"/>
    <w:rsid w:val="002236B5"/>
    <w:rsid w:val="0022461E"/>
    <w:rsid w:val="00224C66"/>
    <w:rsid w:val="00225CC6"/>
    <w:rsid w:val="00226574"/>
    <w:rsid w:val="002275EC"/>
    <w:rsid w:val="002278EC"/>
    <w:rsid w:val="00227F15"/>
    <w:rsid w:val="00230074"/>
    <w:rsid w:val="0023091B"/>
    <w:rsid w:val="00230B53"/>
    <w:rsid w:val="00230E1D"/>
    <w:rsid w:val="00231295"/>
    <w:rsid w:val="0023139D"/>
    <w:rsid w:val="00231566"/>
    <w:rsid w:val="002316D0"/>
    <w:rsid w:val="00231A58"/>
    <w:rsid w:val="002328E7"/>
    <w:rsid w:val="00233051"/>
    <w:rsid w:val="00234112"/>
    <w:rsid w:val="002341D2"/>
    <w:rsid w:val="0023427F"/>
    <w:rsid w:val="00234A29"/>
    <w:rsid w:val="00234B2D"/>
    <w:rsid w:val="00235742"/>
    <w:rsid w:val="002357C7"/>
    <w:rsid w:val="00235D04"/>
    <w:rsid w:val="00236741"/>
    <w:rsid w:val="002367C4"/>
    <w:rsid w:val="0023684C"/>
    <w:rsid w:val="00236AD2"/>
    <w:rsid w:val="00236E84"/>
    <w:rsid w:val="00237430"/>
    <w:rsid w:val="00240249"/>
    <w:rsid w:val="00240605"/>
    <w:rsid w:val="002406CD"/>
    <w:rsid w:val="00240FCC"/>
    <w:rsid w:val="00241117"/>
    <w:rsid w:val="00241545"/>
    <w:rsid w:val="00241710"/>
    <w:rsid w:val="00241C56"/>
    <w:rsid w:val="002427AF"/>
    <w:rsid w:val="00243DAF"/>
    <w:rsid w:val="00243FEC"/>
    <w:rsid w:val="002445DC"/>
    <w:rsid w:val="00244E69"/>
    <w:rsid w:val="00245088"/>
    <w:rsid w:val="00245534"/>
    <w:rsid w:val="00245C1D"/>
    <w:rsid w:val="002466F0"/>
    <w:rsid w:val="002467FE"/>
    <w:rsid w:val="002471CC"/>
    <w:rsid w:val="002471E8"/>
    <w:rsid w:val="00247494"/>
    <w:rsid w:val="00247A83"/>
    <w:rsid w:val="00250D54"/>
    <w:rsid w:val="0025143B"/>
    <w:rsid w:val="00251458"/>
    <w:rsid w:val="002515CF"/>
    <w:rsid w:val="00251EF6"/>
    <w:rsid w:val="002522D7"/>
    <w:rsid w:val="00253E88"/>
    <w:rsid w:val="00254187"/>
    <w:rsid w:val="00256553"/>
    <w:rsid w:val="0025679E"/>
    <w:rsid w:val="0026022E"/>
    <w:rsid w:val="002609A0"/>
    <w:rsid w:val="00260C68"/>
    <w:rsid w:val="00261A39"/>
    <w:rsid w:val="0026351B"/>
    <w:rsid w:val="00263D75"/>
    <w:rsid w:val="002644D0"/>
    <w:rsid w:val="002648B0"/>
    <w:rsid w:val="00264CB9"/>
    <w:rsid w:val="00265364"/>
    <w:rsid w:val="00266B69"/>
    <w:rsid w:val="002674F7"/>
    <w:rsid w:val="00267B95"/>
    <w:rsid w:val="0027080D"/>
    <w:rsid w:val="00271135"/>
    <w:rsid w:val="00271311"/>
    <w:rsid w:val="0027134A"/>
    <w:rsid w:val="0027182E"/>
    <w:rsid w:val="00271885"/>
    <w:rsid w:val="00271C78"/>
    <w:rsid w:val="002722F7"/>
    <w:rsid w:val="00272DC3"/>
    <w:rsid w:val="0027346E"/>
    <w:rsid w:val="00273919"/>
    <w:rsid w:val="00273E96"/>
    <w:rsid w:val="00274053"/>
    <w:rsid w:val="00274105"/>
    <w:rsid w:val="002745AF"/>
    <w:rsid w:val="00274DA8"/>
    <w:rsid w:val="002751A8"/>
    <w:rsid w:val="00275271"/>
    <w:rsid w:val="0027535E"/>
    <w:rsid w:val="00275AA6"/>
    <w:rsid w:val="002767C6"/>
    <w:rsid w:val="002775DD"/>
    <w:rsid w:val="002805F2"/>
    <w:rsid w:val="002805FB"/>
    <w:rsid w:val="002807D5"/>
    <w:rsid w:val="00280B52"/>
    <w:rsid w:val="00281E93"/>
    <w:rsid w:val="002822B0"/>
    <w:rsid w:val="00282790"/>
    <w:rsid w:val="00282CCD"/>
    <w:rsid w:val="00283915"/>
    <w:rsid w:val="00283C76"/>
    <w:rsid w:val="002846BD"/>
    <w:rsid w:val="00284859"/>
    <w:rsid w:val="00284E46"/>
    <w:rsid w:val="002859F8"/>
    <w:rsid w:val="00287720"/>
    <w:rsid w:val="00287895"/>
    <w:rsid w:val="00290F78"/>
    <w:rsid w:val="002913F0"/>
    <w:rsid w:val="002917A8"/>
    <w:rsid w:val="002937E1"/>
    <w:rsid w:val="00293EF1"/>
    <w:rsid w:val="002956B8"/>
    <w:rsid w:val="00295CA9"/>
    <w:rsid w:val="00296A07"/>
    <w:rsid w:val="002974FC"/>
    <w:rsid w:val="00297731"/>
    <w:rsid w:val="00297D15"/>
    <w:rsid w:val="002A0B18"/>
    <w:rsid w:val="002A0FF8"/>
    <w:rsid w:val="002A1114"/>
    <w:rsid w:val="002A168C"/>
    <w:rsid w:val="002A1D57"/>
    <w:rsid w:val="002A2AA4"/>
    <w:rsid w:val="002A2C48"/>
    <w:rsid w:val="002A3EED"/>
    <w:rsid w:val="002A40C7"/>
    <w:rsid w:val="002A473A"/>
    <w:rsid w:val="002A4A39"/>
    <w:rsid w:val="002A4B0D"/>
    <w:rsid w:val="002A5445"/>
    <w:rsid w:val="002A54ED"/>
    <w:rsid w:val="002A5A17"/>
    <w:rsid w:val="002A5F38"/>
    <w:rsid w:val="002A6425"/>
    <w:rsid w:val="002A7FE4"/>
    <w:rsid w:val="002B03FB"/>
    <w:rsid w:val="002B0BD1"/>
    <w:rsid w:val="002B0EBA"/>
    <w:rsid w:val="002B12E3"/>
    <w:rsid w:val="002B1EA7"/>
    <w:rsid w:val="002B1F43"/>
    <w:rsid w:val="002B2C5C"/>
    <w:rsid w:val="002B3523"/>
    <w:rsid w:val="002B4128"/>
    <w:rsid w:val="002B49E2"/>
    <w:rsid w:val="002B4CDA"/>
    <w:rsid w:val="002B51AA"/>
    <w:rsid w:val="002B58A5"/>
    <w:rsid w:val="002B648A"/>
    <w:rsid w:val="002B6B31"/>
    <w:rsid w:val="002B6B4C"/>
    <w:rsid w:val="002B6DEB"/>
    <w:rsid w:val="002B70F5"/>
    <w:rsid w:val="002B749F"/>
    <w:rsid w:val="002B79BE"/>
    <w:rsid w:val="002B7B00"/>
    <w:rsid w:val="002B7C44"/>
    <w:rsid w:val="002B7F63"/>
    <w:rsid w:val="002C0AD0"/>
    <w:rsid w:val="002C1388"/>
    <w:rsid w:val="002C217A"/>
    <w:rsid w:val="002C26F2"/>
    <w:rsid w:val="002C28F0"/>
    <w:rsid w:val="002C31B9"/>
    <w:rsid w:val="002C3A92"/>
    <w:rsid w:val="002C3C6A"/>
    <w:rsid w:val="002C3E85"/>
    <w:rsid w:val="002C3FE6"/>
    <w:rsid w:val="002C4CF0"/>
    <w:rsid w:val="002C4E45"/>
    <w:rsid w:val="002C5C21"/>
    <w:rsid w:val="002C64D4"/>
    <w:rsid w:val="002C6878"/>
    <w:rsid w:val="002C7956"/>
    <w:rsid w:val="002C7E89"/>
    <w:rsid w:val="002D0632"/>
    <w:rsid w:val="002D11D1"/>
    <w:rsid w:val="002D261C"/>
    <w:rsid w:val="002D2710"/>
    <w:rsid w:val="002D2A5C"/>
    <w:rsid w:val="002D2BDA"/>
    <w:rsid w:val="002D2E23"/>
    <w:rsid w:val="002D42DB"/>
    <w:rsid w:val="002D45E0"/>
    <w:rsid w:val="002D462D"/>
    <w:rsid w:val="002D6B63"/>
    <w:rsid w:val="002D6CA8"/>
    <w:rsid w:val="002D7CCD"/>
    <w:rsid w:val="002E0365"/>
    <w:rsid w:val="002E048E"/>
    <w:rsid w:val="002E0FD6"/>
    <w:rsid w:val="002E1F3A"/>
    <w:rsid w:val="002E298A"/>
    <w:rsid w:val="002E300E"/>
    <w:rsid w:val="002E3BC7"/>
    <w:rsid w:val="002E45F9"/>
    <w:rsid w:val="002E5231"/>
    <w:rsid w:val="002E5567"/>
    <w:rsid w:val="002E5603"/>
    <w:rsid w:val="002E5699"/>
    <w:rsid w:val="002E63BA"/>
    <w:rsid w:val="002F02A4"/>
    <w:rsid w:val="002F055A"/>
    <w:rsid w:val="002F0753"/>
    <w:rsid w:val="002F0EE7"/>
    <w:rsid w:val="002F224A"/>
    <w:rsid w:val="002F26DA"/>
    <w:rsid w:val="002F272B"/>
    <w:rsid w:val="002F37F7"/>
    <w:rsid w:val="002F4F80"/>
    <w:rsid w:val="002F5A25"/>
    <w:rsid w:val="002F62A9"/>
    <w:rsid w:val="002F6A28"/>
    <w:rsid w:val="002F7802"/>
    <w:rsid w:val="002F7928"/>
    <w:rsid w:val="002F7C6D"/>
    <w:rsid w:val="002F7CFC"/>
    <w:rsid w:val="00300423"/>
    <w:rsid w:val="00300B08"/>
    <w:rsid w:val="00301424"/>
    <w:rsid w:val="003014FE"/>
    <w:rsid w:val="0030200A"/>
    <w:rsid w:val="003027E4"/>
    <w:rsid w:val="00302C1A"/>
    <w:rsid w:val="00302ECD"/>
    <w:rsid w:val="0030332C"/>
    <w:rsid w:val="00303E86"/>
    <w:rsid w:val="00304FF4"/>
    <w:rsid w:val="00305DDD"/>
    <w:rsid w:val="00305E24"/>
    <w:rsid w:val="00306378"/>
    <w:rsid w:val="00306408"/>
    <w:rsid w:val="003073C0"/>
    <w:rsid w:val="00307568"/>
    <w:rsid w:val="00307E68"/>
    <w:rsid w:val="00310127"/>
    <w:rsid w:val="0031225E"/>
    <w:rsid w:val="00312296"/>
    <w:rsid w:val="003130D2"/>
    <w:rsid w:val="0031340E"/>
    <w:rsid w:val="00313E51"/>
    <w:rsid w:val="00314E6A"/>
    <w:rsid w:val="00315347"/>
    <w:rsid w:val="003156FC"/>
    <w:rsid w:val="003161B4"/>
    <w:rsid w:val="00316464"/>
    <w:rsid w:val="00316A20"/>
    <w:rsid w:val="0031785A"/>
    <w:rsid w:val="0032073A"/>
    <w:rsid w:val="0032082B"/>
    <w:rsid w:val="00321044"/>
    <w:rsid w:val="00321406"/>
    <w:rsid w:val="003218D0"/>
    <w:rsid w:val="00321A55"/>
    <w:rsid w:val="00321D8E"/>
    <w:rsid w:val="00321ED1"/>
    <w:rsid w:val="00322C18"/>
    <w:rsid w:val="00322F9E"/>
    <w:rsid w:val="00323A07"/>
    <w:rsid w:val="00324036"/>
    <w:rsid w:val="00324053"/>
    <w:rsid w:val="00324ACF"/>
    <w:rsid w:val="00326344"/>
    <w:rsid w:val="00326493"/>
    <w:rsid w:val="0032724D"/>
    <w:rsid w:val="00327C57"/>
    <w:rsid w:val="00327C7A"/>
    <w:rsid w:val="00330C84"/>
    <w:rsid w:val="00331909"/>
    <w:rsid w:val="00331B08"/>
    <w:rsid w:val="00332700"/>
    <w:rsid w:val="00333566"/>
    <w:rsid w:val="00334404"/>
    <w:rsid w:val="003344A8"/>
    <w:rsid w:val="00334681"/>
    <w:rsid w:val="0033474C"/>
    <w:rsid w:val="00334996"/>
    <w:rsid w:val="003350B0"/>
    <w:rsid w:val="003352E8"/>
    <w:rsid w:val="00335DAE"/>
    <w:rsid w:val="00336689"/>
    <w:rsid w:val="00336969"/>
    <w:rsid w:val="00336C52"/>
    <w:rsid w:val="00337411"/>
    <w:rsid w:val="003419AB"/>
    <w:rsid w:val="00341B3E"/>
    <w:rsid w:val="00341B42"/>
    <w:rsid w:val="00341E35"/>
    <w:rsid w:val="00341ECB"/>
    <w:rsid w:val="00342216"/>
    <w:rsid w:val="003434E8"/>
    <w:rsid w:val="0034393F"/>
    <w:rsid w:val="00343C3A"/>
    <w:rsid w:val="0034413A"/>
    <w:rsid w:val="00344679"/>
    <w:rsid w:val="00345154"/>
    <w:rsid w:val="0034560E"/>
    <w:rsid w:val="003463A9"/>
    <w:rsid w:val="00347EBE"/>
    <w:rsid w:val="00350523"/>
    <w:rsid w:val="00350B7A"/>
    <w:rsid w:val="0035127A"/>
    <w:rsid w:val="003516C1"/>
    <w:rsid w:val="00351A0F"/>
    <w:rsid w:val="00352712"/>
    <w:rsid w:val="00352975"/>
    <w:rsid w:val="00355645"/>
    <w:rsid w:val="00355740"/>
    <w:rsid w:val="00355BFE"/>
    <w:rsid w:val="00355CC4"/>
    <w:rsid w:val="00356868"/>
    <w:rsid w:val="00357172"/>
    <w:rsid w:val="00357864"/>
    <w:rsid w:val="00360A86"/>
    <w:rsid w:val="0036461F"/>
    <w:rsid w:val="0036485B"/>
    <w:rsid w:val="003651F1"/>
    <w:rsid w:val="00365BC9"/>
    <w:rsid w:val="00366EC3"/>
    <w:rsid w:val="003672EE"/>
    <w:rsid w:val="00367AFA"/>
    <w:rsid w:val="003709F9"/>
    <w:rsid w:val="00371401"/>
    <w:rsid w:val="0037294E"/>
    <w:rsid w:val="00373B0D"/>
    <w:rsid w:val="00373C6A"/>
    <w:rsid w:val="003741EE"/>
    <w:rsid w:val="00375D5B"/>
    <w:rsid w:val="00375F76"/>
    <w:rsid w:val="00376988"/>
    <w:rsid w:val="00376FD1"/>
    <w:rsid w:val="00377237"/>
    <w:rsid w:val="003773F4"/>
    <w:rsid w:val="00377647"/>
    <w:rsid w:val="00380154"/>
    <w:rsid w:val="00381A72"/>
    <w:rsid w:val="00381B5C"/>
    <w:rsid w:val="00382598"/>
    <w:rsid w:val="00383C85"/>
    <w:rsid w:val="00384CE4"/>
    <w:rsid w:val="003855B5"/>
    <w:rsid w:val="00386D16"/>
    <w:rsid w:val="00390DCB"/>
    <w:rsid w:val="00390E8C"/>
    <w:rsid w:val="0039171C"/>
    <w:rsid w:val="00391D7D"/>
    <w:rsid w:val="003924F2"/>
    <w:rsid w:val="0039334D"/>
    <w:rsid w:val="003945F7"/>
    <w:rsid w:val="0039460D"/>
    <w:rsid w:val="00394CA6"/>
    <w:rsid w:val="00395171"/>
    <w:rsid w:val="003962FC"/>
    <w:rsid w:val="00397BEF"/>
    <w:rsid w:val="003A0641"/>
    <w:rsid w:val="003A1948"/>
    <w:rsid w:val="003A1A12"/>
    <w:rsid w:val="003A1ACB"/>
    <w:rsid w:val="003A1C78"/>
    <w:rsid w:val="003A2E60"/>
    <w:rsid w:val="003A3AB7"/>
    <w:rsid w:val="003A3B41"/>
    <w:rsid w:val="003A5732"/>
    <w:rsid w:val="003A5FAA"/>
    <w:rsid w:val="003A6158"/>
    <w:rsid w:val="003A7660"/>
    <w:rsid w:val="003B06FE"/>
    <w:rsid w:val="003B0765"/>
    <w:rsid w:val="003B152A"/>
    <w:rsid w:val="003B3703"/>
    <w:rsid w:val="003B422F"/>
    <w:rsid w:val="003B4458"/>
    <w:rsid w:val="003B545B"/>
    <w:rsid w:val="003B6F39"/>
    <w:rsid w:val="003B742E"/>
    <w:rsid w:val="003B79E2"/>
    <w:rsid w:val="003B7A13"/>
    <w:rsid w:val="003B7DA7"/>
    <w:rsid w:val="003B7EB6"/>
    <w:rsid w:val="003C01FE"/>
    <w:rsid w:val="003C0F99"/>
    <w:rsid w:val="003C163E"/>
    <w:rsid w:val="003C198E"/>
    <w:rsid w:val="003C1A05"/>
    <w:rsid w:val="003C34F6"/>
    <w:rsid w:val="003C3DAE"/>
    <w:rsid w:val="003C454C"/>
    <w:rsid w:val="003C4572"/>
    <w:rsid w:val="003C56F3"/>
    <w:rsid w:val="003C6BC7"/>
    <w:rsid w:val="003C6D01"/>
    <w:rsid w:val="003D04AE"/>
    <w:rsid w:val="003D23EA"/>
    <w:rsid w:val="003D2EA9"/>
    <w:rsid w:val="003D3AD9"/>
    <w:rsid w:val="003D3EE9"/>
    <w:rsid w:val="003D4980"/>
    <w:rsid w:val="003D509D"/>
    <w:rsid w:val="003D6016"/>
    <w:rsid w:val="003E0035"/>
    <w:rsid w:val="003E110F"/>
    <w:rsid w:val="003E1A30"/>
    <w:rsid w:val="003E34B5"/>
    <w:rsid w:val="003E421F"/>
    <w:rsid w:val="003E4EBB"/>
    <w:rsid w:val="003E545D"/>
    <w:rsid w:val="003E6981"/>
    <w:rsid w:val="003E6B9D"/>
    <w:rsid w:val="003E6E32"/>
    <w:rsid w:val="003E7681"/>
    <w:rsid w:val="003F0713"/>
    <w:rsid w:val="003F0809"/>
    <w:rsid w:val="003F0E5F"/>
    <w:rsid w:val="003F1020"/>
    <w:rsid w:val="003F128B"/>
    <w:rsid w:val="003F12B3"/>
    <w:rsid w:val="003F14E9"/>
    <w:rsid w:val="003F1B5D"/>
    <w:rsid w:val="003F288E"/>
    <w:rsid w:val="003F2A42"/>
    <w:rsid w:val="003F2EED"/>
    <w:rsid w:val="003F35A8"/>
    <w:rsid w:val="003F545E"/>
    <w:rsid w:val="003F611C"/>
    <w:rsid w:val="003F69D7"/>
    <w:rsid w:val="003F755C"/>
    <w:rsid w:val="0040166E"/>
    <w:rsid w:val="004016DD"/>
    <w:rsid w:val="00401E0C"/>
    <w:rsid w:val="004027CB"/>
    <w:rsid w:val="004039B1"/>
    <w:rsid w:val="00403BF8"/>
    <w:rsid w:val="00403EA0"/>
    <w:rsid w:val="00404EFF"/>
    <w:rsid w:val="00405AA9"/>
    <w:rsid w:val="00405ED5"/>
    <w:rsid w:val="004060E6"/>
    <w:rsid w:val="00406F01"/>
    <w:rsid w:val="00407175"/>
    <w:rsid w:val="004078F4"/>
    <w:rsid w:val="004107A1"/>
    <w:rsid w:val="004108A3"/>
    <w:rsid w:val="00411999"/>
    <w:rsid w:val="00411B36"/>
    <w:rsid w:val="00411FF8"/>
    <w:rsid w:val="004121D7"/>
    <w:rsid w:val="00413A00"/>
    <w:rsid w:val="004144BB"/>
    <w:rsid w:val="004161DC"/>
    <w:rsid w:val="00416D50"/>
    <w:rsid w:val="00417020"/>
    <w:rsid w:val="00417772"/>
    <w:rsid w:val="004177A2"/>
    <w:rsid w:val="00417D55"/>
    <w:rsid w:val="0042019C"/>
    <w:rsid w:val="00420AF3"/>
    <w:rsid w:val="00420E6A"/>
    <w:rsid w:val="0042205E"/>
    <w:rsid w:val="0042263D"/>
    <w:rsid w:val="004228A3"/>
    <w:rsid w:val="00423060"/>
    <w:rsid w:val="00424151"/>
    <w:rsid w:val="00424B0A"/>
    <w:rsid w:val="00425930"/>
    <w:rsid w:val="00425B55"/>
    <w:rsid w:val="00425B86"/>
    <w:rsid w:val="0042604A"/>
    <w:rsid w:val="00426C96"/>
    <w:rsid w:val="00427343"/>
    <w:rsid w:val="00427D62"/>
    <w:rsid w:val="004303FE"/>
    <w:rsid w:val="00430EBA"/>
    <w:rsid w:val="00432488"/>
    <w:rsid w:val="00433159"/>
    <w:rsid w:val="004331E9"/>
    <w:rsid w:val="00433C39"/>
    <w:rsid w:val="00433CA9"/>
    <w:rsid w:val="00433E10"/>
    <w:rsid w:val="0043521D"/>
    <w:rsid w:val="00435CC1"/>
    <w:rsid w:val="00436221"/>
    <w:rsid w:val="0043704D"/>
    <w:rsid w:val="004375CF"/>
    <w:rsid w:val="00437953"/>
    <w:rsid w:val="0044086D"/>
    <w:rsid w:val="00441E27"/>
    <w:rsid w:val="00442024"/>
    <w:rsid w:val="0044254C"/>
    <w:rsid w:val="0044288C"/>
    <w:rsid w:val="00443F6A"/>
    <w:rsid w:val="004461BC"/>
    <w:rsid w:val="00447893"/>
    <w:rsid w:val="004501BD"/>
    <w:rsid w:val="004503EC"/>
    <w:rsid w:val="00450A17"/>
    <w:rsid w:val="0045138D"/>
    <w:rsid w:val="00453528"/>
    <w:rsid w:val="004535CE"/>
    <w:rsid w:val="00453E92"/>
    <w:rsid w:val="00454117"/>
    <w:rsid w:val="0045457C"/>
    <w:rsid w:val="00455A65"/>
    <w:rsid w:val="00455F65"/>
    <w:rsid w:val="00456807"/>
    <w:rsid w:val="00456930"/>
    <w:rsid w:val="00456E0C"/>
    <w:rsid w:val="004606BB"/>
    <w:rsid w:val="00460C35"/>
    <w:rsid w:val="00460D47"/>
    <w:rsid w:val="004617CE"/>
    <w:rsid w:val="00462AC8"/>
    <w:rsid w:val="00462B36"/>
    <w:rsid w:val="00463226"/>
    <w:rsid w:val="00465548"/>
    <w:rsid w:val="00466321"/>
    <w:rsid w:val="00466B2F"/>
    <w:rsid w:val="004672AF"/>
    <w:rsid w:val="00467348"/>
    <w:rsid w:val="00467F8F"/>
    <w:rsid w:val="004709F9"/>
    <w:rsid w:val="00470BA6"/>
    <w:rsid w:val="004719E7"/>
    <w:rsid w:val="00471C5A"/>
    <w:rsid w:val="0047220F"/>
    <w:rsid w:val="004727B0"/>
    <w:rsid w:val="00472B37"/>
    <w:rsid w:val="004732E7"/>
    <w:rsid w:val="0047375A"/>
    <w:rsid w:val="00473885"/>
    <w:rsid w:val="00473B8C"/>
    <w:rsid w:val="00474AB5"/>
    <w:rsid w:val="00474DB0"/>
    <w:rsid w:val="00475E02"/>
    <w:rsid w:val="00476782"/>
    <w:rsid w:val="004768AE"/>
    <w:rsid w:val="00477130"/>
    <w:rsid w:val="00477417"/>
    <w:rsid w:val="004777D8"/>
    <w:rsid w:val="00477F5D"/>
    <w:rsid w:val="00480247"/>
    <w:rsid w:val="0048081D"/>
    <w:rsid w:val="0048117E"/>
    <w:rsid w:val="004812D2"/>
    <w:rsid w:val="00481C16"/>
    <w:rsid w:val="00482E8E"/>
    <w:rsid w:val="00483364"/>
    <w:rsid w:val="00483FA5"/>
    <w:rsid w:val="004851CC"/>
    <w:rsid w:val="004855F6"/>
    <w:rsid w:val="00486F0C"/>
    <w:rsid w:val="00487205"/>
    <w:rsid w:val="00487343"/>
    <w:rsid w:val="0049200D"/>
    <w:rsid w:val="004920FE"/>
    <w:rsid w:val="00492647"/>
    <w:rsid w:val="00492A40"/>
    <w:rsid w:val="00493BE4"/>
    <w:rsid w:val="00494496"/>
    <w:rsid w:val="004944F5"/>
    <w:rsid w:val="00494670"/>
    <w:rsid w:val="00495214"/>
    <w:rsid w:val="0049542D"/>
    <w:rsid w:val="00496823"/>
    <w:rsid w:val="0049759E"/>
    <w:rsid w:val="004A0798"/>
    <w:rsid w:val="004A098C"/>
    <w:rsid w:val="004A0EB4"/>
    <w:rsid w:val="004A3114"/>
    <w:rsid w:val="004A3823"/>
    <w:rsid w:val="004A40F8"/>
    <w:rsid w:val="004A59BB"/>
    <w:rsid w:val="004A7541"/>
    <w:rsid w:val="004A7F3D"/>
    <w:rsid w:val="004B0C2E"/>
    <w:rsid w:val="004B198E"/>
    <w:rsid w:val="004B1C07"/>
    <w:rsid w:val="004B432C"/>
    <w:rsid w:val="004B43A3"/>
    <w:rsid w:val="004B4BDF"/>
    <w:rsid w:val="004B4C49"/>
    <w:rsid w:val="004B56FF"/>
    <w:rsid w:val="004B58A5"/>
    <w:rsid w:val="004B58F1"/>
    <w:rsid w:val="004B63D9"/>
    <w:rsid w:val="004B6942"/>
    <w:rsid w:val="004B6BA5"/>
    <w:rsid w:val="004B7FBA"/>
    <w:rsid w:val="004C006E"/>
    <w:rsid w:val="004C0882"/>
    <w:rsid w:val="004C2D0C"/>
    <w:rsid w:val="004C3288"/>
    <w:rsid w:val="004C3821"/>
    <w:rsid w:val="004C3CF6"/>
    <w:rsid w:val="004C4030"/>
    <w:rsid w:val="004C40F0"/>
    <w:rsid w:val="004C49BA"/>
    <w:rsid w:val="004C4E62"/>
    <w:rsid w:val="004C51FD"/>
    <w:rsid w:val="004C52A5"/>
    <w:rsid w:val="004C55BE"/>
    <w:rsid w:val="004C6455"/>
    <w:rsid w:val="004C77F1"/>
    <w:rsid w:val="004D0DFD"/>
    <w:rsid w:val="004D0ECD"/>
    <w:rsid w:val="004D0FCB"/>
    <w:rsid w:val="004D13D7"/>
    <w:rsid w:val="004D2627"/>
    <w:rsid w:val="004D2ED3"/>
    <w:rsid w:val="004D34D7"/>
    <w:rsid w:val="004D3A5C"/>
    <w:rsid w:val="004D3B28"/>
    <w:rsid w:val="004D49EB"/>
    <w:rsid w:val="004D5685"/>
    <w:rsid w:val="004D595A"/>
    <w:rsid w:val="004D5CC4"/>
    <w:rsid w:val="004D621D"/>
    <w:rsid w:val="004D623D"/>
    <w:rsid w:val="004D66D6"/>
    <w:rsid w:val="004D7044"/>
    <w:rsid w:val="004D7805"/>
    <w:rsid w:val="004E03C9"/>
    <w:rsid w:val="004E094C"/>
    <w:rsid w:val="004E0D33"/>
    <w:rsid w:val="004E0E8D"/>
    <w:rsid w:val="004E153E"/>
    <w:rsid w:val="004E2EA7"/>
    <w:rsid w:val="004E3A2B"/>
    <w:rsid w:val="004E4740"/>
    <w:rsid w:val="004E4983"/>
    <w:rsid w:val="004E5B30"/>
    <w:rsid w:val="004E6100"/>
    <w:rsid w:val="004E6F9A"/>
    <w:rsid w:val="004E6FBB"/>
    <w:rsid w:val="004E7D94"/>
    <w:rsid w:val="004F0779"/>
    <w:rsid w:val="004F0CC5"/>
    <w:rsid w:val="004F10D9"/>
    <w:rsid w:val="004F1194"/>
    <w:rsid w:val="004F1230"/>
    <w:rsid w:val="004F173F"/>
    <w:rsid w:val="004F177C"/>
    <w:rsid w:val="004F1BB4"/>
    <w:rsid w:val="004F2671"/>
    <w:rsid w:val="004F2950"/>
    <w:rsid w:val="004F2DCE"/>
    <w:rsid w:val="004F2FF1"/>
    <w:rsid w:val="004F3C1C"/>
    <w:rsid w:val="004F480B"/>
    <w:rsid w:val="004F4B7A"/>
    <w:rsid w:val="004F5E8B"/>
    <w:rsid w:val="004F63EF"/>
    <w:rsid w:val="00500233"/>
    <w:rsid w:val="00500475"/>
    <w:rsid w:val="00500844"/>
    <w:rsid w:val="005013B2"/>
    <w:rsid w:val="005015DE"/>
    <w:rsid w:val="0050182E"/>
    <w:rsid w:val="00502783"/>
    <w:rsid w:val="00502AA8"/>
    <w:rsid w:val="00502C6B"/>
    <w:rsid w:val="00502D58"/>
    <w:rsid w:val="005033FA"/>
    <w:rsid w:val="005038BB"/>
    <w:rsid w:val="005039CB"/>
    <w:rsid w:val="00504F5B"/>
    <w:rsid w:val="0050558F"/>
    <w:rsid w:val="00505789"/>
    <w:rsid w:val="005057E0"/>
    <w:rsid w:val="00506286"/>
    <w:rsid w:val="00506330"/>
    <w:rsid w:val="00506FA8"/>
    <w:rsid w:val="00507B23"/>
    <w:rsid w:val="0051040F"/>
    <w:rsid w:val="00510636"/>
    <w:rsid w:val="005106D9"/>
    <w:rsid w:val="00510813"/>
    <w:rsid w:val="00510B80"/>
    <w:rsid w:val="00511056"/>
    <w:rsid w:val="00511AF8"/>
    <w:rsid w:val="00511DE0"/>
    <w:rsid w:val="005122C9"/>
    <w:rsid w:val="0051267E"/>
    <w:rsid w:val="0051359F"/>
    <w:rsid w:val="00513D76"/>
    <w:rsid w:val="0051527B"/>
    <w:rsid w:val="005161B6"/>
    <w:rsid w:val="00517B05"/>
    <w:rsid w:val="00517F02"/>
    <w:rsid w:val="00521A12"/>
    <w:rsid w:val="00521B9E"/>
    <w:rsid w:val="00522605"/>
    <w:rsid w:val="00522E89"/>
    <w:rsid w:val="00524063"/>
    <w:rsid w:val="005244A1"/>
    <w:rsid w:val="00524547"/>
    <w:rsid w:val="0052567C"/>
    <w:rsid w:val="005258A2"/>
    <w:rsid w:val="00525908"/>
    <w:rsid w:val="00526298"/>
    <w:rsid w:val="00526740"/>
    <w:rsid w:val="005271BE"/>
    <w:rsid w:val="0052768F"/>
    <w:rsid w:val="00530427"/>
    <w:rsid w:val="005307CE"/>
    <w:rsid w:val="0053083B"/>
    <w:rsid w:val="00530F7C"/>
    <w:rsid w:val="00531E5E"/>
    <w:rsid w:val="00532323"/>
    <w:rsid w:val="005326C8"/>
    <w:rsid w:val="00534431"/>
    <w:rsid w:val="00534503"/>
    <w:rsid w:val="00534567"/>
    <w:rsid w:val="0053470F"/>
    <w:rsid w:val="00534D00"/>
    <w:rsid w:val="00534F43"/>
    <w:rsid w:val="005354B9"/>
    <w:rsid w:val="00535A84"/>
    <w:rsid w:val="00536165"/>
    <w:rsid w:val="00536194"/>
    <w:rsid w:val="00536889"/>
    <w:rsid w:val="00536BFD"/>
    <w:rsid w:val="00536CA7"/>
    <w:rsid w:val="00537427"/>
    <w:rsid w:val="00540D25"/>
    <w:rsid w:val="005411CE"/>
    <w:rsid w:val="00541749"/>
    <w:rsid w:val="00541D11"/>
    <w:rsid w:val="00541EB3"/>
    <w:rsid w:val="00542558"/>
    <w:rsid w:val="00542E07"/>
    <w:rsid w:val="005432BB"/>
    <w:rsid w:val="005437E0"/>
    <w:rsid w:val="005441CE"/>
    <w:rsid w:val="00545063"/>
    <w:rsid w:val="00545FA0"/>
    <w:rsid w:val="00547606"/>
    <w:rsid w:val="0054768E"/>
    <w:rsid w:val="00550390"/>
    <w:rsid w:val="0055044B"/>
    <w:rsid w:val="00550DAD"/>
    <w:rsid w:val="005512C7"/>
    <w:rsid w:val="0055132A"/>
    <w:rsid w:val="00551652"/>
    <w:rsid w:val="00552BC8"/>
    <w:rsid w:val="00552BC9"/>
    <w:rsid w:val="00554A7B"/>
    <w:rsid w:val="00554F63"/>
    <w:rsid w:val="0055572C"/>
    <w:rsid w:val="00555C30"/>
    <w:rsid w:val="00556A60"/>
    <w:rsid w:val="00556D8D"/>
    <w:rsid w:val="00556E0A"/>
    <w:rsid w:val="005577D1"/>
    <w:rsid w:val="0056064F"/>
    <w:rsid w:val="005607FD"/>
    <w:rsid w:val="005607FF"/>
    <w:rsid w:val="005614D7"/>
    <w:rsid w:val="0056173B"/>
    <w:rsid w:val="00561B84"/>
    <w:rsid w:val="00562772"/>
    <w:rsid w:val="00563376"/>
    <w:rsid w:val="00563BC8"/>
    <w:rsid w:val="005643B8"/>
    <w:rsid w:val="005648A4"/>
    <w:rsid w:val="00564E24"/>
    <w:rsid w:val="00564E47"/>
    <w:rsid w:val="00566343"/>
    <w:rsid w:val="00566401"/>
    <w:rsid w:val="005667A1"/>
    <w:rsid w:val="00567970"/>
    <w:rsid w:val="00570137"/>
    <w:rsid w:val="005707A8"/>
    <w:rsid w:val="005711C2"/>
    <w:rsid w:val="00571D98"/>
    <w:rsid w:val="005720AE"/>
    <w:rsid w:val="00572BB5"/>
    <w:rsid w:val="00573312"/>
    <w:rsid w:val="00573BE1"/>
    <w:rsid w:val="005745C7"/>
    <w:rsid w:val="00574949"/>
    <w:rsid w:val="00574B04"/>
    <w:rsid w:val="00577108"/>
    <w:rsid w:val="0058030D"/>
    <w:rsid w:val="00581327"/>
    <w:rsid w:val="00582045"/>
    <w:rsid w:val="005827C7"/>
    <w:rsid w:val="005828DC"/>
    <w:rsid w:val="00582EC9"/>
    <w:rsid w:val="00583601"/>
    <w:rsid w:val="00583FA1"/>
    <w:rsid w:val="00584161"/>
    <w:rsid w:val="0058424D"/>
    <w:rsid w:val="00584568"/>
    <w:rsid w:val="00584E98"/>
    <w:rsid w:val="0058560C"/>
    <w:rsid w:val="00585A43"/>
    <w:rsid w:val="005864C4"/>
    <w:rsid w:val="00586AB8"/>
    <w:rsid w:val="00587C5C"/>
    <w:rsid w:val="00590AE3"/>
    <w:rsid w:val="00590F90"/>
    <w:rsid w:val="0059115E"/>
    <w:rsid w:val="005918F1"/>
    <w:rsid w:val="00591E25"/>
    <w:rsid w:val="00592593"/>
    <w:rsid w:val="00592AD3"/>
    <w:rsid w:val="0059330E"/>
    <w:rsid w:val="005934C6"/>
    <w:rsid w:val="00593A13"/>
    <w:rsid w:val="00593B65"/>
    <w:rsid w:val="00593C2C"/>
    <w:rsid w:val="00593CF3"/>
    <w:rsid w:val="005945A2"/>
    <w:rsid w:val="00594DD5"/>
    <w:rsid w:val="005969E8"/>
    <w:rsid w:val="00596EA6"/>
    <w:rsid w:val="005973EB"/>
    <w:rsid w:val="00597A6F"/>
    <w:rsid w:val="005A06B7"/>
    <w:rsid w:val="005A14C2"/>
    <w:rsid w:val="005A1759"/>
    <w:rsid w:val="005A1AB0"/>
    <w:rsid w:val="005A1D30"/>
    <w:rsid w:val="005A2418"/>
    <w:rsid w:val="005A24A0"/>
    <w:rsid w:val="005A36FB"/>
    <w:rsid w:val="005A6625"/>
    <w:rsid w:val="005A6BF8"/>
    <w:rsid w:val="005A6D4E"/>
    <w:rsid w:val="005A76B9"/>
    <w:rsid w:val="005B0126"/>
    <w:rsid w:val="005B0186"/>
    <w:rsid w:val="005B0F89"/>
    <w:rsid w:val="005B153D"/>
    <w:rsid w:val="005B1895"/>
    <w:rsid w:val="005B196F"/>
    <w:rsid w:val="005B21D8"/>
    <w:rsid w:val="005B2877"/>
    <w:rsid w:val="005B2C2A"/>
    <w:rsid w:val="005B3DA2"/>
    <w:rsid w:val="005B4BB1"/>
    <w:rsid w:val="005B5787"/>
    <w:rsid w:val="005B6732"/>
    <w:rsid w:val="005B733D"/>
    <w:rsid w:val="005C0AF5"/>
    <w:rsid w:val="005C28F0"/>
    <w:rsid w:val="005C2C79"/>
    <w:rsid w:val="005C3460"/>
    <w:rsid w:val="005C42CA"/>
    <w:rsid w:val="005C582D"/>
    <w:rsid w:val="005C5CA0"/>
    <w:rsid w:val="005C7078"/>
    <w:rsid w:val="005C7D03"/>
    <w:rsid w:val="005D011E"/>
    <w:rsid w:val="005D0369"/>
    <w:rsid w:val="005D115B"/>
    <w:rsid w:val="005D1522"/>
    <w:rsid w:val="005D168B"/>
    <w:rsid w:val="005D22B5"/>
    <w:rsid w:val="005D2B48"/>
    <w:rsid w:val="005D2F7C"/>
    <w:rsid w:val="005D41C1"/>
    <w:rsid w:val="005D4B87"/>
    <w:rsid w:val="005D53FE"/>
    <w:rsid w:val="005D607E"/>
    <w:rsid w:val="005D6AD7"/>
    <w:rsid w:val="005D6C01"/>
    <w:rsid w:val="005D71B4"/>
    <w:rsid w:val="005D79FB"/>
    <w:rsid w:val="005D7A0F"/>
    <w:rsid w:val="005E0438"/>
    <w:rsid w:val="005E12EA"/>
    <w:rsid w:val="005E1791"/>
    <w:rsid w:val="005E17A0"/>
    <w:rsid w:val="005E1EDD"/>
    <w:rsid w:val="005E2138"/>
    <w:rsid w:val="005E2CE6"/>
    <w:rsid w:val="005E2D3E"/>
    <w:rsid w:val="005E3079"/>
    <w:rsid w:val="005E5E3F"/>
    <w:rsid w:val="005E6324"/>
    <w:rsid w:val="005E6F9D"/>
    <w:rsid w:val="005E73D0"/>
    <w:rsid w:val="005F02D1"/>
    <w:rsid w:val="005F02D4"/>
    <w:rsid w:val="005F1B08"/>
    <w:rsid w:val="005F1BDA"/>
    <w:rsid w:val="005F1D76"/>
    <w:rsid w:val="005F228B"/>
    <w:rsid w:val="005F29CD"/>
    <w:rsid w:val="005F2A86"/>
    <w:rsid w:val="005F41D2"/>
    <w:rsid w:val="005F4CDA"/>
    <w:rsid w:val="005F4DFB"/>
    <w:rsid w:val="005F5711"/>
    <w:rsid w:val="005F5CEF"/>
    <w:rsid w:val="005F5DFE"/>
    <w:rsid w:val="005F61F9"/>
    <w:rsid w:val="005F6CC0"/>
    <w:rsid w:val="005F6FE0"/>
    <w:rsid w:val="005F701E"/>
    <w:rsid w:val="005F710E"/>
    <w:rsid w:val="005F7336"/>
    <w:rsid w:val="005F7BE1"/>
    <w:rsid w:val="005F7DCA"/>
    <w:rsid w:val="005F7FEE"/>
    <w:rsid w:val="00600DBF"/>
    <w:rsid w:val="00600EB8"/>
    <w:rsid w:val="00600FA4"/>
    <w:rsid w:val="0060136B"/>
    <w:rsid w:val="006019A8"/>
    <w:rsid w:val="00601B16"/>
    <w:rsid w:val="006029A3"/>
    <w:rsid w:val="00603532"/>
    <w:rsid w:val="00603E5B"/>
    <w:rsid w:val="006046BC"/>
    <w:rsid w:val="006049FF"/>
    <w:rsid w:val="00604BC8"/>
    <w:rsid w:val="00604CEE"/>
    <w:rsid w:val="00604D97"/>
    <w:rsid w:val="00605328"/>
    <w:rsid w:val="00605B26"/>
    <w:rsid w:val="00605E91"/>
    <w:rsid w:val="006079D6"/>
    <w:rsid w:val="00611770"/>
    <w:rsid w:val="00611A73"/>
    <w:rsid w:val="00613041"/>
    <w:rsid w:val="0061426C"/>
    <w:rsid w:val="006144AF"/>
    <w:rsid w:val="0061554E"/>
    <w:rsid w:val="00615710"/>
    <w:rsid w:val="00615A2D"/>
    <w:rsid w:val="00615B4C"/>
    <w:rsid w:val="00615B5D"/>
    <w:rsid w:val="00615DC9"/>
    <w:rsid w:val="00617C47"/>
    <w:rsid w:val="00620117"/>
    <w:rsid w:val="00620295"/>
    <w:rsid w:val="006205CB"/>
    <w:rsid w:val="00620617"/>
    <w:rsid w:val="00620EBD"/>
    <w:rsid w:val="0062111A"/>
    <w:rsid w:val="0062114C"/>
    <w:rsid w:val="0062121B"/>
    <w:rsid w:val="0062146F"/>
    <w:rsid w:val="00622BCF"/>
    <w:rsid w:val="00623997"/>
    <w:rsid w:val="00624589"/>
    <w:rsid w:val="00625451"/>
    <w:rsid w:val="00626BDE"/>
    <w:rsid w:val="006274AA"/>
    <w:rsid w:val="00627579"/>
    <w:rsid w:val="0063007D"/>
    <w:rsid w:val="00633B97"/>
    <w:rsid w:val="00633E83"/>
    <w:rsid w:val="006343AF"/>
    <w:rsid w:val="006346CC"/>
    <w:rsid w:val="006348A0"/>
    <w:rsid w:val="00634989"/>
    <w:rsid w:val="00635EC7"/>
    <w:rsid w:val="00636095"/>
    <w:rsid w:val="0063634A"/>
    <w:rsid w:val="006371E4"/>
    <w:rsid w:val="006403B2"/>
    <w:rsid w:val="0064091B"/>
    <w:rsid w:val="00640E7A"/>
    <w:rsid w:val="006411BD"/>
    <w:rsid w:val="00641C6F"/>
    <w:rsid w:val="0064209D"/>
    <w:rsid w:val="00642217"/>
    <w:rsid w:val="0064250D"/>
    <w:rsid w:val="00644D75"/>
    <w:rsid w:val="00645980"/>
    <w:rsid w:val="006465A2"/>
    <w:rsid w:val="00646640"/>
    <w:rsid w:val="00646A6E"/>
    <w:rsid w:val="00650D4E"/>
    <w:rsid w:val="0065189C"/>
    <w:rsid w:val="00651BBD"/>
    <w:rsid w:val="006521F5"/>
    <w:rsid w:val="006526B8"/>
    <w:rsid w:val="00652B82"/>
    <w:rsid w:val="00652C94"/>
    <w:rsid w:val="006535EB"/>
    <w:rsid w:val="00653603"/>
    <w:rsid w:val="0065361C"/>
    <w:rsid w:val="00653F7A"/>
    <w:rsid w:val="00654078"/>
    <w:rsid w:val="006543C9"/>
    <w:rsid w:val="00657061"/>
    <w:rsid w:val="0065789D"/>
    <w:rsid w:val="00657A71"/>
    <w:rsid w:val="00657E58"/>
    <w:rsid w:val="00660AF8"/>
    <w:rsid w:val="00660B66"/>
    <w:rsid w:val="0066129B"/>
    <w:rsid w:val="0066280E"/>
    <w:rsid w:val="00663016"/>
    <w:rsid w:val="00664268"/>
    <w:rsid w:val="00664B77"/>
    <w:rsid w:val="00664BCC"/>
    <w:rsid w:val="00666C17"/>
    <w:rsid w:val="0066746E"/>
    <w:rsid w:val="0066793C"/>
    <w:rsid w:val="00667BBE"/>
    <w:rsid w:val="00671609"/>
    <w:rsid w:val="00672D63"/>
    <w:rsid w:val="00672F22"/>
    <w:rsid w:val="0067365F"/>
    <w:rsid w:val="00673ADE"/>
    <w:rsid w:val="00673FC0"/>
    <w:rsid w:val="00674605"/>
    <w:rsid w:val="006748B8"/>
    <w:rsid w:val="006748F6"/>
    <w:rsid w:val="006761FB"/>
    <w:rsid w:val="0067698B"/>
    <w:rsid w:val="00676A5A"/>
    <w:rsid w:val="00676C6F"/>
    <w:rsid w:val="00676FEA"/>
    <w:rsid w:val="00680090"/>
    <w:rsid w:val="00680316"/>
    <w:rsid w:val="0068035F"/>
    <w:rsid w:val="00680CB0"/>
    <w:rsid w:val="00681FC2"/>
    <w:rsid w:val="006822F2"/>
    <w:rsid w:val="006832D3"/>
    <w:rsid w:val="006839FC"/>
    <w:rsid w:val="006850FF"/>
    <w:rsid w:val="006851CA"/>
    <w:rsid w:val="0068535B"/>
    <w:rsid w:val="00685737"/>
    <w:rsid w:val="00685974"/>
    <w:rsid w:val="00686785"/>
    <w:rsid w:val="00686E8E"/>
    <w:rsid w:val="0068736E"/>
    <w:rsid w:val="00687A8D"/>
    <w:rsid w:val="00687BD8"/>
    <w:rsid w:val="0069047D"/>
    <w:rsid w:val="006912B4"/>
    <w:rsid w:val="00691C96"/>
    <w:rsid w:val="00692133"/>
    <w:rsid w:val="0069290A"/>
    <w:rsid w:val="006936FB"/>
    <w:rsid w:val="00693C1E"/>
    <w:rsid w:val="00694675"/>
    <w:rsid w:val="0069498F"/>
    <w:rsid w:val="00694CD4"/>
    <w:rsid w:val="00695023"/>
    <w:rsid w:val="006952DF"/>
    <w:rsid w:val="00695AFA"/>
    <w:rsid w:val="00695BFF"/>
    <w:rsid w:val="006962A1"/>
    <w:rsid w:val="00696D78"/>
    <w:rsid w:val="00697032"/>
    <w:rsid w:val="006975AC"/>
    <w:rsid w:val="006977AB"/>
    <w:rsid w:val="00697ACB"/>
    <w:rsid w:val="00697F60"/>
    <w:rsid w:val="006A0031"/>
    <w:rsid w:val="006A0920"/>
    <w:rsid w:val="006A15FB"/>
    <w:rsid w:val="006A2B08"/>
    <w:rsid w:val="006A3262"/>
    <w:rsid w:val="006A38DF"/>
    <w:rsid w:val="006A421E"/>
    <w:rsid w:val="006A457A"/>
    <w:rsid w:val="006A51E9"/>
    <w:rsid w:val="006A72BF"/>
    <w:rsid w:val="006B1F6D"/>
    <w:rsid w:val="006B22A9"/>
    <w:rsid w:val="006B2701"/>
    <w:rsid w:val="006B2FE3"/>
    <w:rsid w:val="006B332A"/>
    <w:rsid w:val="006B3342"/>
    <w:rsid w:val="006B33BD"/>
    <w:rsid w:val="006B3ECB"/>
    <w:rsid w:val="006B4805"/>
    <w:rsid w:val="006B51E0"/>
    <w:rsid w:val="006B529D"/>
    <w:rsid w:val="006B5511"/>
    <w:rsid w:val="006B6849"/>
    <w:rsid w:val="006C0398"/>
    <w:rsid w:val="006C0CAA"/>
    <w:rsid w:val="006C2553"/>
    <w:rsid w:val="006C3A68"/>
    <w:rsid w:val="006C3F75"/>
    <w:rsid w:val="006C433E"/>
    <w:rsid w:val="006C44D8"/>
    <w:rsid w:val="006C5367"/>
    <w:rsid w:val="006C614D"/>
    <w:rsid w:val="006D04E4"/>
    <w:rsid w:val="006D05A6"/>
    <w:rsid w:val="006D170E"/>
    <w:rsid w:val="006D3834"/>
    <w:rsid w:val="006D3A1A"/>
    <w:rsid w:val="006D3BE1"/>
    <w:rsid w:val="006D467D"/>
    <w:rsid w:val="006D475B"/>
    <w:rsid w:val="006D620F"/>
    <w:rsid w:val="006D6571"/>
    <w:rsid w:val="006D7379"/>
    <w:rsid w:val="006E0197"/>
    <w:rsid w:val="006E01A8"/>
    <w:rsid w:val="006E06AF"/>
    <w:rsid w:val="006E0D0B"/>
    <w:rsid w:val="006E147C"/>
    <w:rsid w:val="006E2B77"/>
    <w:rsid w:val="006E3467"/>
    <w:rsid w:val="006E4548"/>
    <w:rsid w:val="006E503D"/>
    <w:rsid w:val="006E52E8"/>
    <w:rsid w:val="006E5AE2"/>
    <w:rsid w:val="006E631D"/>
    <w:rsid w:val="006E688A"/>
    <w:rsid w:val="006E6BEA"/>
    <w:rsid w:val="006E6E5A"/>
    <w:rsid w:val="006F04DF"/>
    <w:rsid w:val="006F0651"/>
    <w:rsid w:val="006F16D2"/>
    <w:rsid w:val="006F1789"/>
    <w:rsid w:val="006F2A2F"/>
    <w:rsid w:val="006F30C7"/>
    <w:rsid w:val="006F3DA0"/>
    <w:rsid w:val="006F41E0"/>
    <w:rsid w:val="006F526F"/>
    <w:rsid w:val="006F553B"/>
    <w:rsid w:val="006F6451"/>
    <w:rsid w:val="00700AF5"/>
    <w:rsid w:val="00700E4D"/>
    <w:rsid w:val="0070143F"/>
    <w:rsid w:val="007029F8"/>
    <w:rsid w:val="00702F04"/>
    <w:rsid w:val="007042B5"/>
    <w:rsid w:val="00704945"/>
    <w:rsid w:val="00704ED5"/>
    <w:rsid w:val="00705108"/>
    <w:rsid w:val="007054B9"/>
    <w:rsid w:val="00705AF5"/>
    <w:rsid w:val="00706B43"/>
    <w:rsid w:val="00706C5D"/>
    <w:rsid w:val="007073C7"/>
    <w:rsid w:val="0071038E"/>
    <w:rsid w:val="00710F07"/>
    <w:rsid w:val="00711455"/>
    <w:rsid w:val="007118E6"/>
    <w:rsid w:val="0071207A"/>
    <w:rsid w:val="00712261"/>
    <w:rsid w:val="007129D4"/>
    <w:rsid w:val="00713269"/>
    <w:rsid w:val="00713996"/>
    <w:rsid w:val="00714236"/>
    <w:rsid w:val="00714EF8"/>
    <w:rsid w:val="00715248"/>
    <w:rsid w:val="00715424"/>
    <w:rsid w:val="00715CA0"/>
    <w:rsid w:val="007166C5"/>
    <w:rsid w:val="00716D27"/>
    <w:rsid w:val="00716F06"/>
    <w:rsid w:val="0071734A"/>
    <w:rsid w:val="00717C84"/>
    <w:rsid w:val="007204A0"/>
    <w:rsid w:val="0072220D"/>
    <w:rsid w:val="00722561"/>
    <w:rsid w:val="007225C9"/>
    <w:rsid w:val="00722625"/>
    <w:rsid w:val="00722D35"/>
    <w:rsid w:val="007237F2"/>
    <w:rsid w:val="00724039"/>
    <w:rsid w:val="0072427B"/>
    <w:rsid w:val="0072457B"/>
    <w:rsid w:val="00724915"/>
    <w:rsid w:val="00724D3E"/>
    <w:rsid w:val="00724FDB"/>
    <w:rsid w:val="00725918"/>
    <w:rsid w:val="007259D5"/>
    <w:rsid w:val="0072684E"/>
    <w:rsid w:val="0072742A"/>
    <w:rsid w:val="00732B94"/>
    <w:rsid w:val="00732FD5"/>
    <w:rsid w:val="00735CD7"/>
    <w:rsid w:val="00737027"/>
    <w:rsid w:val="007419A7"/>
    <w:rsid w:val="00742A41"/>
    <w:rsid w:val="00742CE4"/>
    <w:rsid w:val="0074343D"/>
    <w:rsid w:val="007450EE"/>
    <w:rsid w:val="00745658"/>
    <w:rsid w:val="00745667"/>
    <w:rsid w:val="00745E15"/>
    <w:rsid w:val="0074774E"/>
    <w:rsid w:val="00747AC2"/>
    <w:rsid w:val="00747BE9"/>
    <w:rsid w:val="00747CC6"/>
    <w:rsid w:val="0075017C"/>
    <w:rsid w:val="00750760"/>
    <w:rsid w:val="00750B52"/>
    <w:rsid w:val="00751547"/>
    <w:rsid w:val="007516EA"/>
    <w:rsid w:val="00751C6B"/>
    <w:rsid w:val="007522A3"/>
    <w:rsid w:val="0075245A"/>
    <w:rsid w:val="00752FD9"/>
    <w:rsid w:val="0075341C"/>
    <w:rsid w:val="007536D0"/>
    <w:rsid w:val="007537FC"/>
    <w:rsid w:val="00754034"/>
    <w:rsid w:val="0075433C"/>
    <w:rsid w:val="00754BF1"/>
    <w:rsid w:val="00754EEE"/>
    <w:rsid w:val="00755A07"/>
    <w:rsid w:val="00755A30"/>
    <w:rsid w:val="00755E1C"/>
    <w:rsid w:val="007562CF"/>
    <w:rsid w:val="00756556"/>
    <w:rsid w:val="0075684C"/>
    <w:rsid w:val="00756B8E"/>
    <w:rsid w:val="007579A8"/>
    <w:rsid w:val="007604F2"/>
    <w:rsid w:val="007605A8"/>
    <w:rsid w:val="00760886"/>
    <w:rsid w:val="0076132B"/>
    <w:rsid w:val="0076234D"/>
    <w:rsid w:val="007623AE"/>
    <w:rsid w:val="00763290"/>
    <w:rsid w:val="00763C44"/>
    <w:rsid w:val="0076440A"/>
    <w:rsid w:val="00764BEA"/>
    <w:rsid w:val="00765136"/>
    <w:rsid w:val="00766B5E"/>
    <w:rsid w:val="00770444"/>
    <w:rsid w:val="00770B19"/>
    <w:rsid w:val="00770FE5"/>
    <w:rsid w:val="0077206F"/>
    <w:rsid w:val="007720C9"/>
    <w:rsid w:val="00772284"/>
    <w:rsid w:val="0077252A"/>
    <w:rsid w:val="007727D5"/>
    <w:rsid w:val="007735A4"/>
    <w:rsid w:val="00774BE9"/>
    <w:rsid w:val="00774FA0"/>
    <w:rsid w:val="00776620"/>
    <w:rsid w:val="00776ACC"/>
    <w:rsid w:val="007770D4"/>
    <w:rsid w:val="00777B6D"/>
    <w:rsid w:val="00780255"/>
    <w:rsid w:val="00780B0A"/>
    <w:rsid w:val="00781674"/>
    <w:rsid w:val="00781FD8"/>
    <w:rsid w:val="00782EDF"/>
    <w:rsid w:val="00783E01"/>
    <w:rsid w:val="0078442C"/>
    <w:rsid w:val="00784855"/>
    <w:rsid w:val="007848AE"/>
    <w:rsid w:val="00784F39"/>
    <w:rsid w:val="00784FE3"/>
    <w:rsid w:val="0078545C"/>
    <w:rsid w:val="00786A93"/>
    <w:rsid w:val="00787940"/>
    <w:rsid w:val="007906C4"/>
    <w:rsid w:val="0079111D"/>
    <w:rsid w:val="00791875"/>
    <w:rsid w:val="00791DA3"/>
    <w:rsid w:val="007930B2"/>
    <w:rsid w:val="007938BE"/>
    <w:rsid w:val="007940EA"/>
    <w:rsid w:val="0079555D"/>
    <w:rsid w:val="007957AA"/>
    <w:rsid w:val="007967E8"/>
    <w:rsid w:val="007A0053"/>
    <w:rsid w:val="007A01A0"/>
    <w:rsid w:val="007A16F9"/>
    <w:rsid w:val="007A28E2"/>
    <w:rsid w:val="007A332B"/>
    <w:rsid w:val="007A33A4"/>
    <w:rsid w:val="007A414A"/>
    <w:rsid w:val="007A453B"/>
    <w:rsid w:val="007A45B6"/>
    <w:rsid w:val="007A4937"/>
    <w:rsid w:val="007A4991"/>
    <w:rsid w:val="007A63F2"/>
    <w:rsid w:val="007A7282"/>
    <w:rsid w:val="007B0B4B"/>
    <w:rsid w:val="007B2421"/>
    <w:rsid w:val="007B3782"/>
    <w:rsid w:val="007B5221"/>
    <w:rsid w:val="007B5D20"/>
    <w:rsid w:val="007B6704"/>
    <w:rsid w:val="007B6824"/>
    <w:rsid w:val="007B68DE"/>
    <w:rsid w:val="007B6E75"/>
    <w:rsid w:val="007B71E9"/>
    <w:rsid w:val="007B750D"/>
    <w:rsid w:val="007B7649"/>
    <w:rsid w:val="007C0434"/>
    <w:rsid w:val="007C091C"/>
    <w:rsid w:val="007C0D2B"/>
    <w:rsid w:val="007C0E28"/>
    <w:rsid w:val="007C0F03"/>
    <w:rsid w:val="007C1857"/>
    <w:rsid w:val="007C18D5"/>
    <w:rsid w:val="007C39A2"/>
    <w:rsid w:val="007C403B"/>
    <w:rsid w:val="007C442E"/>
    <w:rsid w:val="007C4466"/>
    <w:rsid w:val="007C4564"/>
    <w:rsid w:val="007C4A8D"/>
    <w:rsid w:val="007C507B"/>
    <w:rsid w:val="007C514F"/>
    <w:rsid w:val="007C629E"/>
    <w:rsid w:val="007C65E8"/>
    <w:rsid w:val="007C6EC0"/>
    <w:rsid w:val="007C7DB6"/>
    <w:rsid w:val="007D01E6"/>
    <w:rsid w:val="007D0E4E"/>
    <w:rsid w:val="007D0F95"/>
    <w:rsid w:val="007D1CB9"/>
    <w:rsid w:val="007D1ED0"/>
    <w:rsid w:val="007D2240"/>
    <w:rsid w:val="007D32CC"/>
    <w:rsid w:val="007D33EE"/>
    <w:rsid w:val="007D3789"/>
    <w:rsid w:val="007D37A8"/>
    <w:rsid w:val="007D3924"/>
    <w:rsid w:val="007D39E9"/>
    <w:rsid w:val="007D5285"/>
    <w:rsid w:val="007D5439"/>
    <w:rsid w:val="007D55CE"/>
    <w:rsid w:val="007D5942"/>
    <w:rsid w:val="007D59DD"/>
    <w:rsid w:val="007D5C44"/>
    <w:rsid w:val="007D60C9"/>
    <w:rsid w:val="007D6384"/>
    <w:rsid w:val="007D6821"/>
    <w:rsid w:val="007D7ECB"/>
    <w:rsid w:val="007E0191"/>
    <w:rsid w:val="007E0A47"/>
    <w:rsid w:val="007E25A1"/>
    <w:rsid w:val="007E3455"/>
    <w:rsid w:val="007E382B"/>
    <w:rsid w:val="007E3FD6"/>
    <w:rsid w:val="007E42E0"/>
    <w:rsid w:val="007E4895"/>
    <w:rsid w:val="007E4BD2"/>
    <w:rsid w:val="007E4C3E"/>
    <w:rsid w:val="007E5294"/>
    <w:rsid w:val="007E58A6"/>
    <w:rsid w:val="007E7145"/>
    <w:rsid w:val="007E7C87"/>
    <w:rsid w:val="007E7CF0"/>
    <w:rsid w:val="007E7CF4"/>
    <w:rsid w:val="007F0665"/>
    <w:rsid w:val="007F11B7"/>
    <w:rsid w:val="007F153D"/>
    <w:rsid w:val="007F1E2D"/>
    <w:rsid w:val="007F2B2E"/>
    <w:rsid w:val="007F340C"/>
    <w:rsid w:val="007F342F"/>
    <w:rsid w:val="007F3916"/>
    <w:rsid w:val="007F3EE5"/>
    <w:rsid w:val="007F51DA"/>
    <w:rsid w:val="007F5549"/>
    <w:rsid w:val="007F5E1B"/>
    <w:rsid w:val="007F5FD2"/>
    <w:rsid w:val="007F62CB"/>
    <w:rsid w:val="007F64A2"/>
    <w:rsid w:val="007F79EF"/>
    <w:rsid w:val="0080022A"/>
    <w:rsid w:val="008004CE"/>
    <w:rsid w:val="00801179"/>
    <w:rsid w:val="00801EFC"/>
    <w:rsid w:val="00801F11"/>
    <w:rsid w:val="00801F1E"/>
    <w:rsid w:val="00802479"/>
    <w:rsid w:val="00802944"/>
    <w:rsid w:val="00803A24"/>
    <w:rsid w:val="00803BA9"/>
    <w:rsid w:val="00804E2C"/>
    <w:rsid w:val="00804E88"/>
    <w:rsid w:val="00805372"/>
    <w:rsid w:val="008055A2"/>
    <w:rsid w:val="00805988"/>
    <w:rsid w:val="00805B7B"/>
    <w:rsid w:val="00807041"/>
    <w:rsid w:val="00807297"/>
    <w:rsid w:val="00811CA8"/>
    <w:rsid w:val="0081238F"/>
    <w:rsid w:val="0081293E"/>
    <w:rsid w:val="00812BC1"/>
    <w:rsid w:val="00813F35"/>
    <w:rsid w:val="00814FFB"/>
    <w:rsid w:val="0081506B"/>
    <w:rsid w:val="00815631"/>
    <w:rsid w:val="008166E0"/>
    <w:rsid w:val="00817085"/>
    <w:rsid w:val="008179D2"/>
    <w:rsid w:val="008204EB"/>
    <w:rsid w:val="00820568"/>
    <w:rsid w:val="00821BFB"/>
    <w:rsid w:val="00822C96"/>
    <w:rsid w:val="0082475C"/>
    <w:rsid w:val="00824AEA"/>
    <w:rsid w:val="0082663C"/>
    <w:rsid w:val="0082782F"/>
    <w:rsid w:val="00827B34"/>
    <w:rsid w:val="008307A6"/>
    <w:rsid w:val="00830ECA"/>
    <w:rsid w:val="00831A80"/>
    <w:rsid w:val="00832CE1"/>
    <w:rsid w:val="00833081"/>
    <w:rsid w:val="008332C8"/>
    <w:rsid w:val="00833743"/>
    <w:rsid w:val="0083387A"/>
    <w:rsid w:val="00833A73"/>
    <w:rsid w:val="008340A4"/>
    <w:rsid w:val="0083437D"/>
    <w:rsid w:val="00835D71"/>
    <w:rsid w:val="008364A7"/>
    <w:rsid w:val="00836746"/>
    <w:rsid w:val="00836799"/>
    <w:rsid w:val="00837028"/>
    <w:rsid w:val="00837131"/>
    <w:rsid w:val="00837377"/>
    <w:rsid w:val="00837E17"/>
    <w:rsid w:val="00840282"/>
    <w:rsid w:val="00840362"/>
    <w:rsid w:val="008404E9"/>
    <w:rsid w:val="008407F8"/>
    <w:rsid w:val="008409B6"/>
    <w:rsid w:val="00840F04"/>
    <w:rsid w:val="0084166E"/>
    <w:rsid w:val="008424FD"/>
    <w:rsid w:val="00842CA9"/>
    <w:rsid w:val="00843B2D"/>
    <w:rsid w:val="00843FB2"/>
    <w:rsid w:val="008449DD"/>
    <w:rsid w:val="00844A11"/>
    <w:rsid w:val="0084558F"/>
    <w:rsid w:val="00845F57"/>
    <w:rsid w:val="00846595"/>
    <w:rsid w:val="00846A73"/>
    <w:rsid w:val="008473B2"/>
    <w:rsid w:val="00851240"/>
    <w:rsid w:val="008515BA"/>
    <w:rsid w:val="008518F5"/>
    <w:rsid w:val="008521E0"/>
    <w:rsid w:val="0085234F"/>
    <w:rsid w:val="008523D4"/>
    <w:rsid w:val="008525B0"/>
    <w:rsid w:val="00852947"/>
    <w:rsid w:val="00853682"/>
    <w:rsid w:val="00854239"/>
    <w:rsid w:val="008546F1"/>
    <w:rsid w:val="00854EE3"/>
    <w:rsid w:val="00855876"/>
    <w:rsid w:val="00856CD9"/>
    <w:rsid w:val="00857272"/>
    <w:rsid w:val="00860529"/>
    <w:rsid w:val="00862E74"/>
    <w:rsid w:val="008643F1"/>
    <w:rsid w:val="00864A0E"/>
    <w:rsid w:val="00865268"/>
    <w:rsid w:val="008652E6"/>
    <w:rsid w:val="00865556"/>
    <w:rsid w:val="008663EB"/>
    <w:rsid w:val="0086694D"/>
    <w:rsid w:val="00866AF6"/>
    <w:rsid w:val="00866C80"/>
    <w:rsid w:val="00867815"/>
    <w:rsid w:val="00867CBC"/>
    <w:rsid w:val="008705A7"/>
    <w:rsid w:val="00871927"/>
    <w:rsid w:val="0087192B"/>
    <w:rsid w:val="0087218D"/>
    <w:rsid w:val="008721B0"/>
    <w:rsid w:val="0087249B"/>
    <w:rsid w:val="008742E8"/>
    <w:rsid w:val="00875B2F"/>
    <w:rsid w:val="00876C30"/>
    <w:rsid w:val="00877017"/>
    <w:rsid w:val="008773C0"/>
    <w:rsid w:val="00877896"/>
    <w:rsid w:val="00880364"/>
    <w:rsid w:val="0088256D"/>
    <w:rsid w:val="00882F32"/>
    <w:rsid w:val="00883AA2"/>
    <w:rsid w:val="0088465C"/>
    <w:rsid w:val="008855A8"/>
    <w:rsid w:val="008859FE"/>
    <w:rsid w:val="00885A1B"/>
    <w:rsid w:val="00885FB6"/>
    <w:rsid w:val="00886795"/>
    <w:rsid w:val="00886920"/>
    <w:rsid w:val="00886C4C"/>
    <w:rsid w:val="00886CA4"/>
    <w:rsid w:val="0088711C"/>
    <w:rsid w:val="0089005C"/>
    <w:rsid w:val="0089171E"/>
    <w:rsid w:val="0089201F"/>
    <w:rsid w:val="008928E4"/>
    <w:rsid w:val="008929C3"/>
    <w:rsid w:val="00892CE0"/>
    <w:rsid w:val="00892ECF"/>
    <w:rsid w:val="00892F06"/>
    <w:rsid w:val="0089364E"/>
    <w:rsid w:val="008936A0"/>
    <w:rsid w:val="00894285"/>
    <w:rsid w:val="0089452C"/>
    <w:rsid w:val="00894544"/>
    <w:rsid w:val="00895095"/>
    <w:rsid w:val="008957F7"/>
    <w:rsid w:val="00896145"/>
    <w:rsid w:val="008961BE"/>
    <w:rsid w:val="00897059"/>
    <w:rsid w:val="00897F41"/>
    <w:rsid w:val="008A0C80"/>
    <w:rsid w:val="008A17E9"/>
    <w:rsid w:val="008A1976"/>
    <w:rsid w:val="008A198E"/>
    <w:rsid w:val="008A40AE"/>
    <w:rsid w:val="008A438B"/>
    <w:rsid w:val="008A46F6"/>
    <w:rsid w:val="008A4E19"/>
    <w:rsid w:val="008A589A"/>
    <w:rsid w:val="008A5A2E"/>
    <w:rsid w:val="008A5D1D"/>
    <w:rsid w:val="008A67C5"/>
    <w:rsid w:val="008A6F18"/>
    <w:rsid w:val="008A73B7"/>
    <w:rsid w:val="008A74E3"/>
    <w:rsid w:val="008A7B32"/>
    <w:rsid w:val="008A7F57"/>
    <w:rsid w:val="008B10AD"/>
    <w:rsid w:val="008B1AAF"/>
    <w:rsid w:val="008B22E1"/>
    <w:rsid w:val="008B33A5"/>
    <w:rsid w:val="008B3C78"/>
    <w:rsid w:val="008B419A"/>
    <w:rsid w:val="008B49D2"/>
    <w:rsid w:val="008B4A03"/>
    <w:rsid w:val="008B4AE9"/>
    <w:rsid w:val="008B6610"/>
    <w:rsid w:val="008B6F26"/>
    <w:rsid w:val="008B6FDF"/>
    <w:rsid w:val="008B73FA"/>
    <w:rsid w:val="008C30AD"/>
    <w:rsid w:val="008C3429"/>
    <w:rsid w:val="008C42FE"/>
    <w:rsid w:val="008C4650"/>
    <w:rsid w:val="008C478E"/>
    <w:rsid w:val="008C4B41"/>
    <w:rsid w:val="008C556D"/>
    <w:rsid w:val="008C566B"/>
    <w:rsid w:val="008C5CF8"/>
    <w:rsid w:val="008C5E13"/>
    <w:rsid w:val="008D04F2"/>
    <w:rsid w:val="008D068E"/>
    <w:rsid w:val="008D0F7A"/>
    <w:rsid w:val="008D2B0E"/>
    <w:rsid w:val="008D31F1"/>
    <w:rsid w:val="008D3760"/>
    <w:rsid w:val="008D3AF2"/>
    <w:rsid w:val="008D533A"/>
    <w:rsid w:val="008D5E06"/>
    <w:rsid w:val="008D5E21"/>
    <w:rsid w:val="008D60A6"/>
    <w:rsid w:val="008D63BE"/>
    <w:rsid w:val="008D6A5A"/>
    <w:rsid w:val="008D6C99"/>
    <w:rsid w:val="008D72D5"/>
    <w:rsid w:val="008D737E"/>
    <w:rsid w:val="008D7909"/>
    <w:rsid w:val="008E0072"/>
    <w:rsid w:val="008E0CFF"/>
    <w:rsid w:val="008E178B"/>
    <w:rsid w:val="008E203B"/>
    <w:rsid w:val="008E358F"/>
    <w:rsid w:val="008E433D"/>
    <w:rsid w:val="008E4BB1"/>
    <w:rsid w:val="008E56E6"/>
    <w:rsid w:val="008E573A"/>
    <w:rsid w:val="008E58DF"/>
    <w:rsid w:val="008E5D6B"/>
    <w:rsid w:val="008E6408"/>
    <w:rsid w:val="008E662F"/>
    <w:rsid w:val="008E689B"/>
    <w:rsid w:val="008E7425"/>
    <w:rsid w:val="008E7500"/>
    <w:rsid w:val="008E75F9"/>
    <w:rsid w:val="008E76F0"/>
    <w:rsid w:val="008E78B0"/>
    <w:rsid w:val="008F09B2"/>
    <w:rsid w:val="008F09F4"/>
    <w:rsid w:val="008F0CBD"/>
    <w:rsid w:val="008F0D7C"/>
    <w:rsid w:val="008F0EE9"/>
    <w:rsid w:val="008F1292"/>
    <w:rsid w:val="008F15FE"/>
    <w:rsid w:val="008F1EBD"/>
    <w:rsid w:val="008F2A94"/>
    <w:rsid w:val="008F325A"/>
    <w:rsid w:val="008F34EE"/>
    <w:rsid w:val="008F3EBC"/>
    <w:rsid w:val="008F5168"/>
    <w:rsid w:val="008F5187"/>
    <w:rsid w:val="008F55F7"/>
    <w:rsid w:val="008F6BA7"/>
    <w:rsid w:val="008F709C"/>
    <w:rsid w:val="008F7777"/>
    <w:rsid w:val="008F7C56"/>
    <w:rsid w:val="00901682"/>
    <w:rsid w:val="009017B0"/>
    <w:rsid w:val="00902221"/>
    <w:rsid w:val="00902397"/>
    <w:rsid w:val="00902B9B"/>
    <w:rsid w:val="0090312B"/>
    <w:rsid w:val="00903DB7"/>
    <w:rsid w:val="00904961"/>
    <w:rsid w:val="009051FA"/>
    <w:rsid w:val="0090565F"/>
    <w:rsid w:val="009058EC"/>
    <w:rsid w:val="00906A13"/>
    <w:rsid w:val="00907649"/>
    <w:rsid w:val="0091008C"/>
    <w:rsid w:val="009102F2"/>
    <w:rsid w:val="00910471"/>
    <w:rsid w:val="00911C92"/>
    <w:rsid w:val="009132D0"/>
    <w:rsid w:val="009143EE"/>
    <w:rsid w:val="0091596D"/>
    <w:rsid w:val="009159FA"/>
    <w:rsid w:val="009171B1"/>
    <w:rsid w:val="0091736D"/>
    <w:rsid w:val="00917745"/>
    <w:rsid w:val="00920418"/>
    <w:rsid w:val="00920664"/>
    <w:rsid w:val="00920E20"/>
    <w:rsid w:val="009223D1"/>
    <w:rsid w:val="00922D1B"/>
    <w:rsid w:val="00922F41"/>
    <w:rsid w:val="00923FF5"/>
    <w:rsid w:val="00924704"/>
    <w:rsid w:val="00924783"/>
    <w:rsid w:val="00925318"/>
    <w:rsid w:val="00925818"/>
    <w:rsid w:val="00930115"/>
    <w:rsid w:val="009307F2"/>
    <w:rsid w:val="00930C9E"/>
    <w:rsid w:val="00931001"/>
    <w:rsid w:val="00931863"/>
    <w:rsid w:val="00932A11"/>
    <w:rsid w:val="00932AEE"/>
    <w:rsid w:val="0093310C"/>
    <w:rsid w:val="00933524"/>
    <w:rsid w:val="00935FE4"/>
    <w:rsid w:val="00936201"/>
    <w:rsid w:val="009374BF"/>
    <w:rsid w:val="00937526"/>
    <w:rsid w:val="0093771B"/>
    <w:rsid w:val="00937764"/>
    <w:rsid w:val="009378AA"/>
    <w:rsid w:val="009378CA"/>
    <w:rsid w:val="009379C6"/>
    <w:rsid w:val="00937FC7"/>
    <w:rsid w:val="00941074"/>
    <w:rsid w:val="0094278D"/>
    <w:rsid w:val="009428E3"/>
    <w:rsid w:val="00942B0B"/>
    <w:rsid w:val="00943BC7"/>
    <w:rsid w:val="0094407B"/>
    <w:rsid w:val="0094436E"/>
    <w:rsid w:val="0094569D"/>
    <w:rsid w:val="009457D7"/>
    <w:rsid w:val="0094614F"/>
    <w:rsid w:val="00946597"/>
    <w:rsid w:val="009467D2"/>
    <w:rsid w:val="0094697C"/>
    <w:rsid w:val="0094774B"/>
    <w:rsid w:val="009477A2"/>
    <w:rsid w:val="00947821"/>
    <w:rsid w:val="00950A0E"/>
    <w:rsid w:val="00951894"/>
    <w:rsid w:val="0095308A"/>
    <w:rsid w:val="0095335C"/>
    <w:rsid w:val="00953BDE"/>
    <w:rsid w:val="00954AAE"/>
    <w:rsid w:val="00955AEE"/>
    <w:rsid w:val="00956F14"/>
    <w:rsid w:val="00956F75"/>
    <w:rsid w:val="00960C53"/>
    <w:rsid w:val="00961A51"/>
    <w:rsid w:val="00961FF8"/>
    <w:rsid w:val="009620FD"/>
    <w:rsid w:val="009622DA"/>
    <w:rsid w:val="0096247A"/>
    <w:rsid w:val="009631AA"/>
    <w:rsid w:val="0096342B"/>
    <w:rsid w:val="0096394D"/>
    <w:rsid w:val="00963A1E"/>
    <w:rsid w:val="009641A5"/>
    <w:rsid w:val="009649CC"/>
    <w:rsid w:val="00964A9F"/>
    <w:rsid w:val="00964C9E"/>
    <w:rsid w:val="00965483"/>
    <w:rsid w:val="00965F4B"/>
    <w:rsid w:val="0096612E"/>
    <w:rsid w:val="009661AD"/>
    <w:rsid w:val="00966962"/>
    <w:rsid w:val="00966C43"/>
    <w:rsid w:val="00967A5A"/>
    <w:rsid w:val="00967CDF"/>
    <w:rsid w:val="00970F8A"/>
    <w:rsid w:val="0097128E"/>
    <w:rsid w:val="00971B27"/>
    <w:rsid w:val="00971FB5"/>
    <w:rsid w:val="0097222F"/>
    <w:rsid w:val="00972273"/>
    <w:rsid w:val="00972D08"/>
    <w:rsid w:val="00972D2A"/>
    <w:rsid w:val="00972E60"/>
    <w:rsid w:val="0097393F"/>
    <w:rsid w:val="009740D5"/>
    <w:rsid w:val="00975CC5"/>
    <w:rsid w:val="00975D51"/>
    <w:rsid w:val="00976328"/>
    <w:rsid w:val="00976B4E"/>
    <w:rsid w:val="00976C0F"/>
    <w:rsid w:val="009770EE"/>
    <w:rsid w:val="00977AA3"/>
    <w:rsid w:val="0098118B"/>
    <w:rsid w:val="0098307C"/>
    <w:rsid w:val="00983FF3"/>
    <w:rsid w:val="00984458"/>
    <w:rsid w:val="00984DE7"/>
    <w:rsid w:val="00985283"/>
    <w:rsid w:val="0098534D"/>
    <w:rsid w:val="0098570C"/>
    <w:rsid w:val="00987322"/>
    <w:rsid w:val="0098780C"/>
    <w:rsid w:val="00987B85"/>
    <w:rsid w:val="009914A4"/>
    <w:rsid w:val="00991592"/>
    <w:rsid w:val="00992912"/>
    <w:rsid w:val="00992B0C"/>
    <w:rsid w:val="009934CA"/>
    <w:rsid w:val="009937BD"/>
    <w:rsid w:val="00995516"/>
    <w:rsid w:val="00995858"/>
    <w:rsid w:val="00996672"/>
    <w:rsid w:val="009970B3"/>
    <w:rsid w:val="00997228"/>
    <w:rsid w:val="00997B56"/>
    <w:rsid w:val="009A017C"/>
    <w:rsid w:val="009A0F3B"/>
    <w:rsid w:val="009A1042"/>
    <w:rsid w:val="009A3612"/>
    <w:rsid w:val="009A369F"/>
    <w:rsid w:val="009A3E21"/>
    <w:rsid w:val="009A4F40"/>
    <w:rsid w:val="009A5B19"/>
    <w:rsid w:val="009A5CB1"/>
    <w:rsid w:val="009A6855"/>
    <w:rsid w:val="009A6B35"/>
    <w:rsid w:val="009A72C7"/>
    <w:rsid w:val="009A7D30"/>
    <w:rsid w:val="009A7EE7"/>
    <w:rsid w:val="009B0897"/>
    <w:rsid w:val="009B0DE6"/>
    <w:rsid w:val="009B2824"/>
    <w:rsid w:val="009B35F3"/>
    <w:rsid w:val="009B3656"/>
    <w:rsid w:val="009B3D79"/>
    <w:rsid w:val="009B4CA7"/>
    <w:rsid w:val="009B4DD5"/>
    <w:rsid w:val="009B6986"/>
    <w:rsid w:val="009B7BCF"/>
    <w:rsid w:val="009C0224"/>
    <w:rsid w:val="009C1464"/>
    <w:rsid w:val="009C1C6E"/>
    <w:rsid w:val="009C1C77"/>
    <w:rsid w:val="009C22B7"/>
    <w:rsid w:val="009C2A2F"/>
    <w:rsid w:val="009C36E2"/>
    <w:rsid w:val="009C3F3D"/>
    <w:rsid w:val="009C4086"/>
    <w:rsid w:val="009C41CD"/>
    <w:rsid w:val="009C446C"/>
    <w:rsid w:val="009C52E5"/>
    <w:rsid w:val="009C5BFD"/>
    <w:rsid w:val="009C7FF8"/>
    <w:rsid w:val="009D0180"/>
    <w:rsid w:val="009D0852"/>
    <w:rsid w:val="009D0AFF"/>
    <w:rsid w:val="009D1FBF"/>
    <w:rsid w:val="009D344C"/>
    <w:rsid w:val="009D3B34"/>
    <w:rsid w:val="009D3E2E"/>
    <w:rsid w:val="009D46AF"/>
    <w:rsid w:val="009D5D1F"/>
    <w:rsid w:val="009D61FC"/>
    <w:rsid w:val="009E1FB8"/>
    <w:rsid w:val="009E399C"/>
    <w:rsid w:val="009E43C1"/>
    <w:rsid w:val="009E4748"/>
    <w:rsid w:val="009E4AE7"/>
    <w:rsid w:val="009E4E3D"/>
    <w:rsid w:val="009E5010"/>
    <w:rsid w:val="009E56B9"/>
    <w:rsid w:val="009E651D"/>
    <w:rsid w:val="009E74B6"/>
    <w:rsid w:val="009E7607"/>
    <w:rsid w:val="009E7E95"/>
    <w:rsid w:val="009F0E30"/>
    <w:rsid w:val="009F116F"/>
    <w:rsid w:val="009F184C"/>
    <w:rsid w:val="009F19C6"/>
    <w:rsid w:val="009F1AA6"/>
    <w:rsid w:val="009F1E11"/>
    <w:rsid w:val="009F3289"/>
    <w:rsid w:val="009F329E"/>
    <w:rsid w:val="009F43C3"/>
    <w:rsid w:val="009F43EE"/>
    <w:rsid w:val="009F511F"/>
    <w:rsid w:val="009F53FD"/>
    <w:rsid w:val="009F6A96"/>
    <w:rsid w:val="009F70AA"/>
    <w:rsid w:val="009F7AE8"/>
    <w:rsid w:val="009F7D91"/>
    <w:rsid w:val="009F7ED3"/>
    <w:rsid w:val="00A003D4"/>
    <w:rsid w:val="00A00DC6"/>
    <w:rsid w:val="00A0182D"/>
    <w:rsid w:val="00A0213A"/>
    <w:rsid w:val="00A02501"/>
    <w:rsid w:val="00A03607"/>
    <w:rsid w:val="00A047FF"/>
    <w:rsid w:val="00A04FEF"/>
    <w:rsid w:val="00A053E6"/>
    <w:rsid w:val="00A071E0"/>
    <w:rsid w:val="00A076D2"/>
    <w:rsid w:val="00A07843"/>
    <w:rsid w:val="00A1002C"/>
    <w:rsid w:val="00A10961"/>
    <w:rsid w:val="00A11B8E"/>
    <w:rsid w:val="00A122CD"/>
    <w:rsid w:val="00A12A32"/>
    <w:rsid w:val="00A130F9"/>
    <w:rsid w:val="00A13A77"/>
    <w:rsid w:val="00A13BE5"/>
    <w:rsid w:val="00A14248"/>
    <w:rsid w:val="00A14281"/>
    <w:rsid w:val="00A14947"/>
    <w:rsid w:val="00A14D8F"/>
    <w:rsid w:val="00A155D5"/>
    <w:rsid w:val="00A15E61"/>
    <w:rsid w:val="00A161BA"/>
    <w:rsid w:val="00A1627B"/>
    <w:rsid w:val="00A16CDC"/>
    <w:rsid w:val="00A17B92"/>
    <w:rsid w:val="00A206DA"/>
    <w:rsid w:val="00A215F6"/>
    <w:rsid w:val="00A21B2C"/>
    <w:rsid w:val="00A21F20"/>
    <w:rsid w:val="00A23C40"/>
    <w:rsid w:val="00A23CF8"/>
    <w:rsid w:val="00A23DC5"/>
    <w:rsid w:val="00A23EE6"/>
    <w:rsid w:val="00A254E8"/>
    <w:rsid w:val="00A26094"/>
    <w:rsid w:val="00A26912"/>
    <w:rsid w:val="00A26D1A"/>
    <w:rsid w:val="00A27A79"/>
    <w:rsid w:val="00A27B33"/>
    <w:rsid w:val="00A27D80"/>
    <w:rsid w:val="00A3022B"/>
    <w:rsid w:val="00A3087B"/>
    <w:rsid w:val="00A3232E"/>
    <w:rsid w:val="00A33045"/>
    <w:rsid w:val="00A334BE"/>
    <w:rsid w:val="00A33672"/>
    <w:rsid w:val="00A33A07"/>
    <w:rsid w:val="00A33E5B"/>
    <w:rsid w:val="00A34028"/>
    <w:rsid w:val="00A34C9C"/>
    <w:rsid w:val="00A35568"/>
    <w:rsid w:val="00A37056"/>
    <w:rsid w:val="00A3754B"/>
    <w:rsid w:val="00A406D2"/>
    <w:rsid w:val="00A40A91"/>
    <w:rsid w:val="00A419C5"/>
    <w:rsid w:val="00A424AC"/>
    <w:rsid w:val="00A4261F"/>
    <w:rsid w:val="00A42F21"/>
    <w:rsid w:val="00A4358F"/>
    <w:rsid w:val="00A43762"/>
    <w:rsid w:val="00A45088"/>
    <w:rsid w:val="00A4642F"/>
    <w:rsid w:val="00A46F67"/>
    <w:rsid w:val="00A47099"/>
    <w:rsid w:val="00A47B69"/>
    <w:rsid w:val="00A50300"/>
    <w:rsid w:val="00A51BBE"/>
    <w:rsid w:val="00A523C0"/>
    <w:rsid w:val="00A54AA1"/>
    <w:rsid w:val="00A550F4"/>
    <w:rsid w:val="00A551C6"/>
    <w:rsid w:val="00A55A0B"/>
    <w:rsid w:val="00A568E8"/>
    <w:rsid w:val="00A568FF"/>
    <w:rsid w:val="00A56C68"/>
    <w:rsid w:val="00A57A18"/>
    <w:rsid w:val="00A60B16"/>
    <w:rsid w:val="00A60D71"/>
    <w:rsid w:val="00A61496"/>
    <w:rsid w:val="00A61833"/>
    <w:rsid w:val="00A61BBE"/>
    <w:rsid w:val="00A624C6"/>
    <w:rsid w:val="00A6257A"/>
    <w:rsid w:val="00A62842"/>
    <w:rsid w:val="00A6294A"/>
    <w:rsid w:val="00A62ED9"/>
    <w:rsid w:val="00A62EF9"/>
    <w:rsid w:val="00A62F17"/>
    <w:rsid w:val="00A63CEC"/>
    <w:rsid w:val="00A63DA9"/>
    <w:rsid w:val="00A63DAE"/>
    <w:rsid w:val="00A640AB"/>
    <w:rsid w:val="00A640F4"/>
    <w:rsid w:val="00A6417B"/>
    <w:rsid w:val="00A64A09"/>
    <w:rsid w:val="00A65894"/>
    <w:rsid w:val="00A65A49"/>
    <w:rsid w:val="00A668A4"/>
    <w:rsid w:val="00A66C32"/>
    <w:rsid w:val="00A6787B"/>
    <w:rsid w:val="00A67C83"/>
    <w:rsid w:val="00A7031E"/>
    <w:rsid w:val="00A704CB"/>
    <w:rsid w:val="00A71381"/>
    <w:rsid w:val="00A71734"/>
    <w:rsid w:val="00A722E6"/>
    <w:rsid w:val="00A728B1"/>
    <w:rsid w:val="00A72A78"/>
    <w:rsid w:val="00A73907"/>
    <w:rsid w:val="00A739B7"/>
    <w:rsid w:val="00A73B68"/>
    <w:rsid w:val="00A741D2"/>
    <w:rsid w:val="00A745E9"/>
    <w:rsid w:val="00A746B1"/>
    <w:rsid w:val="00A74BAF"/>
    <w:rsid w:val="00A75192"/>
    <w:rsid w:val="00A75982"/>
    <w:rsid w:val="00A763DE"/>
    <w:rsid w:val="00A8010B"/>
    <w:rsid w:val="00A803D6"/>
    <w:rsid w:val="00A8096B"/>
    <w:rsid w:val="00A80E0A"/>
    <w:rsid w:val="00A8117E"/>
    <w:rsid w:val="00A8126A"/>
    <w:rsid w:val="00A81282"/>
    <w:rsid w:val="00A82544"/>
    <w:rsid w:val="00A82C61"/>
    <w:rsid w:val="00A84370"/>
    <w:rsid w:val="00A85E5F"/>
    <w:rsid w:val="00A8657F"/>
    <w:rsid w:val="00A865DA"/>
    <w:rsid w:val="00A86B11"/>
    <w:rsid w:val="00A8713F"/>
    <w:rsid w:val="00A87704"/>
    <w:rsid w:val="00A87A43"/>
    <w:rsid w:val="00A87CB8"/>
    <w:rsid w:val="00A909FF"/>
    <w:rsid w:val="00A91167"/>
    <w:rsid w:val="00A9171C"/>
    <w:rsid w:val="00A917CF"/>
    <w:rsid w:val="00A92925"/>
    <w:rsid w:val="00A92FFD"/>
    <w:rsid w:val="00A93118"/>
    <w:rsid w:val="00A94AF2"/>
    <w:rsid w:val="00A9522C"/>
    <w:rsid w:val="00A958D0"/>
    <w:rsid w:val="00A95975"/>
    <w:rsid w:val="00A9661A"/>
    <w:rsid w:val="00A96CAF"/>
    <w:rsid w:val="00A9708D"/>
    <w:rsid w:val="00A97244"/>
    <w:rsid w:val="00AA027A"/>
    <w:rsid w:val="00AA07EC"/>
    <w:rsid w:val="00AA0C14"/>
    <w:rsid w:val="00AA14FA"/>
    <w:rsid w:val="00AA1784"/>
    <w:rsid w:val="00AA1A9A"/>
    <w:rsid w:val="00AA2BD3"/>
    <w:rsid w:val="00AA2C17"/>
    <w:rsid w:val="00AA30C9"/>
    <w:rsid w:val="00AA3721"/>
    <w:rsid w:val="00AA4172"/>
    <w:rsid w:val="00AA4731"/>
    <w:rsid w:val="00AA492C"/>
    <w:rsid w:val="00AA4CD6"/>
    <w:rsid w:val="00AA55C7"/>
    <w:rsid w:val="00AA6AD1"/>
    <w:rsid w:val="00AA7DA8"/>
    <w:rsid w:val="00AB052F"/>
    <w:rsid w:val="00AB06E3"/>
    <w:rsid w:val="00AB0E51"/>
    <w:rsid w:val="00AB14B8"/>
    <w:rsid w:val="00AB1914"/>
    <w:rsid w:val="00AB1B4F"/>
    <w:rsid w:val="00AB1EE6"/>
    <w:rsid w:val="00AB314D"/>
    <w:rsid w:val="00AB3FB0"/>
    <w:rsid w:val="00AB40B1"/>
    <w:rsid w:val="00AB4207"/>
    <w:rsid w:val="00AB5330"/>
    <w:rsid w:val="00AB53C9"/>
    <w:rsid w:val="00AB5D4F"/>
    <w:rsid w:val="00AB6ABC"/>
    <w:rsid w:val="00AB6CFE"/>
    <w:rsid w:val="00AB7747"/>
    <w:rsid w:val="00AB7C76"/>
    <w:rsid w:val="00AC0314"/>
    <w:rsid w:val="00AC06D8"/>
    <w:rsid w:val="00AC0711"/>
    <w:rsid w:val="00AC0EA3"/>
    <w:rsid w:val="00AC0F3B"/>
    <w:rsid w:val="00AC138F"/>
    <w:rsid w:val="00AC18FE"/>
    <w:rsid w:val="00AC2532"/>
    <w:rsid w:val="00AC353D"/>
    <w:rsid w:val="00AC4029"/>
    <w:rsid w:val="00AC46F6"/>
    <w:rsid w:val="00AC4FC1"/>
    <w:rsid w:val="00AC542D"/>
    <w:rsid w:val="00AC759B"/>
    <w:rsid w:val="00AC7EAD"/>
    <w:rsid w:val="00AD1507"/>
    <w:rsid w:val="00AD197A"/>
    <w:rsid w:val="00AD287A"/>
    <w:rsid w:val="00AD2CCB"/>
    <w:rsid w:val="00AD31CB"/>
    <w:rsid w:val="00AD3210"/>
    <w:rsid w:val="00AD3DD1"/>
    <w:rsid w:val="00AD4B2B"/>
    <w:rsid w:val="00AD56FF"/>
    <w:rsid w:val="00AD5A70"/>
    <w:rsid w:val="00AD6629"/>
    <w:rsid w:val="00AD669C"/>
    <w:rsid w:val="00AD6749"/>
    <w:rsid w:val="00AD6CDB"/>
    <w:rsid w:val="00AD738B"/>
    <w:rsid w:val="00AD796C"/>
    <w:rsid w:val="00AE0CED"/>
    <w:rsid w:val="00AE1BF4"/>
    <w:rsid w:val="00AE2857"/>
    <w:rsid w:val="00AE38EA"/>
    <w:rsid w:val="00AE3EBC"/>
    <w:rsid w:val="00AE44AF"/>
    <w:rsid w:val="00AE4C4F"/>
    <w:rsid w:val="00AE5D97"/>
    <w:rsid w:val="00AE5EC3"/>
    <w:rsid w:val="00AE6794"/>
    <w:rsid w:val="00AE6B89"/>
    <w:rsid w:val="00AE6E60"/>
    <w:rsid w:val="00AF0523"/>
    <w:rsid w:val="00AF0768"/>
    <w:rsid w:val="00AF0818"/>
    <w:rsid w:val="00AF0B68"/>
    <w:rsid w:val="00AF0D69"/>
    <w:rsid w:val="00AF15F7"/>
    <w:rsid w:val="00AF17EA"/>
    <w:rsid w:val="00AF1982"/>
    <w:rsid w:val="00AF34C8"/>
    <w:rsid w:val="00AF37C5"/>
    <w:rsid w:val="00AF3DCA"/>
    <w:rsid w:val="00AF411A"/>
    <w:rsid w:val="00AF4939"/>
    <w:rsid w:val="00AF5736"/>
    <w:rsid w:val="00AF577A"/>
    <w:rsid w:val="00AF57ED"/>
    <w:rsid w:val="00AF6466"/>
    <w:rsid w:val="00AF68DA"/>
    <w:rsid w:val="00AF6CC6"/>
    <w:rsid w:val="00AF6F72"/>
    <w:rsid w:val="00AF72F3"/>
    <w:rsid w:val="00B01110"/>
    <w:rsid w:val="00B019D8"/>
    <w:rsid w:val="00B01A4A"/>
    <w:rsid w:val="00B01FF5"/>
    <w:rsid w:val="00B02199"/>
    <w:rsid w:val="00B02262"/>
    <w:rsid w:val="00B02DB7"/>
    <w:rsid w:val="00B03981"/>
    <w:rsid w:val="00B03CEC"/>
    <w:rsid w:val="00B04CD5"/>
    <w:rsid w:val="00B05C78"/>
    <w:rsid w:val="00B0665A"/>
    <w:rsid w:val="00B0730A"/>
    <w:rsid w:val="00B0744B"/>
    <w:rsid w:val="00B07618"/>
    <w:rsid w:val="00B07635"/>
    <w:rsid w:val="00B0793E"/>
    <w:rsid w:val="00B07EE0"/>
    <w:rsid w:val="00B107B0"/>
    <w:rsid w:val="00B116EF"/>
    <w:rsid w:val="00B11981"/>
    <w:rsid w:val="00B1209F"/>
    <w:rsid w:val="00B12A94"/>
    <w:rsid w:val="00B12AD0"/>
    <w:rsid w:val="00B12CC0"/>
    <w:rsid w:val="00B1315F"/>
    <w:rsid w:val="00B1353F"/>
    <w:rsid w:val="00B1374C"/>
    <w:rsid w:val="00B138CB"/>
    <w:rsid w:val="00B138FA"/>
    <w:rsid w:val="00B13BC8"/>
    <w:rsid w:val="00B13DBA"/>
    <w:rsid w:val="00B1428B"/>
    <w:rsid w:val="00B1488E"/>
    <w:rsid w:val="00B1489F"/>
    <w:rsid w:val="00B165B9"/>
    <w:rsid w:val="00B16F06"/>
    <w:rsid w:val="00B17059"/>
    <w:rsid w:val="00B1742D"/>
    <w:rsid w:val="00B17548"/>
    <w:rsid w:val="00B175CD"/>
    <w:rsid w:val="00B17B29"/>
    <w:rsid w:val="00B17CC0"/>
    <w:rsid w:val="00B20242"/>
    <w:rsid w:val="00B213B6"/>
    <w:rsid w:val="00B213FE"/>
    <w:rsid w:val="00B223B1"/>
    <w:rsid w:val="00B224FA"/>
    <w:rsid w:val="00B22ED3"/>
    <w:rsid w:val="00B2353B"/>
    <w:rsid w:val="00B23992"/>
    <w:rsid w:val="00B23C74"/>
    <w:rsid w:val="00B24B53"/>
    <w:rsid w:val="00B24DA2"/>
    <w:rsid w:val="00B24F30"/>
    <w:rsid w:val="00B25273"/>
    <w:rsid w:val="00B25937"/>
    <w:rsid w:val="00B25CED"/>
    <w:rsid w:val="00B26F93"/>
    <w:rsid w:val="00B27C52"/>
    <w:rsid w:val="00B31093"/>
    <w:rsid w:val="00B31236"/>
    <w:rsid w:val="00B31ABF"/>
    <w:rsid w:val="00B31B19"/>
    <w:rsid w:val="00B31B24"/>
    <w:rsid w:val="00B31B88"/>
    <w:rsid w:val="00B32FEE"/>
    <w:rsid w:val="00B335AE"/>
    <w:rsid w:val="00B34135"/>
    <w:rsid w:val="00B363DE"/>
    <w:rsid w:val="00B37094"/>
    <w:rsid w:val="00B37504"/>
    <w:rsid w:val="00B37562"/>
    <w:rsid w:val="00B3773E"/>
    <w:rsid w:val="00B37CE1"/>
    <w:rsid w:val="00B40ACF"/>
    <w:rsid w:val="00B40C8E"/>
    <w:rsid w:val="00B40CB4"/>
    <w:rsid w:val="00B41896"/>
    <w:rsid w:val="00B41FDF"/>
    <w:rsid w:val="00B423FF"/>
    <w:rsid w:val="00B42896"/>
    <w:rsid w:val="00B42938"/>
    <w:rsid w:val="00B42D06"/>
    <w:rsid w:val="00B431D1"/>
    <w:rsid w:val="00B43F38"/>
    <w:rsid w:val="00B44150"/>
    <w:rsid w:val="00B4425F"/>
    <w:rsid w:val="00B444A9"/>
    <w:rsid w:val="00B44B6B"/>
    <w:rsid w:val="00B44EC2"/>
    <w:rsid w:val="00B464F0"/>
    <w:rsid w:val="00B46BAA"/>
    <w:rsid w:val="00B50B5F"/>
    <w:rsid w:val="00B511FF"/>
    <w:rsid w:val="00B51822"/>
    <w:rsid w:val="00B51924"/>
    <w:rsid w:val="00B5222B"/>
    <w:rsid w:val="00B52BC9"/>
    <w:rsid w:val="00B54128"/>
    <w:rsid w:val="00B54372"/>
    <w:rsid w:val="00B55826"/>
    <w:rsid w:val="00B5671E"/>
    <w:rsid w:val="00B56C08"/>
    <w:rsid w:val="00B60426"/>
    <w:rsid w:val="00B60557"/>
    <w:rsid w:val="00B607CF"/>
    <w:rsid w:val="00B622DD"/>
    <w:rsid w:val="00B62E49"/>
    <w:rsid w:val="00B63522"/>
    <w:rsid w:val="00B63F51"/>
    <w:rsid w:val="00B64475"/>
    <w:rsid w:val="00B65B1A"/>
    <w:rsid w:val="00B66B00"/>
    <w:rsid w:val="00B677B8"/>
    <w:rsid w:val="00B67CE0"/>
    <w:rsid w:val="00B706C9"/>
    <w:rsid w:val="00B70B26"/>
    <w:rsid w:val="00B710F2"/>
    <w:rsid w:val="00B7113E"/>
    <w:rsid w:val="00B71A1F"/>
    <w:rsid w:val="00B71DCE"/>
    <w:rsid w:val="00B72577"/>
    <w:rsid w:val="00B72AC6"/>
    <w:rsid w:val="00B72C91"/>
    <w:rsid w:val="00B72D7D"/>
    <w:rsid w:val="00B74514"/>
    <w:rsid w:val="00B748AF"/>
    <w:rsid w:val="00B74BA1"/>
    <w:rsid w:val="00B7541D"/>
    <w:rsid w:val="00B76F1D"/>
    <w:rsid w:val="00B77AF2"/>
    <w:rsid w:val="00B813CF"/>
    <w:rsid w:val="00B8175C"/>
    <w:rsid w:val="00B82552"/>
    <w:rsid w:val="00B828D7"/>
    <w:rsid w:val="00B82DAD"/>
    <w:rsid w:val="00B83C7D"/>
    <w:rsid w:val="00B83E78"/>
    <w:rsid w:val="00B85D48"/>
    <w:rsid w:val="00B85D71"/>
    <w:rsid w:val="00B85DD2"/>
    <w:rsid w:val="00B860F1"/>
    <w:rsid w:val="00B86772"/>
    <w:rsid w:val="00B86AAB"/>
    <w:rsid w:val="00B86D7D"/>
    <w:rsid w:val="00B86DD0"/>
    <w:rsid w:val="00B86F21"/>
    <w:rsid w:val="00B91E08"/>
    <w:rsid w:val="00B92A19"/>
    <w:rsid w:val="00B93617"/>
    <w:rsid w:val="00B93721"/>
    <w:rsid w:val="00B937AE"/>
    <w:rsid w:val="00B93CE5"/>
    <w:rsid w:val="00B9450C"/>
    <w:rsid w:val="00B94638"/>
    <w:rsid w:val="00B9544C"/>
    <w:rsid w:val="00B96098"/>
    <w:rsid w:val="00B96C05"/>
    <w:rsid w:val="00B97B66"/>
    <w:rsid w:val="00BA2035"/>
    <w:rsid w:val="00BA2062"/>
    <w:rsid w:val="00BA2198"/>
    <w:rsid w:val="00BA29E9"/>
    <w:rsid w:val="00BA331E"/>
    <w:rsid w:val="00BA343E"/>
    <w:rsid w:val="00BA42B5"/>
    <w:rsid w:val="00BA4A78"/>
    <w:rsid w:val="00BB011D"/>
    <w:rsid w:val="00BB10D3"/>
    <w:rsid w:val="00BB16EF"/>
    <w:rsid w:val="00BB3618"/>
    <w:rsid w:val="00BB36BB"/>
    <w:rsid w:val="00BB3839"/>
    <w:rsid w:val="00BB4454"/>
    <w:rsid w:val="00BB489D"/>
    <w:rsid w:val="00BB50B2"/>
    <w:rsid w:val="00BB64E9"/>
    <w:rsid w:val="00BB6F10"/>
    <w:rsid w:val="00BB7507"/>
    <w:rsid w:val="00BB7658"/>
    <w:rsid w:val="00BB7978"/>
    <w:rsid w:val="00BB7999"/>
    <w:rsid w:val="00BB7C26"/>
    <w:rsid w:val="00BC0C9E"/>
    <w:rsid w:val="00BC111A"/>
    <w:rsid w:val="00BC1FEC"/>
    <w:rsid w:val="00BC21DA"/>
    <w:rsid w:val="00BC32DC"/>
    <w:rsid w:val="00BC423D"/>
    <w:rsid w:val="00BC457F"/>
    <w:rsid w:val="00BC46FC"/>
    <w:rsid w:val="00BC4773"/>
    <w:rsid w:val="00BC48A0"/>
    <w:rsid w:val="00BC598F"/>
    <w:rsid w:val="00BC59A4"/>
    <w:rsid w:val="00BC6451"/>
    <w:rsid w:val="00BC71EE"/>
    <w:rsid w:val="00BD0027"/>
    <w:rsid w:val="00BD0412"/>
    <w:rsid w:val="00BD062A"/>
    <w:rsid w:val="00BD0CCE"/>
    <w:rsid w:val="00BD1658"/>
    <w:rsid w:val="00BD1B51"/>
    <w:rsid w:val="00BD21D8"/>
    <w:rsid w:val="00BD3B06"/>
    <w:rsid w:val="00BD3C3A"/>
    <w:rsid w:val="00BD47F6"/>
    <w:rsid w:val="00BD4A19"/>
    <w:rsid w:val="00BD5020"/>
    <w:rsid w:val="00BD683B"/>
    <w:rsid w:val="00BD7A88"/>
    <w:rsid w:val="00BE0DA4"/>
    <w:rsid w:val="00BE0E32"/>
    <w:rsid w:val="00BE1196"/>
    <w:rsid w:val="00BE1DE4"/>
    <w:rsid w:val="00BE30A6"/>
    <w:rsid w:val="00BE30CB"/>
    <w:rsid w:val="00BE312D"/>
    <w:rsid w:val="00BE3C24"/>
    <w:rsid w:val="00BE3FCA"/>
    <w:rsid w:val="00BE4109"/>
    <w:rsid w:val="00BE451A"/>
    <w:rsid w:val="00BE5758"/>
    <w:rsid w:val="00BE57F4"/>
    <w:rsid w:val="00BE5850"/>
    <w:rsid w:val="00BE594A"/>
    <w:rsid w:val="00BE5FDF"/>
    <w:rsid w:val="00BE74D2"/>
    <w:rsid w:val="00BF00DA"/>
    <w:rsid w:val="00BF0B68"/>
    <w:rsid w:val="00BF0C1B"/>
    <w:rsid w:val="00BF0FC4"/>
    <w:rsid w:val="00BF1140"/>
    <w:rsid w:val="00BF1D0A"/>
    <w:rsid w:val="00BF1ECD"/>
    <w:rsid w:val="00BF21BC"/>
    <w:rsid w:val="00BF221F"/>
    <w:rsid w:val="00BF46BE"/>
    <w:rsid w:val="00BF6645"/>
    <w:rsid w:val="00BF6835"/>
    <w:rsid w:val="00C00351"/>
    <w:rsid w:val="00C00AB8"/>
    <w:rsid w:val="00C0102E"/>
    <w:rsid w:val="00C01B6E"/>
    <w:rsid w:val="00C01BD4"/>
    <w:rsid w:val="00C01E1E"/>
    <w:rsid w:val="00C02434"/>
    <w:rsid w:val="00C02C45"/>
    <w:rsid w:val="00C038E6"/>
    <w:rsid w:val="00C03CE4"/>
    <w:rsid w:val="00C05133"/>
    <w:rsid w:val="00C053AC"/>
    <w:rsid w:val="00C055BE"/>
    <w:rsid w:val="00C05719"/>
    <w:rsid w:val="00C05A91"/>
    <w:rsid w:val="00C10578"/>
    <w:rsid w:val="00C1099E"/>
    <w:rsid w:val="00C10F99"/>
    <w:rsid w:val="00C11186"/>
    <w:rsid w:val="00C12E2A"/>
    <w:rsid w:val="00C137FF"/>
    <w:rsid w:val="00C1418F"/>
    <w:rsid w:val="00C1484C"/>
    <w:rsid w:val="00C14A36"/>
    <w:rsid w:val="00C15013"/>
    <w:rsid w:val="00C1620B"/>
    <w:rsid w:val="00C165C4"/>
    <w:rsid w:val="00C1727C"/>
    <w:rsid w:val="00C17D62"/>
    <w:rsid w:val="00C2018A"/>
    <w:rsid w:val="00C20636"/>
    <w:rsid w:val="00C211E9"/>
    <w:rsid w:val="00C21FDC"/>
    <w:rsid w:val="00C224AB"/>
    <w:rsid w:val="00C238DA"/>
    <w:rsid w:val="00C242C9"/>
    <w:rsid w:val="00C246DB"/>
    <w:rsid w:val="00C247D9"/>
    <w:rsid w:val="00C24BC0"/>
    <w:rsid w:val="00C24EE7"/>
    <w:rsid w:val="00C25382"/>
    <w:rsid w:val="00C257A8"/>
    <w:rsid w:val="00C2596A"/>
    <w:rsid w:val="00C26E52"/>
    <w:rsid w:val="00C271BE"/>
    <w:rsid w:val="00C27425"/>
    <w:rsid w:val="00C30F05"/>
    <w:rsid w:val="00C31100"/>
    <w:rsid w:val="00C311D4"/>
    <w:rsid w:val="00C3156D"/>
    <w:rsid w:val="00C315D6"/>
    <w:rsid w:val="00C31A87"/>
    <w:rsid w:val="00C328FE"/>
    <w:rsid w:val="00C33A05"/>
    <w:rsid w:val="00C33FE2"/>
    <w:rsid w:val="00C34009"/>
    <w:rsid w:val="00C34163"/>
    <w:rsid w:val="00C3459D"/>
    <w:rsid w:val="00C3615D"/>
    <w:rsid w:val="00C36571"/>
    <w:rsid w:val="00C36760"/>
    <w:rsid w:val="00C3742A"/>
    <w:rsid w:val="00C378A2"/>
    <w:rsid w:val="00C378CB"/>
    <w:rsid w:val="00C37A62"/>
    <w:rsid w:val="00C37F08"/>
    <w:rsid w:val="00C40384"/>
    <w:rsid w:val="00C403EA"/>
    <w:rsid w:val="00C416EB"/>
    <w:rsid w:val="00C42500"/>
    <w:rsid w:val="00C4409D"/>
    <w:rsid w:val="00C443E0"/>
    <w:rsid w:val="00C44546"/>
    <w:rsid w:val="00C44F45"/>
    <w:rsid w:val="00C455BE"/>
    <w:rsid w:val="00C460BA"/>
    <w:rsid w:val="00C46299"/>
    <w:rsid w:val="00C46642"/>
    <w:rsid w:val="00C46765"/>
    <w:rsid w:val="00C46D1E"/>
    <w:rsid w:val="00C46E28"/>
    <w:rsid w:val="00C46F3D"/>
    <w:rsid w:val="00C474B2"/>
    <w:rsid w:val="00C47D68"/>
    <w:rsid w:val="00C5021A"/>
    <w:rsid w:val="00C50609"/>
    <w:rsid w:val="00C509CA"/>
    <w:rsid w:val="00C50FC4"/>
    <w:rsid w:val="00C51E5F"/>
    <w:rsid w:val="00C52268"/>
    <w:rsid w:val="00C526B6"/>
    <w:rsid w:val="00C52742"/>
    <w:rsid w:val="00C52F64"/>
    <w:rsid w:val="00C530F4"/>
    <w:rsid w:val="00C54FC2"/>
    <w:rsid w:val="00C557DC"/>
    <w:rsid w:val="00C55992"/>
    <w:rsid w:val="00C567B5"/>
    <w:rsid w:val="00C56EA8"/>
    <w:rsid w:val="00C5786E"/>
    <w:rsid w:val="00C57C84"/>
    <w:rsid w:val="00C60489"/>
    <w:rsid w:val="00C61E4B"/>
    <w:rsid w:val="00C62E3A"/>
    <w:rsid w:val="00C639D0"/>
    <w:rsid w:val="00C63F95"/>
    <w:rsid w:val="00C64503"/>
    <w:rsid w:val="00C645FB"/>
    <w:rsid w:val="00C64A1F"/>
    <w:rsid w:val="00C64BFF"/>
    <w:rsid w:val="00C65871"/>
    <w:rsid w:val="00C65883"/>
    <w:rsid w:val="00C6595E"/>
    <w:rsid w:val="00C65AB2"/>
    <w:rsid w:val="00C65C6E"/>
    <w:rsid w:val="00C6636C"/>
    <w:rsid w:val="00C673E9"/>
    <w:rsid w:val="00C6749F"/>
    <w:rsid w:val="00C72B07"/>
    <w:rsid w:val="00C72BAC"/>
    <w:rsid w:val="00C73A1A"/>
    <w:rsid w:val="00C74845"/>
    <w:rsid w:val="00C753C8"/>
    <w:rsid w:val="00C75B9E"/>
    <w:rsid w:val="00C75D8A"/>
    <w:rsid w:val="00C763C9"/>
    <w:rsid w:val="00C768CB"/>
    <w:rsid w:val="00C76A69"/>
    <w:rsid w:val="00C773F8"/>
    <w:rsid w:val="00C77E16"/>
    <w:rsid w:val="00C80057"/>
    <w:rsid w:val="00C807D3"/>
    <w:rsid w:val="00C80A05"/>
    <w:rsid w:val="00C80AC6"/>
    <w:rsid w:val="00C80D4E"/>
    <w:rsid w:val="00C811D4"/>
    <w:rsid w:val="00C8155F"/>
    <w:rsid w:val="00C823FD"/>
    <w:rsid w:val="00C82C79"/>
    <w:rsid w:val="00C8339A"/>
    <w:rsid w:val="00C84753"/>
    <w:rsid w:val="00C84BE7"/>
    <w:rsid w:val="00C84D1E"/>
    <w:rsid w:val="00C854D2"/>
    <w:rsid w:val="00C856FE"/>
    <w:rsid w:val="00C8587C"/>
    <w:rsid w:val="00C85A65"/>
    <w:rsid w:val="00C86340"/>
    <w:rsid w:val="00C863E7"/>
    <w:rsid w:val="00C91611"/>
    <w:rsid w:val="00C92B0D"/>
    <w:rsid w:val="00C93CC2"/>
    <w:rsid w:val="00C95782"/>
    <w:rsid w:val="00C96224"/>
    <w:rsid w:val="00C96C4D"/>
    <w:rsid w:val="00C97E4E"/>
    <w:rsid w:val="00CA0D53"/>
    <w:rsid w:val="00CA106D"/>
    <w:rsid w:val="00CA185B"/>
    <w:rsid w:val="00CA280A"/>
    <w:rsid w:val="00CA32A2"/>
    <w:rsid w:val="00CA3585"/>
    <w:rsid w:val="00CA3741"/>
    <w:rsid w:val="00CA3D5A"/>
    <w:rsid w:val="00CA3DE3"/>
    <w:rsid w:val="00CA4BF1"/>
    <w:rsid w:val="00CA4C7C"/>
    <w:rsid w:val="00CA52A6"/>
    <w:rsid w:val="00CA5EBB"/>
    <w:rsid w:val="00CA6B4C"/>
    <w:rsid w:val="00CA7572"/>
    <w:rsid w:val="00CB0183"/>
    <w:rsid w:val="00CB025C"/>
    <w:rsid w:val="00CB1607"/>
    <w:rsid w:val="00CB1621"/>
    <w:rsid w:val="00CB1AB1"/>
    <w:rsid w:val="00CB1EA3"/>
    <w:rsid w:val="00CB2392"/>
    <w:rsid w:val="00CB24FC"/>
    <w:rsid w:val="00CB3D8F"/>
    <w:rsid w:val="00CB552C"/>
    <w:rsid w:val="00CB573C"/>
    <w:rsid w:val="00CB5851"/>
    <w:rsid w:val="00CB6A9E"/>
    <w:rsid w:val="00CC031B"/>
    <w:rsid w:val="00CC2F35"/>
    <w:rsid w:val="00CC3C7E"/>
    <w:rsid w:val="00CC50DD"/>
    <w:rsid w:val="00CC5117"/>
    <w:rsid w:val="00CC5271"/>
    <w:rsid w:val="00CC607D"/>
    <w:rsid w:val="00CC6181"/>
    <w:rsid w:val="00CC6581"/>
    <w:rsid w:val="00CC7776"/>
    <w:rsid w:val="00CC7808"/>
    <w:rsid w:val="00CC7AB4"/>
    <w:rsid w:val="00CC7E45"/>
    <w:rsid w:val="00CD03F1"/>
    <w:rsid w:val="00CD0EB2"/>
    <w:rsid w:val="00CD117E"/>
    <w:rsid w:val="00CD1E91"/>
    <w:rsid w:val="00CD29FD"/>
    <w:rsid w:val="00CD2BCD"/>
    <w:rsid w:val="00CD36AA"/>
    <w:rsid w:val="00CD3791"/>
    <w:rsid w:val="00CD3D9A"/>
    <w:rsid w:val="00CD4072"/>
    <w:rsid w:val="00CD47B6"/>
    <w:rsid w:val="00CD4E41"/>
    <w:rsid w:val="00CD576C"/>
    <w:rsid w:val="00CD64DC"/>
    <w:rsid w:val="00CD65B0"/>
    <w:rsid w:val="00CD6C14"/>
    <w:rsid w:val="00CD7C21"/>
    <w:rsid w:val="00CD7D1A"/>
    <w:rsid w:val="00CE02CD"/>
    <w:rsid w:val="00CE0C48"/>
    <w:rsid w:val="00CE10E9"/>
    <w:rsid w:val="00CE1A9F"/>
    <w:rsid w:val="00CE2187"/>
    <w:rsid w:val="00CE25C7"/>
    <w:rsid w:val="00CE2EE0"/>
    <w:rsid w:val="00CE32C6"/>
    <w:rsid w:val="00CE4077"/>
    <w:rsid w:val="00CE458F"/>
    <w:rsid w:val="00CE5061"/>
    <w:rsid w:val="00CE5566"/>
    <w:rsid w:val="00CE5635"/>
    <w:rsid w:val="00CE5913"/>
    <w:rsid w:val="00CE5A5D"/>
    <w:rsid w:val="00CE5CB3"/>
    <w:rsid w:val="00CE6412"/>
    <w:rsid w:val="00CE6764"/>
    <w:rsid w:val="00CE6C83"/>
    <w:rsid w:val="00CE6CAD"/>
    <w:rsid w:val="00CF0A4B"/>
    <w:rsid w:val="00CF27CB"/>
    <w:rsid w:val="00CF3175"/>
    <w:rsid w:val="00CF39E7"/>
    <w:rsid w:val="00CF4723"/>
    <w:rsid w:val="00CF56B5"/>
    <w:rsid w:val="00CF5969"/>
    <w:rsid w:val="00CF606A"/>
    <w:rsid w:val="00D0061D"/>
    <w:rsid w:val="00D0072E"/>
    <w:rsid w:val="00D02D3A"/>
    <w:rsid w:val="00D032DC"/>
    <w:rsid w:val="00D03FB3"/>
    <w:rsid w:val="00D04559"/>
    <w:rsid w:val="00D04EAD"/>
    <w:rsid w:val="00D05091"/>
    <w:rsid w:val="00D05663"/>
    <w:rsid w:val="00D056E2"/>
    <w:rsid w:val="00D05A51"/>
    <w:rsid w:val="00D067E2"/>
    <w:rsid w:val="00D0709C"/>
    <w:rsid w:val="00D079B7"/>
    <w:rsid w:val="00D10428"/>
    <w:rsid w:val="00D106F9"/>
    <w:rsid w:val="00D12345"/>
    <w:rsid w:val="00D128F0"/>
    <w:rsid w:val="00D12981"/>
    <w:rsid w:val="00D13812"/>
    <w:rsid w:val="00D13DCC"/>
    <w:rsid w:val="00D14264"/>
    <w:rsid w:val="00D142A3"/>
    <w:rsid w:val="00D151D1"/>
    <w:rsid w:val="00D1563A"/>
    <w:rsid w:val="00D15727"/>
    <w:rsid w:val="00D15F09"/>
    <w:rsid w:val="00D15FBD"/>
    <w:rsid w:val="00D16332"/>
    <w:rsid w:val="00D16727"/>
    <w:rsid w:val="00D167A6"/>
    <w:rsid w:val="00D171F3"/>
    <w:rsid w:val="00D17B60"/>
    <w:rsid w:val="00D20083"/>
    <w:rsid w:val="00D2029C"/>
    <w:rsid w:val="00D20CF3"/>
    <w:rsid w:val="00D21C35"/>
    <w:rsid w:val="00D23756"/>
    <w:rsid w:val="00D24972"/>
    <w:rsid w:val="00D2515E"/>
    <w:rsid w:val="00D26162"/>
    <w:rsid w:val="00D26BF7"/>
    <w:rsid w:val="00D27B0F"/>
    <w:rsid w:val="00D308ED"/>
    <w:rsid w:val="00D31337"/>
    <w:rsid w:val="00D31AB0"/>
    <w:rsid w:val="00D31B29"/>
    <w:rsid w:val="00D3252D"/>
    <w:rsid w:val="00D32CA0"/>
    <w:rsid w:val="00D3353C"/>
    <w:rsid w:val="00D33C16"/>
    <w:rsid w:val="00D351C8"/>
    <w:rsid w:val="00D35262"/>
    <w:rsid w:val="00D35B25"/>
    <w:rsid w:val="00D35B93"/>
    <w:rsid w:val="00D35CA4"/>
    <w:rsid w:val="00D362DD"/>
    <w:rsid w:val="00D364AB"/>
    <w:rsid w:val="00D36D6D"/>
    <w:rsid w:val="00D37EFE"/>
    <w:rsid w:val="00D4025F"/>
    <w:rsid w:val="00D40D74"/>
    <w:rsid w:val="00D41910"/>
    <w:rsid w:val="00D419D3"/>
    <w:rsid w:val="00D41A05"/>
    <w:rsid w:val="00D41BDF"/>
    <w:rsid w:val="00D426F6"/>
    <w:rsid w:val="00D42B50"/>
    <w:rsid w:val="00D44EB4"/>
    <w:rsid w:val="00D468E6"/>
    <w:rsid w:val="00D46FD1"/>
    <w:rsid w:val="00D4735F"/>
    <w:rsid w:val="00D47AA5"/>
    <w:rsid w:val="00D508D6"/>
    <w:rsid w:val="00D50F87"/>
    <w:rsid w:val="00D51032"/>
    <w:rsid w:val="00D5334C"/>
    <w:rsid w:val="00D53CF7"/>
    <w:rsid w:val="00D552E3"/>
    <w:rsid w:val="00D56178"/>
    <w:rsid w:val="00D56CF0"/>
    <w:rsid w:val="00D56F5C"/>
    <w:rsid w:val="00D5704A"/>
    <w:rsid w:val="00D575C2"/>
    <w:rsid w:val="00D57932"/>
    <w:rsid w:val="00D60CCF"/>
    <w:rsid w:val="00D6137B"/>
    <w:rsid w:val="00D615FD"/>
    <w:rsid w:val="00D62057"/>
    <w:rsid w:val="00D62880"/>
    <w:rsid w:val="00D62949"/>
    <w:rsid w:val="00D62E02"/>
    <w:rsid w:val="00D64E51"/>
    <w:rsid w:val="00D66087"/>
    <w:rsid w:val="00D6646A"/>
    <w:rsid w:val="00D66474"/>
    <w:rsid w:val="00D66D76"/>
    <w:rsid w:val="00D67477"/>
    <w:rsid w:val="00D675BE"/>
    <w:rsid w:val="00D6780D"/>
    <w:rsid w:val="00D67AF0"/>
    <w:rsid w:val="00D704B1"/>
    <w:rsid w:val="00D708B2"/>
    <w:rsid w:val="00D7093D"/>
    <w:rsid w:val="00D70A1A"/>
    <w:rsid w:val="00D70B63"/>
    <w:rsid w:val="00D71C12"/>
    <w:rsid w:val="00D71DB0"/>
    <w:rsid w:val="00D727EC"/>
    <w:rsid w:val="00D728A8"/>
    <w:rsid w:val="00D72914"/>
    <w:rsid w:val="00D72B92"/>
    <w:rsid w:val="00D72ED4"/>
    <w:rsid w:val="00D733A7"/>
    <w:rsid w:val="00D73C31"/>
    <w:rsid w:val="00D73F61"/>
    <w:rsid w:val="00D746BC"/>
    <w:rsid w:val="00D7489B"/>
    <w:rsid w:val="00D754C0"/>
    <w:rsid w:val="00D776A2"/>
    <w:rsid w:val="00D777AC"/>
    <w:rsid w:val="00D801C4"/>
    <w:rsid w:val="00D802B4"/>
    <w:rsid w:val="00D806D8"/>
    <w:rsid w:val="00D80933"/>
    <w:rsid w:val="00D815D6"/>
    <w:rsid w:val="00D818FB"/>
    <w:rsid w:val="00D83AC3"/>
    <w:rsid w:val="00D83DEC"/>
    <w:rsid w:val="00D84C73"/>
    <w:rsid w:val="00D854D2"/>
    <w:rsid w:val="00D86166"/>
    <w:rsid w:val="00D8623F"/>
    <w:rsid w:val="00D86C79"/>
    <w:rsid w:val="00D8731D"/>
    <w:rsid w:val="00D878BC"/>
    <w:rsid w:val="00D87F54"/>
    <w:rsid w:val="00D87FD5"/>
    <w:rsid w:val="00D901CC"/>
    <w:rsid w:val="00D90836"/>
    <w:rsid w:val="00D91363"/>
    <w:rsid w:val="00D91383"/>
    <w:rsid w:val="00D935D5"/>
    <w:rsid w:val="00D93D51"/>
    <w:rsid w:val="00D9490D"/>
    <w:rsid w:val="00D94F64"/>
    <w:rsid w:val="00D95896"/>
    <w:rsid w:val="00D95CC6"/>
    <w:rsid w:val="00D96162"/>
    <w:rsid w:val="00D96551"/>
    <w:rsid w:val="00D97E9A"/>
    <w:rsid w:val="00DA0D2D"/>
    <w:rsid w:val="00DA235D"/>
    <w:rsid w:val="00DA2B74"/>
    <w:rsid w:val="00DA2DA3"/>
    <w:rsid w:val="00DA4A78"/>
    <w:rsid w:val="00DA5C10"/>
    <w:rsid w:val="00DA63C4"/>
    <w:rsid w:val="00DA6615"/>
    <w:rsid w:val="00DA7360"/>
    <w:rsid w:val="00DA7671"/>
    <w:rsid w:val="00DA76AE"/>
    <w:rsid w:val="00DA783C"/>
    <w:rsid w:val="00DA7A2E"/>
    <w:rsid w:val="00DB181E"/>
    <w:rsid w:val="00DB1C7A"/>
    <w:rsid w:val="00DB2011"/>
    <w:rsid w:val="00DB24DA"/>
    <w:rsid w:val="00DB253D"/>
    <w:rsid w:val="00DB2983"/>
    <w:rsid w:val="00DB2AA6"/>
    <w:rsid w:val="00DB343D"/>
    <w:rsid w:val="00DB35F7"/>
    <w:rsid w:val="00DB3861"/>
    <w:rsid w:val="00DB471F"/>
    <w:rsid w:val="00DB5579"/>
    <w:rsid w:val="00DB5CAA"/>
    <w:rsid w:val="00DB5CFE"/>
    <w:rsid w:val="00DB686A"/>
    <w:rsid w:val="00DB758B"/>
    <w:rsid w:val="00DB7EE8"/>
    <w:rsid w:val="00DC0165"/>
    <w:rsid w:val="00DC17CC"/>
    <w:rsid w:val="00DC19AC"/>
    <w:rsid w:val="00DC20BD"/>
    <w:rsid w:val="00DC2668"/>
    <w:rsid w:val="00DC2ED6"/>
    <w:rsid w:val="00DC34C6"/>
    <w:rsid w:val="00DC3F1D"/>
    <w:rsid w:val="00DC4D64"/>
    <w:rsid w:val="00DC5C33"/>
    <w:rsid w:val="00DC6488"/>
    <w:rsid w:val="00DC6603"/>
    <w:rsid w:val="00DC7132"/>
    <w:rsid w:val="00DC7199"/>
    <w:rsid w:val="00DC72A6"/>
    <w:rsid w:val="00DC7793"/>
    <w:rsid w:val="00DC7857"/>
    <w:rsid w:val="00DC7891"/>
    <w:rsid w:val="00DC7ACA"/>
    <w:rsid w:val="00DC7BDF"/>
    <w:rsid w:val="00DD07AE"/>
    <w:rsid w:val="00DD0AB9"/>
    <w:rsid w:val="00DD0C05"/>
    <w:rsid w:val="00DD0FA8"/>
    <w:rsid w:val="00DD2113"/>
    <w:rsid w:val="00DD228C"/>
    <w:rsid w:val="00DD265E"/>
    <w:rsid w:val="00DD304B"/>
    <w:rsid w:val="00DD3175"/>
    <w:rsid w:val="00DD3CEF"/>
    <w:rsid w:val="00DD40D5"/>
    <w:rsid w:val="00DD469B"/>
    <w:rsid w:val="00DD5085"/>
    <w:rsid w:val="00DD51B2"/>
    <w:rsid w:val="00DD5704"/>
    <w:rsid w:val="00DD6197"/>
    <w:rsid w:val="00DD7372"/>
    <w:rsid w:val="00DD7F9B"/>
    <w:rsid w:val="00DE04CB"/>
    <w:rsid w:val="00DE06F5"/>
    <w:rsid w:val="00DE0C8E"/>
    <w:rsid w:val="00DE0E26"/>
    <w:rsid w:val="00DE16EE"/>
    <w:rsid w:val="00DE17C5"/>
    <w:rsid w:val="00DE223C"/>
    <w:rsid w:val="00DE2E85"/>
    <w:rsid w:val="00DE2EAB"/>
    <w:rsid w:val="00DE4624"/>
    <w:rsid w:val="00DE4D43"/>
    <w:rsid w:val="00DE50F6"/>
    <w:rsid w:val="00DE573B"/>
    <w:rsid w:val="00DE638E"/>
    <w:rsid w:val="00DE6E4D"/>
    <w:rsid w:val="00DE768C"/>
    <w:rsid w:val="00DE77B6"/>
    <w:rsid w:val="00DF070D"/>
    <w:rsid w:val="00DF15EB"/>
    <w:rsid w:val="00DF1930"/>
    <w:rsid w:val="00DF2AC7"/>
    <w:rsid w:val="00DF31D4"/>
    <w:rsid w:val="00DF3707"/>
    <w:rsid w:val="00DF3EBA"/>
    <w:rsid w:val="00DF4772"/>
    <w:rsid w:val="00DF495F"/>
    <w:rsid w:val="00DF514A"/>
    <w:rsid w:val="00DF5513"/>
    <w:rsid w:val="00DF65EA"/>
    <w:rsid w:val="00DF69EF"/>
    <w:rsid w:val="00DF6AAA"/>
    <w:rsid w:val="00DF6C51"/>
    <w:rsid w:val="00E01B3B"/>
    <w:rsid w:val="00E025A7"/>
    <w:rsid w:val="00E027EE"/>
    <w:rsid w:val="00E02BAB"/>
    <w:rsid w:val="00E0358D"/>
    <w:rsid w:val="00E03AC1"/>
    <w:rsid w:val="00E03E02"/>
    <w:rsid w:val="00E03ECF"/>
    <w:rsid w:val="00E03F85"/>
    <w:rsid w:val="00E0447C"/>
    <w:rsid w:val="00E052DD"/>
    <w:rsid w:val="00E05D2F"/>
    <w:rsid w:val="00E06327"/>
    <w:rsid w:val="00E065FE"/>
    <w:rsid w:val="00E10098"/>
    <w:rsid w:val="00E101B3"/>
    <w:rsid w:val="00E10439"/>
    <w:rsid w:val="00E104F3"/>
    <w:rsid w:val="00E11343"/>
    <w:rsid w:val="00E12FF5"/>
    <w:rsid w:val="00E131A7"/>
    <w:rsid w:val="00E13B81"/>
    <w:rsid w:val="00E13DBD"/>
    <w:rsid w:val="00E13EEE"/>
    <w:rsid w:val="00E145E0"/>
    <w:rsid w:val="00E14C88"/>
    <w:rsid w:val="00E14F89"/>
    <w:rsid w:val="00E16504"/>
    <w:rsid w:val="00E2064B"/>
    <w:rsid w:val="00E20715"/>
    <w:rsid w:val="00E2128B"/>
    <w:rsid w:val="00E2146C"/>
    <w:rsid w:val="00E2150A"/>
    <w:rsid w:val="00E215C0"/>
    <w:rsid w:val="00E22017"/>
    <w:rsid w:val="00E2271A"/>
    <w:rsid w:val="00E22A71"/>
    <w:rsid w:val="00E22D41"/>
    <w:rsid w:val="00E22F21"/>
    <w:rsid w:val="00E235F7"/>
    <w:rsid w:val="00E24293"/>
    <w:rsid w:val="00E242A0"/>
    <w:rsid w:val="00E24484"/>
    <w:rsid w:val="00E2465E"/>
    <w:rsid w:val="00E25239"/>
    <w:rsid w:val="00E2584D"/>
    <w:rsid w:val="00E265B1"/>
    <w:rsid w:val="00E2668E"/>
    <w:rsid w:val="00E275B0"/>
    <w:rsid w:val="00E30443"/>
    <w:rsid w:val="00E31125"/>
    <w:rsid w:val="00E31527"/>
    <w:rsid w:val="00E319A4"/>
    <w:rsid w:val="00E31E43"/>
    <w:rsid w:val="00E31F2F"/>
    <w:rsid w:val="00E3227B"/>
    <w:rsid w:val="00E330F2"/>
    <w:rsid w:val="00E34CDF"/>
    <w:rsid w:val="00E356D9"/>
    <w:rsid w:val="00E35705"/>
    <w:rsid w:val="00E35774"/>
    <w:rsid w:val="00E35E1C"/>
    <w:rsid w:val="00E36E86"/>
    <w:rsid w:val="00E371EA"/>
    <w:rsid w:val="00E37842"/>
    <w:rsid w:val="00E412D0"/>
    <w:rsid w:val="00E41801"/>
    <w:rsid w:val="00E42631"/>
    <w:rsid w:val="00E426CE"/>
    <w:rsid w:val="00E42D5F"/>
    <w:rsid w:val="00E435FA"/>
    <w:rsid w:val="00E43DE2"/>
    <w:rsid w:val="00E445B8"/>
    <w:rsid w:val="00E456FD"/>
    <w:rsid w:val="00E46A4C"/>
    <w:rsid w:val="00E46B0F"/>
    <w:rsid w:val="00E4773C"/>
    <w:rsid w:val="00E47878"/>
    <w:rsid w:val="00E47C27"/>
    <w:rsid w:val="00E47CDB"/>
    <w:rsid w:val="00E5153E"/>
    <w:rsid w:val="00E520E3"/>
    <w:rsid w:val="00E527F7"/>
    <w:rsid w:val="00E534B7"/>
    <w:rsid w:val="00E53FBC"/>
    <w:rsid w:val="00E54583"/>
    <w:rsid w:val="00E5621D"/>
    <w:rsid w:val="00E566BC"/>
    <w:rsid w:val="00E567DA"/>
    <w:rsid w:val="00E56F8F"/>
    <w:rsid w:val="00E57987"/>
    <w:rsid w:val="00E57FC5"/>
    <w:rsid w:val="00E601F2"/>
    <w:rsid w:val="00E60296"/>
    <w:rsid w:val="00E60982"/>
    <w:rsid w:val="00E60BE9"/>
    <w:rsid w:val="00E60C8D"/>
    <w:rsid w:val="00E60F36"/>
    <w:rsid w:val="00E6162F"/>
    <w:rsid w:val="00E6265F"/>
    <w:rsid w:val="00E6311B"/>
    <w:rsid w:val="00E65374"/>
    <w:rsid w:val="00E65D97"/>
    <w:rsid w:val="00E65E22"/>
    <w:rsid w:val="00E6718A"/>
    <w:rsid w:val="00E673FB"/>
    <w:rsid w:val="00E67656"/>
    <w:rsid w:val="00E67EFD"/>
    <w:rsid w:val="00E70283"/>
    <w:rsid w:val="00E702DC"/>
    <w:rsid w:val="00E70478"/>
    <w:rsid w:val="00E70C5D"/>
    <w:rsid w:val="00E7193B"/>
    <w:rsid w:val="00E71954"/>
    <w:rsid w:val="00E71E1B"/>
    <w:rsid w:val="00E71FFB"/>
    <w:rsid w:val="00E72471"/>
    <w:rsid w:val="00E72CEC"/>
    <w:rsid w:val="00E73BEF"/>
    <w:rsid w:val="00E75CC6"/>
    <w:rsid w:val="00E76C7B"/>
    <w:rsid w:val="00E76D1D"/>
    <w:rsid w:val="00E77571"/>
    <w:rsid w:val="00E7760C"/>
    <w:rsid w:val="00E77C06"/>
    <w:rsid w:val="00E806F8"/>
    <w:rsid w:val="00E80A8E"/>
    <w:rsid w:val="00E81546"/>
    <w:rsid w:val="00E81598"/>
    <w:rsid w:val="00E81CB7"/>
    <w:rsid w:val="00E81FD0"/>
    <w:rsid w:val="00E82B36"/>
    <w:rsid w:val="00E8315D"/>
    <w:rsid w:val="00E842F6"/>
    <w:rsid w:val="00E84E28"/>
    <w:rsid w:val="00E8508D"/>
    <w:rsid w:val="00E856DF"/>
    <w:rsid w:val="00E86D13"/>
    <w:rsid w:val="00E87752"/>
    <w:rsid w:val="00E8793B"/>
    <w:rsid w:val="00E87C69"/>
    <w:rsid w:val="00E90458"/>
    <w:rsid w:val="00E90DD1"/>
    <w:rsid w:val="00E90F81"/>
    <w:rsid w:val="00E917CC"/>
    <w:rsid w:val="00E91A6D"/>
    <w:rsid w:val="00E921DD"/>
    <w:rsid w:val="00E9242D"/>
    <w:rsid w:val="00E942A1"/>
    <w:rsid w:val="00E944DD"/>
    <w:rsid w:val="00E9460E"/>
    <w:rsid w:val="00E94A98"/>
    <w:rsid w:val="00E94F03"/>
    <w:rsid w:val="00E95586"/>
    <w:rsid w:val="00E963FC"/>
    <w:rsid w:val="00E976B7"/>
    <w:rsid w:val="00E97877"/>
    <w:rsid w:val="00E97C21"/>
    <w:rsid w:val="00EA0B4D"/>
    <w:rsid w:val="00EA15C2"/>
    <w:rsid w:val="00EA20FA"/>
    <w:rsid w:val="00EA3DD9"/>
    <w:rsid w:val="00EA3FD4"/>
    <w:rsid w:val="00EA4171"/>
    <w:rsid w:val="00EA418E"/>
    <w:rsid w:val="00EA55FA"/>
    <w:rsid w:val="00EA5D6F"/>
    <w:rsid w:val="00EA5DE8"/>
    <w:rsid w:val="00EA71A2"/>
    <w:rsid w:val="00EB041C"/>
    <w:rsid w:val="00EB0E99"/>
    <w:rsid w:val="00EB1410"/>
    <w:rsid w:val="00EB14DC"/>
    <w:rsid w:val="00EB246E"/>
    <w:rsid w:val="00EB3272"/>
    <w:rsid w:val="00EB3849"/>
    <w:rsid w:val="00EB4FD4"/>
    <w:rsid w:val="00EB511D"/>
    <w:rsid w:val="00EB5C53"/>
    <w:rsid w:val="00EB65E6"/>
    <w:rsid w:val="00EB77A4"/>
    <w:rsid w:val="00EB7E9D"/>
    <w:rsid w:val="00EC1CE4"/>
    <w:rsid w:val="00EC1E74"/>
    <w:rsid w:val="00EC2558"/>
    <w:rsid w:val="00EC30DB"/>
    <w:rsid w:val="00EC311F"/>
    <w:rsid w:val="00EC3DBA"/>
    <w:rsid w:val="00EC4485"/>
    <w:rsid w:val="00EC4A05"/>
    <w:rsid w:val="00EC5874"/>
    <w:rsid w:val="00EC5E42"/>
    <w:rsid w:val="00EC6717"/>
    <w:rsid w:val="00ED0A67"/>
    <w:rsid w:val="00ED192D"/>
    <w:rsid w:val="00ED2592"/>
    <w:rsid w:val="00ED30B4"/>
    <w:rsid w:val="00ED31F5"/>
    <w:rsid w:val="00ED32A8"/>
    <w:rsid w:val="00ED3C44"/>
    <w:rsid w:val="00ED4740"/>
    <w:rsid w:val="00ED4E5C"/>
    <w:rsid w:val="00ED682F"/>
    <w:rsid w:val="00EE09B6"/>
    <w:rsid w:val="00EE0B7A"/>
    <w:rsid w:val="00EE11A9"/>
    <w:rsid w:val="00EE2755"/>
    <w:rsid w:val="00EE2C4E"/>
    <w:rsid w:val="00EE4653"/>
    <w:rsid w:val="00EE4796"/>
    <w:rsid w:val="00EE5289"/>
    <w:rsid w:val="00EE5688"/>
    <w:rsid w:val="00EE599E"/>
    <w:rsid w:val="00EE6D5E"/>
    <w:rsid w:val="00EE7BC3"/>
    <w:rsid w:val="00EE7D04"/>
    <w:rsid w:val="00EE7DA7"/>
    <w:rsid w:val="00EF0A58"/>
    <w:rsid w:val="00EF11A4"/>
    <w:rsid w:val="00EF1690"/>
    <w:rsid w:val="00EF2759"/>
    <w:rsid w:val="00EF3F76"/>
    <w:rsid w:val="00EF45EB"/>
    <w:rsid w:val="00EF4783"/>
    <w:rsid w:val="00EF4B73"/>
    <w:rsid w:val="00EF5059"/>
    <w:rsid w:val="00EF5099"/>
    <w:rsid w:val="00EF5155"/>
    <w:rsid w:val="00EF555C"/>
    <w:rsid w:val="00EF5E33"/>
    <w:rsid w:val="00EF5EB3"/>
    <w:rsid w:val="00EF625F"/>
    <w:rsid w:val="00EF63C6"/>
    <w:rsid w:val="00EF66C1"/>
    <w:rsid w:val="00EF727A"/>
    <w:rsid w:val="00EF729C"/>
    <w:rsid w:val="00F00003"/>
    <w:rsid w:val="00F00075"/>
    <w:rsid w:val="00F037C1"/>
    <w:rsid w:val="00F041E5"/>
    <w:rsid w:val="00F068EF"/>
    <w:rsid w:val="00F06A0D"/>
    <w:rsid w:val="00F07632"/>
    <w:rsid w:val="00F07822"/>
    <w:rsid w:val="00F1102D"/>
    <w:rsid w:val="00F11F7D"/>
    <w:rsid w:val="00F14199"/>
    <w:rsid w:val="00F1459F"/>
    <w:rsid w:val="00F149E1"/>
    <w:rsid w:val="00F151C0"/>
    <w:rsid w:val="00F15C95"/>
    <w:rsid w:val="00F16EEC"/>
    <w:rsid w:val="00F1721C"/>
    <w:rsid w:val="00F20208"/>
    <w:rsid w:val="00F2072E"/>
    <w:rsid w:val="00F20842"/>
    <w:rsid w:val="00F224A6"/>
    <w:rsid w:val="00F22985"/>
    <w:rsid w:val="00F236E4"/>
    <w:rsid w:val="00F241AB"/>
    <w:rsid w:val="00F253C1"/>
    <w:rsid w:val="00F25E3C"/>
    <w:rsid w:val="00F263E2"/>
    <w:rsid w:val="00F26627"/>
    <w:rsid w:val="00F27107"/>
    <w:rsid w:val="00F302B9"/>
    <w:rsid w:val="00F3039A"/>
    <w:rsid w:val="00F31382"/>
    <w:rsid w:val="00F32F78"/>
    <w:rsid w:val="00F330A3"/>
    <w:rsid w:val="00F3370C"/>
    <w:rsid w:val="00F347C4"/>
    <w:rsid w:val="00F35829"/>
    <w:rsid w:val="00F35C53"/>
    <w:rsid w:val="00F3613E"/>
    <w:rsid w:val="00F36C8F"/>
    <w:rsid w:val="00F37216"/>
    <w:rsid w:val="00F37341"/>
    <w:rsid w:val="00F41D00"/>
    <w:rsid w:val="00F41D50"/>
    <w:rsid w:val="00F42868"/>
    <w:rsid w:val="00F42A7A"/>
    <w:rsid w:val="00F4380C"/>
    <w:rsid w:val="00F44AB5"/>
    <w:rsid w:val="00F465A7"/>
    <w:rsid w:val="00F4666C"/>
    <w:rsid w:val="00F47421"/>
    <w:rsid w:val="00F47784"/>
    <w:rsid w:val="00F47D14"/>
    <w:rsid w:val="00F50B7C"/>
    <w:rsid w:val="00F5130A"/>
    <w:rsid w:val="00F5202D"/>
    <w:rsid w:val="00F52926"/>
    <w:rsid w:val="00F52CF6"/>
    <w:rsid w:val="00F54496"/>
    <w:rsid w:val="00F54794"/>
    <w:rsid w:val="00F55B00"/>
    <w:rsid w:val="00F561A3"/>
    <w:rsid w:val="00F57849"/>
    <w:rsid w:val="00F57949"/>
    <w:rsid w:val="00F57D73"/>
    <w:rsid w:val="00F6004C"/>
    <w:rsid w:val="00F60B28"/>
    <w:rsid w:val="00F61097"/>
    <w:rsid w:val="00F616EC"/>
    <w:rsid w:val="00F61702"/>
    <w:rsid w:val="00F6184E"/>
    <w:rsid w:val="00F61DE8"/>
    <w:rsid w:val="00F62510"/>
    <w:rsid w:val="00F62976"/>
    <w:rsid w:val="00F64088"/>
    <w:rsid w:val="00F64793"/>
    <w:rsid w:val="00F65639"/>
    <w:rsid w:val="00F656AA"/>
    <w:rsid w:val="00F66427"/>
    <w:rsid w:val="00F6713E"/>
    <w:rsid w:val="00F67414"/>
    <w:rsid w:val="00F67C75"/>
    <w:rsid w:val="00F70801"/>
    <w:rsid w:val="00F70F56"/>
    <w:rsid w:val="00F718F9"/>
    <w:rsid w:val="00F71FC1"/>
    <w:rsid w:val="00F74006"/>
    <w:rsid w:val="00F74345"/>
    <w:rsid w:val="00F74427"/>
    <w:rsid w:val="00F74441"/>
    <w:rsid w:val="00F74AC3"/>
    <w:rsid w:val="00F74BDC"/>
    <w:rsid w:val="00F758B3"/>
    <w:rsid w:val="00F75B0A"/>
    <w:rsid w:val="00F76109"/>
    <w:rsid w:val="00F764CB"/>
    <w:rsid w:val="00F76708"/>
    <w:rsid w:val="00F76755"/>
    <w:rsid w:val="00F76DF8"/>
    <w:rsid w:val="00F77E3E"/>
    <w:rsid w:val="00F77F30"/>
    <w:rsid w:val="00F8047F"/>
    <w:rsid w:val="00F80879"/>
    <w:rsid w:val="00F815B4"/>
    <w:rsid w:val="00F8221E"/>
    <w:rsid w:val="00F82329"/>
    <w:rsid w:val="00F82589"/>
    <w:rsid w:val="00F828EC"/>
    <w:rsid w:val="00F82B19"/>
    <w:rsid w:val="00F839EA"/>
    <w:rsid w:val="00F83D02"/>
    <w:rsid w:val="00F83E23"/>
    <w:rsid w:val="00F84058"/>
    <w:rsid w:val="00F84A61"/>
    <w:rsid w:val="00F84D48"/>
    <w:rsid w:val="00F8565D"/>
    <w:rsid w:val="00F86977"/>
    <w:rsid w:val="00F879C6"/>
    <w:rsid w:val="00F87D1F"/>
    <w:rsid w:val="00F9017E"/>
    <w:rsid w:val="00F9037A"/>
    <w:rsid w:val="00F903E8"/>
    <w:rsid w:val="00F903F3"/>
    <w:rsid w:val="00F90AA7"/>
    <w:rsid w:val="00F90D74"/>
    <w:rsid w:val="00F90FE4"/>
    <w:rsid w:val="00F91181"/>
    <w:rsid w:val="00F91C9E"/>
    <w:rsid w:val="00F9212D"/>
    <w:rsid w:val="00F921D1"/>
    <w:rsid w:val="00F92917"/>
    <w:rsid w:val="00F92C7D"/>
    <w:rsid w:val="00F94252"/>
    <w:rsid w:val="00F94474"/>
    <w:rsid w:val="00F94647"/>
    <w:rsid w:val="00F94813"/>
    <w:rsid w:val="00F94B59"/>
    <w:rsid w:val="00F95E45"/>
    <w:rsid w:val="00F95EFC"/>
    <w:rsid w:val="00F9668E"/>
    <w:rsid w:val="00F9704F"/>
    <w:rsid w:val="00F972E8"/>
    <w:rsid w:val="00F977AF"/>
    <w:rsid w:val="00FA0F9D"/>
    <w:rsid w:val="00FA127F"/>
    <w:rsid w:val="00FA1965"/>
    <w:rsid w:val="00FA301A"/>
    <w:rsid w:val="00FA33DD"/>
    <w:rsid w:val="00FA3831"/>
    <w:rsid w:val="00FA406A"/>
    <w:rsid w:val="00FA4F93"/>
    <w:rsid w:val="00FA5CB6"/>
    <w:rsid w:val="00FA6AE1"/>
    <w:rsid w:val="00FA71DD"/>
    <w:rsid w:val="00FB15E6"/>
    <w:rsid w:val="00FB2068"/>
    <w:rsid w:val="00FB2256"/>
    <w:rsid w:val="00FB2D43"/>
    <w:rsid w:val="00FB3779"/>
    <w:rsid w:val="00FB4011"/>
    <w:rsid w:val="00FB42CE"/>
    <w:rsid w:val="00FB53FF"/>
    <w:rsid w:val="00FB5690"/>
    <w:rsid w:val="00FB5C75"/>
    <w:rsid w:val="00FB5DA8"/>
    <w:rsid w:val="00FB5FF8"/>
    <w:rsid w:val="00FB6255"/>
    <w:rsid w:val="00FB647D"/>
    <w:rsid w:val="00FC0467"/>
    <w:rsid w:val="00FC0505"/>
    <w:rsid w:val="00FC1131"/>
    <w:rsid w:val="00FC2541"/>
    <w:rsid w:val="00FC278E"/>
    <w:rsid w:val="00FC2A91"/>
    <w:rsid w:val="00FC3719"/>
    <w:rsid w:val="00FC571D"/>
    <w:rsid w:val="00FC5DC6"/>
    <w:rsid w:val="00FC633C"/>
    <w:rsid w:val="00FC66AC"/>
    <w:rsid w:val="00FC7CB4"/>
    <w:rsid w:val="00FD08A1"/>
    <w:rsid w:val="00FD16BD"/>
    <w:rsid w:val="00FD18F4"/>
    <w:rsid w:val="00FD1B9D"/>
    <w:rsid w:val="00FD1C7D"/>
    <w:rsid w:val="00FD228C"/>
    <w:rsid w:val="00FD2660"/>
    <w:rsid w:val="00FD4990"/>
    <w:rsid w:val="00FD5FBF"/>
    <w:rsid w:val="00FD6931"/>
    <w:rsid w:val="00FD69DB"/>
    <w:rsid w:val="00FD7077"/>
    <w:rsid w:val="00FD74B4"/>
    <w:rsid w:val="00FE0565"/>
    <w:rsid w:val="00FE06D7"/>
    <w:rsid w:val="00FE11B0"/>
    <w:rsid w:val="00FE11C3"/>
    <w:rsid w:val="00FE1E0E"/>
    <w:rsid w:val="00FE204A"/>
    <w:rsid w:val="00FE2250"/>
    <w:rsid w:val="00FE3CE9"/>
    <w:rsid w:val="00FE3DD8"/>
    <w:rsid w:val="00FE4118"/>
    <w:rsid w:val="00FE4B1B"/>
    <w:rsid w:val="00FE53CF"/>
    <w:rsid w:val="00FE5734"/>
    <w:rsid w:val="00FE636A"/>
    <w:rsid w:val="00FE6501"/>
    <w:rsid w:val="00FE6934"/>
    <w:rsid w:val="00FE7E1F"/>
    <w:rsid w:val="00FF0A84"/>
    <w:rsid w:val="00FF16C9"/>
    <w:rsid w:val="00FF1AD9"/>
    <w:rsid w:val="00FF1BA2"/>
    <w:rsid w:val="00FF1BB7"/>
    <w:rsid w:val="00FF24D8"/>
    <w:rsid w:val="00FF27CE"/>
    <w:rsid w:val="00FF2826"/>
    <w:rsid w:val="00FF28B9"/>
    <w:rsid w:val="00FF2BC3"/>
    <w:rsid w:val="00FF3514"/>
    <w:rsid w:val="00FF39D9"/>
    <w:rsid w:val="00FF498E"/>
    <w:rsid w:val="00FF546F"/>
    <w:rsid w:val="00FF56E4"/>
    <w:rsid w:val="00FF59C8"/>
    <w:rsid w:val="00FF6439"/>
    <w:rsid w:val="00FF6ADD"/>
    <w:rsid w:val="00FF6EAB"/>
    <w:rsid w:val="00FF6FCE"/>
    <w:rsid w:val="00FF7518"/>
    <w:rsid w:val="00FF7FD8"/>
    <w:rsid w:val="05742AC8"/>
    <w:rsid w:val="06352F05"/>
    <w:rsid w:val="063E7D85"/>
    <w:rsid w:val="070875E0"/>
    <w:rsid w:val="07293586"/>
    <w:rsid w:val="07295285"/>
    <w:rsid w:val="07770C56"/>
    <w:rsid w:val="092217DD"/>
    <w:rsid w:val="093A7294"/>
    <w:rsid w:val="0BD27BF6"/>
    <w:rsid w:val="0E110D06"/>
    <w:rsid w:val="0EA74E5C"/>
    <w:rsid w:val="0F13775A"/>
    <w:rsid w:val="0F9A112B"/>
    <w:rsid w:val="106D2F64"/>
    <w:rsid w:val="10B63710"/>
    <w:rsid w:val="111C2F7A"/>
    <w:rsid w:val="113013DE"/>
    <w:rsid w:val="122B06C2"/>
    <w:rsid w:val="13951726"/>
    <w:rsid w:val="14396509"/>
    <w:rsid w:val="1447165C"/>
    <w:rsid w:val="17735226"/>
    <w:rsid w:val="1A1C66C0"/>
    <w:rsid w:val="1A42393B"/>
    <w:rsid w:val="1B046F80"/>
    <w:rsid w:val="1B3267B5"/>
    <w:rsid w:val="1BC25DC8"/>
    <w:rsid w:val="1C5E7925"/>
    <w:rsid w:val="1C887FC8"/>
    <w:rsid w:val="1D5F6196"/>
    <w:rsid w:val="1D6132A5"/>
    <w:rsid w:val="1D8E56D5"/>
    <w:rsid w:val="1E7A43DA"/>
    <w:rsid w:val="1EB277FE"/>
    <w:rsid w:val="1FE7539E"/>
    <w:rsid w:val="20963CB8"/>
    <w:rsid w:val="20B07FB6"/>
    <w:rsid w:val="213B74B1"/>
    <w:rsid w:val="215A2310"/>
    <w:rsid w:val="21DE318A"/>
    <w:rsid w:val="21EF5B80"/>
    <w:rsid w:val="22576990"/>
    <w:rsid w:val="229C4EAB"/>
    <w:rsid w:val="252D53FE"/>
    <w:rsid w:val="25EC2D81"/>
    <w:rsid w:val="264528BD"/>
    <w:rsid w:val="27D15DD1"/>
    <w:rsid w:val="28A76295"/>
    <w:rsid w:val="29206EB8"/>
    <w:rsid w:val="29E325E0"/>
    <w:rsid w:val="2A452503"/>
    <w:rsid w:val="2BA936A8"/>
    <w:rsid w:val="2C315A5A"/>
    <w:rsid w:val="2D9E56F5"/>
    <w:rsid w:val="2E667F96"/>
    <w:rsid w:val="2E8226AB"/>
    <w:rsid w:val="2F832C79"/>
    <w:rsid w:val="2FEF2D58"/>
    <w:rsid w:val="30580BC9"/>
    <w:rsid w:val="311E2ED7"/>
    <w:rsid w:val="315C449C"/>
    <w:rsid w:val="31B82709"/>
    <w:rsid w:val="32400B34"/>
    <w:rsid w:val="329E6876"/>
    <w:rsid w:val="33D934D4"/>
    <w:rsid w:val="33FE2F6A"/>
    <w:rsid w:val="36074A7F"/>
    <w:rsid w:val="36923549"/>
    <w:rsid w:val="36B75FBF"/>
    <w:rsid w:val="36FB4891"/>
    <w:rsid w:val="38F12CD3"/>
    <w:rsid w:val="38F94775"/>
    <w:rsid w:val="392971ED"/>
    <w:rsid w:val="3B3763D1"/>
    <w:rsid w:val="3CDA245A"/>
    <w:rsid w:val="3CEE0A37"/>
    <w:rsid w:val="3F660E74"/>
    <w:rsid w:val="407A6407"/>
    <w:rsid w:val="423A3BCC"/>
    <w:rsid w:val="433A6FE6"/>
    <w:rsid w:val="4350713C"/>
    <w:rsid w:val="436653E0"/>
    <w:rsid w:val="44CD14E0"/>
    <w:rsid w:val="458946E9"/>
    <w:rsid w:val="46D955A7"/>
    <w:rsid w:val="47133957"/>
    <w:rsid w:val="4779329E"/>
    <w:rsid w:val="47A07E0C"/>
    <w:rsid w:val="4870272E"/>
    <w:rsid w:val="49DC7715"/>
    <w:rsid w:val="4A023139"/>
    <w:rsid w:val="4A7B576F"/>
    <w:rsid w:val="4C4A0649"/>
    <w:rsid w:val="4CE470D3"/>
    <w:rsid w:val="4DEC4FB0"/>
    <w:rsid w:val="4E075D8A"/>
    <w:rsid w:val="4FC62A8C"/>
    <w:rsid w:val="4FE20F0D"/>
    <w:rsid w:val="50504C4B"/>
    <w:rsid w:val="509C6E7C"/>
    <w:rsid w:val="5162104E"/>
    <w:rsid w:val="53A039CC"/>
    <w:rsid w:val="53A1505A"/>
    <w:rsid w:val="54063E08"/>
    <w:rsid w:val="543437E8"/>
    <w:rsid w:val="559B174B"/>
    <w:rsid w:val="55CE0CF4"/>
    <w:rsid w:val="56B22A9C"/>
    <w:rsid w:val="57B72A76"/>
    <w:rsid w:val="5A3C747D"/>
    <w:rsid w:val="5ABE2233"/>
    <w:rsid w:val="5B276D18"/>
    <w:rsid w:val="5BDF5D95"/>
    <w:rsid w:val="5DF87A0F"/>
    <w:rsid w:val="5F1A2B43"/>
    <w:rsid w:val="5FB837BB"/>
    <w:rsid w:val="62364782"/>
    <w:rsid w:val="63D40BE9"/>
    <w:rsid w:val="63E0211F"/>
    <w:rsid w:val="65373578"/>
    <w:rsid w:val="673F2C7A"/>
    <w:rsid w:val="681F6961"/>
    <w:rsid w:val="68610A2F"/>
    <w:rsid w:val="68805514"/>
    <w:rsid w:val="694E2071"/>
    <w:rsid w:val="697A3B33"/>
    <w:rsid w:val="699E2456"/>
    <w:rsid w:val="6B322639"/>
    <w:rsid w:val="6C636C38"/>
    <w:rsid w:val="6DB34098"/>
    <w:rsid w:val="6DB545B6"/>
    <w:rsid w:val="6E4375A0"/>
    <w:rsid w:val="6E514CED"/>
    <w:rsid w:val="6E79491A"/>
    <w:rsid w:val="6EB563D5"/>
    <w:rsid w:val="6F225983"/>
    <w:rsid w:val="6FFC5590"/>
    <w:rsid w:val="70301DA3"/>
    <w:rsid w:val="706D1DD0"/>
    <w:rsid w:val="70856B87"/>
    <w:rsid w:val="70D527EE"/>
    <w:rsid w:val="715B5300"/>
    <w:rsid w:val="715F4BD7"/>
    <w:rsid w:val="71D27F8A"/>
    <w:rsid w:val="71F744C6"/>
    <w:rsid w:val="71F960CF"/>
    <w:rsid w:val="731F5D5E"/>
    <w:rsid w:val="741E793C"/>
    <w:rsid w:val="758D75E2"/>
    <w:rsid w:val="77762421"/>
    <w:rsid w:val="780F09F4"/>
    <w:rsid w:val="789C4F47"/>
    <w:rsid w:val="78A90480"/>
    <w:rsid w:val="79811327"/>
    <w:rsid w:val="7A364017"/>
    <w:rsid w:val="7A8265E1"/>
    <w:rsid w:val="7B686D42"/>
    <w:rsid w:val="7B841746"/>
    <w:rsid w:val="7D0239FF"/>
    <w:rsid w:val="7D5E40CD"/>
    <w:rsid w:val="7D693BED"/>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qFormat="1" w:unhideWhenUsed="0" w:uiPriority="39"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78"/>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link w:val="36"/>
    <w:qFormat/>
    <w:uiPriority w:val="99"/>
    <w:pPr>
      <w:jc w:val="left"/>
    </w:pPr>
    <w:rPr>
      <w:kern w:val="0"/>
      <w:sz w:val="20"/>
    </w:rPr>
  </w:style>
  <w:style w:type="paragraph" w:styleId="5">
    <w:name w:val="Body Text"/>
    <w:basedOn w:val="1"/>
    <w:link w:val="27"/>
    <w:qFormat/>
    <w:uiPriority w:val="0"/>
    <w:pPr>
      <w:widowControl/>
      <w:snapToGrid w:val="0"/>
      <w:spacing w:before="60" w:after="160" w:line="259" w:lineRule="auto"/>
      <w:ind w:right="113"/>
    </w:pPr>
    <w:rPr>
      <w:kern w:val="0"/>
      <w:sz w:val="18"/>
      <w:szCs w:val="18"/>
    </w:rPr>
  </w:style>
  <w:style w:type="paragraph" w:styleId="6">
    <w:name w:val="Body Text Indent"/>
    <w:basedOn w:val="1"/>
    <w:link w:val="38"/>
    <w:semiHidden/>
    <w:qFormat/>
    <w:uiPriority w:val="0"/>
    <w:pPr>
      <w:spacing w:after="120"/>
      <w:ind w:left="420" w:leftChars="200"/>
    </w:pPr>
  </w:style>
  <w:style w:type="paragraph" w:styleId="7">
    <w:name w:val="Plain Text"/>
    <w:basedOn w:val="1"/>
    <w:link w:val="57"/>
    <w:qFormat/>
    <w:uiPriority w:val="0"/>
    <w:pPr>
      <w:wordWrap w:val="0"/>
      <w:spacing w:line="360" w:lineRule="auto"/>
      <w:ind w:firstLine="200" w:firstLineChars="200"/>
    </w:pPr>
    <w:rPr>
      <w:rFonts w:ascii="宋体" w:hAnsi="Courier New"/>
      <w:sz w:val="32"/>
      <w:szCs w:val="20"/>
    </w:rPr>
  </w:style>
  <w:style w:type="paragraph" w:styleId="8">
    <w:name w:val="toc 8"/>
    <w:basedOn w:val="1"/>
    <w:next w:val="1"/>
    <w:qFormat/>
    <w:locked/>
    <w:uiPriority w:val="39"/>
    <w:pPr>
      <w:ind w:left="2940" w:leftChars="1400"/>
    </w:pPr>
    <w:rPr>
      <w:szCs w:val="22"/>
    </w:rPr>
  </w:style>
  <w:style w:type="paragraph" w:styleId="9">
    <w:name w:val="Date"/>
    <w:basedOn w:val="1"/>
    <w:next w:val="1"/>
    <w:link w:val="29"/>
    <w:qFormat/>
    <w:uiPriority w:val="0"/>
    <w:pPr>
      <w:ind w:left="100" w:leftChars="2500"/>
    </w:pPr>
    <w:rPr>
      <w:kern w:val="0"/>
      <w:sz w:val="20"/>
    </w:rPr>
  </w:style>
  <w:style w:type="paragraph" w:styleId="10">
    <w:name w:val="Balloon Text"/>
    <w:basedOn w:val="1"/>
    <w:link w:val="35"/>
    <w:semiHidden/>
    <w:qFormat/>
    <w:uiPriority w:val="0"/>
    <w:rPr>
      <w:sz w:val="18"/>
      <w:szCs w:val="18"/>
    </w:rPr>
  </w:style>
  <w:style w:type="paragraph" w:styleId="11">
    <w:name w:val="footer"/>
    <w:basedOn w:val="1"/>
    <w:link w:val="26"/>
    <w:qFormat/>
    <w:uiPriority w:val="99"/>
    <w:pPr>
      <w:tabs>
        <w:tab w:val="center" w:pos="4153"/>
        <w:tab w:val="right" w:pos="8306"/>
      </w:tabs>
      <w:snapToGrid w:val="0"/>
      <w:jc w:val="left"/>
    </w:pPr>
    <w:rPr>
      <w:sz w:val="18"/>
      <w:szCs w:val="18"/>
    </w:rPr>
  </w:style>
  <w:style w:type="paragraph" w:styleId="12">
    <w:name w:val="header"/>
    <w:basedOn w:val="1"/>
    <w:link w:val="25"/>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autoRedefine/>
    <w:qFormat/>
    <w:locked/>
    <w:uiPriority w:val="39"/>
    <w:pPr>
      <w:tabs>
        <w:tab w:val="right" w:leader="dot" w:pos="8834"/>
      </w:tabs>
    </w:pPr>
  </w:style>
  <w:style w:type="paragraph" w:styleId="14">
    <w:name w:val="Subtitle"/>
    <w:basedOn w:val="1"/>
    <w:next w:val="1"/>
    <w:link w:val="56"/>
    <w:qFormat/>
    <w:locked/>
    <w:uiPriority w:val="0"/>
    <w:pPr>
      <w:spacing w:before="240" w:after="60" w:line="312" w:lineRule="auto"/>
      <w:jc w:val="center"/>
      <w:outlineLvl w:val="1"/>
    </w:pPr>
    <w:rPr>
      <w:rFonts w:asciiTheme="minorHAnsi" w:hAnsiTheme="minorHAnsi" w:eastAsiaTheme="minorEastAsia" w:cstheme="minorBidi"/>
      <w:b/>
      <w:bCs/>
      <w:kern w:val="28"/>
      <w:sz w:val="32"/>
      <w:szCs w:val="32"/>
    </w:rPr>
  </w:style>
  <w:style w:type="paragraph" w:styleId="15">
    <w:name w:val="Normal (Web)"/>
    <w:basedOn w:val="1"/>
    <w:link w:val="28"/>
    <w:qFormat/>
    <w:uiPriority w:val="99"/>
    <w:pPr>
      <w:widowControl/>
      <w:spacing w:before="100" w:beforeAutospacing="1" w:after="100" w:afterAutospacing="1"/>
      <w:jc w:val="left"/>
    </w:pPr>
    <w:rPr>
      <w:rFonts w:ascii="宋体" w:hAnsi="宋体"/>
      <w:kern w:val="0"/>
      <w:sz w:val="24"/>
    </w:rPr>
  </w:style>
  <w:style w:type="paragraph" w:styleId="16">
    <w:name w:val="annotation subject"/>
    <w:basedOn w:val="4"/>
    <w:next w:val="4"/>
    <w:link w:val="39"/>
    <w:semiHidden/>
    <w:qFormat/>
    <w:uiPriority w:val="0"/>
    <w:rPr>
      <w:b/>
      <w:bCs/>
    </w:rPr>
  </w:style>
  <w:style w:type="paragraph" w:styleId="17">
    <w:name w:val="Body Text First Indent"/>
    <w:basedOn w:val="5"/>
    <w:link w:val="97"/>
    <w:qFormat/>
    <w:uiPriority w:val="0"/>
    <w:pPr>
      <w:widowControl w:val="0"/>
      <w:snapToGrid/>
      <w:spacing w:before="0" w:after="120" w:line="240" w:lineRule="auto"/>
      <w:ind w:right="0" w:firstLine="420" w:firstLineChars="100"/>
    </w:pPr>
    <w:rPr>
      <w:kern w:val="2"/>
      <w:sz w:val="21"/>
      <w:szCs w:val="24"/>
    </w:rPr>
  </w:style>
  <w:style w:type="paragraph" w:styleId="18">
    <w:name w:val="Body Text First Indent 2"/>
    <w:basedOn w:val="6"/>
    <w:link w:val="81"/>
    <w:qFormat/>
    <w:uiPriority w:val="0"/>
    <w:pPr>
      <w:ind w:firstLine="420" w:firstLineChars="200"/>
    </w:pPr>
  </w:style>
  <w:style w:type="table" w:styleId="20">
    <w:name w:val="Table Grid"/>
    <w:basedOn w:val="1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qFormat/>
    <w:uiPriority w:val="0"/>
  </w:style>
  <w:style w:type="character" w:styleId="23">
    <w:name w:val="Hyperlink"/>
    <w:basedOn w:val="21"/>
    <w:unhideWhenUsed/>
    <w:qFormat/>
    <w:uiPriority w:val="99"/>
    <w:rPr>
      <w:color w:val="0563C1" w:themeColor="hyperlink"/>
      <w:u w:val="single"/>
      <w14:textFill>
        <w14:solidFill>
          <w14:schemeClr w14:val="hlink"/>
        </w14:solidFill>
      </w14:textFill>
    </w:rPr>
  </w:style>
  <w:style w:type="character" w:styleId="24">
    <w:name w:val="annotation reference"/>
    <w:basedOn w:val="21"/>
    <w:qFormat/>
    <w:uiPriority w:val="99"/>
    <w:rPr>
      <w:sz w:val="21"/>
    </w:rPr>
  </w:style>
  <w:style w:type="character" w:customStyle="1" w:styleId="25">
    <w:name w:val="页眉 字符"/>
    <w:basedOn w:val="21"/>
    <w:link w:val="12"/>
    <w:qFormat/>
    <w:locked/>
    <w:uiPriority w:val="0"/>
    <w:rPr>
      <w:rFonts w:cs="Times New Roman"/>
      <w:sz w:val="18"/>
      <w:szCs w:val="18"/>
    </w:rPr>
  </w:style>
  <w:style w:type="character" w:customStyle="1" w:styleId="26">
    <w:name w:val="页脚 字符"/>
    <w:basedOn w:val="21"/>
    <w:link w:val="11"/>
    <w:qFormat/>
    <w:locked/>
    <w:uiPriority w:val="99"/>
    <w:rPr>
      <w:rFonts w:cs="Times New Roman"/>
      <w:sz w:val="18"/>
      <w:szCs w:val="18"/>
    </w:rPr>
  </w:style>
  <w:style w:type="character" w:customStyle="1" w:styleId="27">
    <w:name w:val="正文文本 字符"/>
    <w:link w:val="5"/>
    <w:qFormat/>
    <w:locked/>
    <w:uiPriority w:val="0"/>
    <w:rPr>
      <w:sz w:val="18"/>
    </w:rPr>
  </w:style>
  <w:style w:type="character" w:customStyle="1" w:styleId="28">
    <w:name w:val="普通(网站) 字符"/>
    <w:link w:val="15"/>
    <w:qFormat/>
    <w:locked/>
    <w:uiPriority w:val="0"/>
    <w:rPr>
      <w:rFonts w:ascii="宋体" w:hAnsi="宋体" w:eastAsia="宋体"/>
      <w:sz w:val="24"/>
    </w:rPr>
  </w:style>
  <w:style w:type="character" w:customStyle="1" w:styleId="29">
    <w:name w:val="日期 字符1"/>
    <w:link w:val="9"/>
    <w:qFormat/>
    <w:locked/>
    <w:uiPriority w:val="0"/>
    <w:rPr>
      <w:rFonts w:ascii="Times New Roman" w:hAnsi="Times New Roman" w:eastAsia="宋体"/>
      <w:sz w:val="24"/>
    </w:rPr>
  </w:style>
  <w:style w:type="character" w:customStyle="1" w:styleId="30">
    <w:name w:val="日期 字符"/>
    <w:basedOn w:val="21"/>
    <w:semiHidden/>
    <w:qFormat/>
    <w:uiPriority w:val="0"/>
    <w:rPr>
      <w:rFonts w:ascii="Times New Roman" w:hAnsi="Times New Roman" w:eastAsia="宋体" w:cs="Times New Roman"/>
      <w:sz w:val="24"/>
      <w:szCs w:val="24"/>
    </w:rPr>
  </w:style>
  <w:style w:type="character" w:customStyle="1" w:styleId="31">
    <w:name w:val="正文文本 字符1"/>
    <w:basedOn w:val="21"/>
    <w:semiHidden/>
    <w:qFormat/>
    <w:uiPriority w:val="0"/>
    <w:rPr>
      <w:rFonts w:ascii="Times New Roman" w:hAnsi="Times New Roman" w:eastAsia="宋体" w:cs="Times New Roman"/>
      <w:sz w:val="24"/>
      <w:szCs w:val="24"/>
    </w:rPr>
  </w:style>
  <w:style w:type="paragraph" w:customStyle="1" w:styleId="3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3">
    <w:name w:val="表格 Char"/>
    <w:link w:val="34"/>
    <w:qFormat/>
    <w:locked/>
    <w:uiPriority w:val="0"/>
    <w:rPr>
      <w:rFonts w:ascii="宋体"/>
      <w:sz w:val="21"/>
    </w:rPr>
  </w:style>
  <w:style w:type="paragraph" w:customStyle="1" w:styleId="34">
    <w:name w:val="表格"/>
    <w:basedOn w:val="1"/>
    <w:next w:val="1"/>
    <w:link w:val="33"/>
    <w:qFormat/>
    <w:uiPriority w:val="0"/>
    <w:pPr>
      <w:adjustRightInd w:val="0"/>
      <w:snapToGrid w:val="0"/>
      <w:spacing w:beforeLines="10" w:afterLines="10" w:line="259" w:lineRule="auto"/>
      <w:jc w:val="center"/>
    </w:pPr>
    <w:rPr>
      <w:rFonts w:ascii="宋体"/>
      <w:kern w:val="0"/>
      <w:sz w:val="20"/>
      <w:szCs w:val="21"/>
    </w:rPr>
  </w:style>
  <w:style w:type="character" w:customStyle="1" w:styleId="35">
    <w:name w:val="批注框文本 字符"/>
    <w:basedOn w:val="21"/>
    <w:link w:val="10"/>
    <w:semiHidden/>
    <w:qFormat/>
    <w:locked/>
    <w:uiPriority w:val="0"/>
    <w:rPr>
      <w:rFonts w:ascii="Times New Roman" w:hAnsi="Times New Roman" w:eastAsia="宋体" w:cs="Times New Roman"/>
      <w:sz w:val="18"/>
      <w:szCs w:val="18"/>
    </w:rPr>
  </w:style>
  <w:style w:type="character" w:customStyle="1" w:styleId="36">
    <w:name w:val="批注文字 字符"/>
    <w:link w:val="4"/>
    <w:qFormat/>
    <w:locked/>
    <w:uiPriority w:val="99"/>
    <w:rPr>
      <w:rFonts w:ascii="Times New Roman" w:hAnsi="Times New Roman" w:eastAsia="宋体"/>
      <w:sz w:val="24"/>
    </w:rPr>
  </w:style>
  <w:style w:type="character" w:customStyle="1" w:styleId="37">
    <w:name w:val="批注文字 字符1"/>
    <w:basedOn w:val="21"/>
    <w:qFormat/>
    <w:uiPriority w:val="0"/>
    <w:rPr>
      <w:rFonts w:ascii="Times New Roman" w:hAnsi="Times New Roman" w:eastAsia="宋体" w:cs="Times New Roman"/>
      <w:sz w:val="24"/>
      <w:szCs w:val="24"/>
    </w:rPr>
  </w:style>
  <w:style w:type="character" w:customStyle="1" w:styleId="38">
    <w:name w:val="正文文本缩进 字符"/>
    <w:basedOn w:val="21"/>
    <w:link w:val="6"/>
    <w:semiHidden/>
    <w:qFormat/>
    <w:locked/>
    <w:uiPriority w:val="0"/>
    <w:rPr>
      <w:rFonts w:ascii="Times New Roman" w:hAnsi="Times New Roman" w:eastAsia="宋体" w:cs="Times New Roman"/>
      <w:sz w:val="24"/>
      <w:szCs w:val="24"/>
    </w:rPr>
  </w:style>
  <w:style w:type="character" w:customStyle="1" w:styleId="39">
    <w:name w:val="批注主题 字符"/>
    <w:basedOn w:val="36"/>
    <w:link w:val="16"/>
    <w:semiHidden/>
    <w:qFormat/>
    <w:locked/>
    <w:uiPriority w:val="0"/>
    <w:rPr>
      <w:rFonts w:ascii="Times New Roman" w:hAnsi="Times New Roman" w:eastAsia="宋体" w:cs="Times New Roman"/>
      <w:b/>
      <w:bCs/>
      <w:kern w:val="2"/>
      <w:sz w:val="24"/>
      <w:szCs w:val="24"/>
    </w:rPr>
  </w:style>
  <w:style w:type="character" w:customStyle="1" w:styleId="40">
    <w:name w:val="普通(网站) Char"/>
    <w:qFormat/>
    <w:locked/>
    <w:uiPriority w:val="0"/>
    <w:rPr>
      <w:rFonts w:ascii="宋体" w:hAnsi="宋体" w:eastAsia="宋体"/>
      <w:sz w:val="24"/>
    </w:rPr>
  </w:style>
  <w:style w:type="paragraph" w:customStyle="1" w:styleId="41">
    <w:name w:val="圈√"/>
    <w:next w:val="1"/>
    <w:link w:val="44"/>
    <w:qFormat/>
    <w:uiPriority w:val="0"/>
    <w:pPr>
      <w:widowControl w:val="0"/>
      <w:jc w:val="both"/>
    </w:pPr>
    <w:rPr>
      <w:rFonts w:ascii="Wingdings 2" w:hAnsi="Wingdings 2" w:eastAsia="Wingdings 2" w:cs="Times New Roman"/>
      <w:kern w:val="2"/>
      <w:sz w:val="21"/>
      <w:szCs w:val="21"/>
      <w:lang w:val="en-US" w:eastAsia="zh-CN" w:bidi="ar-SA"/>
    </w:rPr>
  </w:style>
  <w:style w:type="character" w:customStyle="1" w:styleId="42">
    <w:name w:val="【表中文字】 Char"/>
    <w:link w:val="43"/>
    <w:qFormat/>
    <w:uiPriority w:val="0"/>
    <w:rPr>
      <w:sz w:val="18"/>
    </w:rPr>
  </w:style>
  <w:style w:type="paragraph" w:customStyle="1" w:styleId="43">
    <w:name w:val="【表中文字】"/>
    <w:basedOn w:val="1"/>
    <w:link w:val="42"/>
    <w:qFormat/>
    <w:uiPriority w:val="0"/>
    <w:pPr>
      <w:adjustRightInd w:val="0"/>
      <w:snapToGrid w:val="0"/>
      <w:jc w:val="center"/>
    </w:pPr>
    <w:rPr>
      <w:kern w:val="0"/>
      <w:sz w:val="18"/>
      <w:szCs w:val="20"/>
    </w:rPr>
  </w:style>
  <w:style w:type="character" w:customStyle="1" w:styleId="44">
    <w:name w:val="圈√ 字符"/>
    <w:basedOn w:val="21"/>
    <w:link w:val="41"/>
    <w:qFormat/>
    <w:uiPriority w:val="0"/>
    <w:rPr>
      <w:rFonts w:ascii="Wingdings 2" w:hAnsi="Wingdings 2" w:eastAsia="Wingdings 2"/>
      <w:kern w:val="2"/>
      <w:sz w:val="21"/>
      <w:szCs w:val="21"/>
    </w:rPr>
  </w:style>
  <w:style w:type="character" w:customStyle="1" w:styleId="45">
    <w:name w:val="【表头】 Char"/>
    <w:link w:val="46"/>
    <w:qFormat/>
    <w:uiPriority w:val="0"/>
    <w:rPr>
      <w:rFonts w:eastAsia="黑体"/>
      <w:sz w:val="21"/>
    </w:rPr>
  </w:style>
  <w:style w:type="paragraph" w:customStyle="1" w:styleId="46">
    <w:name w:val="【表头】"/>
    <w:basedOn w:val="1"/>
    <w:next w:val="1"/>
    <w:link w:val="45"/>
    <w:qFormat/>
    <w:uiPriority w:val="0"/>
    <w:pPr>
      <w:jc w:val="center"/>
    </w:pPr>
    <w:rPr>
      <w:rFonts w:eastAsia="黑体"/>
      <w:kern w:val="0"/>
      <w:szCs w:val="20"/>
    </w:rPr>
  </w:style>
  <w:style w:type="paragraph" w:customStyle="1" w:styleId="47">
    <w:name w:val="首行缩进正文"/>
    <w:basedOn w:val="1"/>
    <w:link w:val="48"/>
    <w:qFormat/>
    <w:uiPriority w:val="0"/>
    <w:pPr>
      <w:spacing w:line="360" w:lineRule="auto"/>
      <w:ind w:firstLine="200" w:firstLineChars="200"/>
    </w:pPr>
  </w:style>
  <w:style w:type="character" w:customStyle="1" w:styleId="48">
    <w:name w:val="首行缩进正文 字符"/>
    <w:basedOn w:val="21"/>
    <w:link w:val="47"/>
    <w:qFormat/>
    <w:uiPriority w:val="0"/>
    <w:rPr>
      <w:kern w:val="2"/>
      <w:sz w:val="21"/>
      <w:szCs w:val="24"/>
    </w:rPr>
  </w:style>
  <w:style w:type="character" w:customStyle="1" w:styleId="49">
    <w:name w:val="【正文】 Char"/>
    <w:link w:val="50"/>
    <w:qFormat/>
    <w:uiPriority w:val="0"/>
    <w:rPr>
      <w:kern w:val="2"/>
      <w:sz w:val="24"/>
      <w:szCs w:val="24"/>
    </w:rPr>
  </w:style>
  <w:style w:type="paragraph" w:customStyle="1" w:styleId="50">
    <w:name w:val="【正文】"/>
    <w:basedOn w:val="1"/>
    <w:link w:val="49"/>
    <w:qFormat/>
    <w:uiPriority w:val="0"/>
    <w:pPr>
      <w:spacing w:line="360" w:lineRule="auto"/>
      <w:ind w:firstLine="480" w:firstLineChars="200"/>
    </w:pPr>
    <w:rPr>
      <w:sz w:val="24"/>
    </w:rPr>
  </w:style>
  <w:style w:type="paragraph" w:customStyle="1" w:styleId="51">
    <w:name w:val="正文------------------------"/>
    <w:basedOn w:val="1"/>
    <w:qFormat/>
    <w:uiPriority w:val="0"/>
    <w:pPr>
      <w:spacing w:line="440" w:lineRule="atLeast"/>
      <w:ind w:firstLine="570"/>
    </w:pPr>
    <w:rPr>
      <w:rFonts w:hAnsi="宋体" w:cs="宋体"/>
      <w:sz w:val="24"/>
      <w:szCs w:val="20"/>
    </w:rPr>
  </w:style>
  <w:style w:type="character" w:customStyle="1" w:styleId="52">
    <w:name w:val="【表中文字】- 字符"/>
    <w:link w:val="53"/>
    <w:qFormat/>
    <w:uiPriority w:val="0"/>
  </w:style>
  <w:style w:type="paragraph" w:customStyle="1" w:styleId="53">
    <w:name w:val="【表中文字】-"/>
    <w:basedOn w:val="1"/>
    <w:link w:val="52"/>
    <w:qFormat/>
    <w:uiPriority w:val="0"/>
    <w:pPr>
      <w:widowControl/>
      <w:jc w:val="center"/>
    </w:pPr>
    <w:rPr>
      <w:kern w:val="0"/>
      <w:sz w:val="20"/>
      <w:szCs w:val="20"/>
    </w:rPr>
  </w:style>
  <w:style w:type="paragraph" w:customStyle="1" w:styleId="54">
    <w:name w:val="表头"/>
    <w:basedOn w:val="1"/>
    <w:link w:val="55"/>
    <w:qFormat/>
    <w:uiPriority w:val="0"/>
    <w:pPr>
      <w:adjustRightInd w:val="0"/>
      <w:snapToGrid w:val="0"/>
      <w:ind w:firstLine="200" w:firstLineChars="200"/>
      <w:jc w:val="center"/>
    </w:pPr>
    <w:rPr>
      <w:rFonts w:eastAsia="黑体"/>
    </w:rPr>
  </w:style>
  <w:style w:type="character" w:customStyle="1" w:styleId="55">
    <w:name w:val="表头 字符"/>
    <w:link w:val="54"/>
    <w:qFormat/>
    <w:uiPriority w:val="0"/>
    <w:rPr>
      <w:rFonts w:eastAsia="黑体"/>
      <w:kern w:val="2"/>
      <w:sz w:val="21"/>
      <w:szCs w:val="24"/>
    </w:rPr>
  </w:style>
  <w:style w:type="character" w:customStyle="1" w:styleId="56">
    <w:name w:val="副标题 字符"/>
    <w:basedOn w:val="21"/>
    <w:link w:val="14"/>
    <w:qFormat/>
    <w:uiPriority w:val="0"/>
    <w:rPr>
      <w:rFonts w:asciiTheme="minorHAnsi" w:hAnsiTheme="minorHAnsi" w:eastAsiaTheme="minorEastAsia" w:cstheme="minorBidi"/>
      <w:b/>
      <w:bCs/>
      <w:kern w:val="28"/>
      <w:sz w:val="32"/>
      <w:szCs w:val="32"/>
    </w:rPr>
  </w:style>
  <w:style w:type="character" w:customStyle="1" w:styleId="57">
    <w:name w:val="纯文本 字符1"/>
    <w:link w:val="7"/>
    <w:qFormat/>
    <w:uiPriority w:val="0"/>
    <w:rPr>
      <w:rFonts w:ascii="宋体" w:hAnsi="Courier New"/>
      <w:kern w:val="2"/>
      <w:sz w:val="32"/>
    </w:rPr>
  </w:style>
  <w:style w:type="character" w:customStyle="1" w:styleId="58">
    <w:name w:val="纯文本 字符"/>
    <w:basedOn w:val="21"/>
    <w:qFormat/>
    <w:uiPriority w:val="0"/>
    <w:rPr>
      <w:rFonts w:hAnsi="Courier New" w:cs="Courier New" w:asciiTheme="minorEastAsia" w:eastAsiaTheme="minorEastAsia"/>
      <w:kern w:val="2"/>
      <w:sz w:val="21"/>
      <w:szCs w:val="24"/>
    </w:rPr>
  </w:style>
  <w:style w:type="paragraph" w:customStyle="1" w:styleId="59">
    <w:name w:val="TOC Heading"/>
    <w:basedOn w:val="2"/>
    <w:next w:val="1"/>
    <w:unhideWhenUsed/>
    <w:qFormat/>
    <w:uiPriority w:val="39"/>
    <w:pPr>
      <w:keepLines/>
      <w:widowControl/>
      <w:overflowPunct/>
      <w:snapToGrid/>
      <w:spacing w:before="240" w:after="0"/>
      <w:ind w:left="0" w:firstLine="0"/>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60">
    <w:name w:val="C【表头】 字符"/>
    <w:link w:val="61"/>
    <w:qFormat/>
    <w:uiPriority w:val="0"/>
    <w:rPr>
      <w:rFonts w:eastAsia="黑体" w:cs="宋体"/>
      <w:sz w:val="21"/>
    </w:rPr>
  </w:style>
  <w:style w:type="paragraph" w:customStyle="1" w:styleId="61">
    <w:name w:val="C【表头】"/>
    <w:basedOn w:val="1"/>
    <w:link w:val="60"/>
    <w:qFormat/>
    <w:uiPriority w:val="0"/>
    <w:pPr>
      <w:widowControl/>
      <w:adjustRightInd w:val="0"/>
      <w:snapToGrid w:val="0"/>
      <w:jc w:val="center"/>
    </w:pPr>
    <w:rPr>
      <w:rFonts w:eastAsia="黑体" w:cs="宋体"/>
      <w:kern w:val="0"/>
      <w:szCs w:val="20"/>
    </w:rPr>
  </w:style>
  <w:style w:type="character" w:customStyle="1" w:styleId="62">
    <w:name w:val="C【表中文字】- 字符"/>
    <w:link w:val="63"/>
    <w:qFormat/>
    <w:uiPriority w:val="0"/>
    <w:rPr>
      <w:sz w:val="18"/>
    </w:rPr>
  </w:style>
  <w:style w:type="paragraph" w:customStyle="1" w:styleId="63">
    <w:name w:val="C【表中文字】-"/>
    <w:basedOn w:val="1"/>
    <w:link w:val="62"/>
    <w:qFormat/>
    <w:uiPriority w:val="0"/>
    <w:pPr>
      <w:adjustRightInd w:val="0"/>
      <w:snapToGrid w:val="0"/>
      <w:jc w:val="center"/>
    </w:pPr>
    <w:rPr>
      <w:kern w:val="0"/>
      <w:sz w:val="18"/>
      <w:szCs w:val="20"/>
    </w:rPr>
  </w:style>
  <w:style w:type="paragraph" w:customStyle="1" w:styleId="64">
    <w:name w:val="C表两端"/>
    <w:basedOn w:val="1"/>
    <w:link w:val="65"/>
    <w:qFormat/>
    <w:uiPriority w:val="0"/>
    <w:pPr>
      <w:adjustRightInd w:val="0"/>
      <w:snapToGrid w:val="0"/>
    </w:pPr>
    <w:rPr>
      <w:kern w:val="0"/>
      <w:sz w:val="18"/>
      <w:szCs w:val="20"/>
    </w:rPr>
  </w:style>
  <w:style w:type="character" w:customStyle="1" w:styleId="65">
    <w:name w:val="C表两端 字符"/>
    <w:link w:val="64"/>
    <w:qFormat/>
    <w:locked/>
    <w:uiPriority w:val="0"/>
    <w:rPr>
      <w:sz w:val="18"/>
    </w:rPr>
  </w:style>
  <w:style w:type="character" w:customStyle="1" w:styleId="66">
    <w:name w:val="【表中文字】 Char Char"/>
    <w:qFormat/>
    <w:uiPriority w:val="0"/>
    <w:rPr>
      <w:kern w:val="2"/>
      <w:sz w:val="21"/>
    </w:rPr>
  </w:style>
  <w:style w:type="table" w:customStyle="1" w:styleId="67">
    <w:name w:val="[表格样式]1"/>
    <w:basedOn w:val="19"/>
    <w:uiPriority w:val="0"/>
    <w:pPr>
      <w:adjustRightInd w:val="0"/>
      <w:snapToGrid w:val="0"/>
      <w:jc w:val="center"/>
    </w:p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68">
    <w:name w:val="【正文】 字符"/>
    <w:qFormat/>
    <w:uiPriority w:val="0"/>
    <w:rPr>
      <w:sz w:val="24"/>
      <w:szCs w:val="24"/>
    </w:rPr>
  </w:style>
  <w:style w:type="character" w:customStyle="1" w:styleId="69">
    <w:name w:val="【正文】 Char1"/>
    <w:qFormat/>
    <w:uiPriority w:val="0"/>
    <w:rPr>
      <w:rFonts w:ascii="Times New Roman" w:hAnsi="Times New Roman" w:eastAsia="宋体"/>
      <w:sz w:val="24"/>
    </w:rPr>
  </w:style>
  <w:style w:type="paragraph" w:customStyle="1" w:styleId="70">
    <w:name w:val="C首行缩进正文"/>
    <w:basedOn w:val="50"/>
    <w:link w:val="71"/>
    <w:uiPriority w:val="0"/>
    <w:pPr>
      <w:ind w:firstLine="200"/>
    </w:pPr>
    <w:rPr>
      <w:rFonts w:cs="宋体"/>
      <w:color w:val="000000" w:themeColor="text1"/>
      <w:sz w:val="21"/>
      <w14:textFill>
        <w14:solidFill>
          <w14:schemeClr w14:val="tx1"/>
        </w14:solidFill>
      </w14:textFill>
    </w:rPr>
  </w:style>
  <w:style w:type="character" w:customStyle="1" w:styleId="71">
    <w:name w:val="C首行缩进正文 字符"/>
    <w:basedOn w:val="49"/>
    <w:link w:val="70"/>
    <w:qFormat/>
    <w:uiPriority w:val="0"/>
    <w:rPr>
      <w:rFonts w:cs="宋体"/>
      <w:color w:val="000000" w:themeColor="text1"/>
      <w:kern w:val="2"/>
      <w:sz w:val="21"/>
      <w:szCs w:val="24"/>
      <w14:textFill>
        <w14:solidFill>
          <w14:schemeClr w14:val="tx1"/>
        </w14:solidFill>
      </w14:textFill>
    </w:rPr>
  </w:style>
  <w:style w:type="character" w:customStyle="1" w:styleId="72">
    <w:name w:val="表头 Char"/>
    <w:qFormat/>
    <w:uiPriority w:val="0"/>
    <w:rPr>
      <w:rFonts w:ascii="黑体" w:hAnsi="黑体" w:eastAsia="黑体" w:cs="Times New Roman"/>
      <w:sz w:val="24"/>
    </w:rPr>
  </w:style>
  <w:style w:type="paragraph" w:customStyle="1" w:styleId="73">
    <w:name w:val="样式1"/>
    <w:basedOn w:val="1"/>
    <w:uiPriority w:val="0"/>
    <w:pPr>
      <w:snapToGrid w:val="0"/>
      <w:spacing w:before="100" w:beforeAutospacing="1" w:after="100" w:afterAutospacing="1" w:line="360" w:lineRule="auto"/>
    </w:pPr>
    <w:rPr>
      <w:rFonts w:ascii="宋体" w:hAnsi="宋体"/>
      <w:b/>
      <w:sz w:val="24"/>
    </w:rPr>
  </w:style>
  <w:style w:type="paragraph" w:customStyle="1" w:styleId="74">
    <w:name w:val="正文w"/>
    <w:basedOn w:val="1"/>
    <w:link w:val="75"/>
    <w:qFormat/>
    <w:uiPriority w:val="0"/>
    <w:pPr>
      <w:snapToGrid w:val="0"/>
      <w:spacing w:line="360" w:lineRule="auto"/>
      <w:ind w:firstLine="480" w:firstLineChars="200"/>
    </w:pPr>
    <w:rPr>
      <w:rFonts w:ascii="宋体" w:hAnsi="宋体"/>
      <w:sz w:val="24"/>
    </w:rPr>
  </w:style>
  <w:style w:type="character" w:customStyle="1" w:styleId="75">
    <w:name w:val="正文w Char"/>
    <w:link w:val="74"/>
    <w:qFormat/>
    <w:uiPriority w:val="0"/>
    <w:rPr>
      <w:rFonts w:ascii="宋体" w:hAnsi="宋体"/>
      <w:kern w:val="2"/>
      <w:sz w:val="24"/>
      <w:szCs w:val="24"/>
    </w:rPr>
  </w:style>
  <w:style w:type="table" w:customStyle="1" w:styleId="76">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77">
    <w:name w:val="Table Paragraph"/>
    <w:basedOn w:val="1"/>
    <w:qFormat/>
    <w:uiPriority w:val="0"/>
    <w:pPr>
      <w:autoSpaceDE w:val="0"/>
      <w:autoSpaceDN w:val="0"/>
      <w:jc w:val="center"/>
    </w:pPr>
    <w:rPr>
      <w:rFonts w:ascii="宋体" w:hAnsi="宋体" w:cs="宋体"/>
      <w:kern w:val="0"/>
      <w:sz w:val="22"/>
      <w:szCs w:val="22"/>
      <w:lang w:val="zh-CN" w:bidi="zh-CN"/>
    </w:rPr>
  </w:style>
  <w:style w:type="character" w:customStyle="1" w:styleId="78">
    <w:name w:val="标题 2 字符"/>
    <w:basedOn w:val="21"/>
    <w:link w:val="3"/>
    <w:semiHidden/>
    <w:qFormat/>
    <w:uiPriority w:val="0"/>
    <w:rPr>
      <w:rFonts w:asciiTheme="majorHAnsi" w:hAnsiTheme="majorHAnsi" w:eastAsiaTheme="majorEastAsia" w:cstheme="majorBidi"/>
      <w:b/>
      <w:bCs/>
      <w:kern w:val="2"/>
      <w:sz w:val="32"/>
      <w:szCs w:val="32"/>
    </w:rPr>
  </w:style>
  <w:style w:type="paragraph" w:customStyle="1" w:styleId="79">
    <w:name w:val="样式 宋体 首行缩进:  2 字符"/>
    <w:basedOn w:val="1"/>
    <w:qFormat/>
    <w:uiPriority w:val="0"/>
    <w:pPr>
      <w:snapToGrid w:val="0"/>
      <w:spacing w:line="520" w:lineRule="exact"/>
      <w:ind w:firstLine="200" w:firstLineChars="200"/>
    </w:pPr>
    <w:rPr>
      <w:rFonts w:ascii="宋体" w:hAnsi="宋体"/>
      <w:sz w:val="28"/>
      <w:szCs w:val="20"/>
    </w:rPr>
  </w:style>
  <w:style w:type="paragraph" w:customStyle="1" w:styleId="80">
    <w:name w:val="1s普通段落"/>
    <w:basedOn w:val="18"/>
    <w:qFormat/>
    <w:uiPriority w:val="0"/>
    <w:pPr>
      <w:spacing w:after="0" w:line="360" w:lineRule="auto"/>
      <w:ind w:left="0" w:leftChars="0" w:firstLine="200"/>
    </w:pPr>
    <w:rPr>
      <w:sz w:val="24"/>
    </w:rPr>
  </w:style>
  <w:style w:type="character" w:customStyle="1" w:styleId="81">
    <w:name w:val="正文文本首行缩进 2 字符"/>
    <w:basedOn w:val="38"/>
    <w:link w:val="18"/>
    <w:uiPriority w:val="0"/>
    <w:rPr>
      <w:rFonts w:ascii="Times New Roman" w:hAnsi="Times New Roman" w:eastAsia="宋体" w:cs="Times New Roman"/>
      <w:kern w:val="2"/>
      <w:sz w:val="21"/>
      <w:szCs w:val="24"/>
    </w:rPr>
  </w:style>
  <w:style w:type="character" w:styleId="82">
    <w:name w:val="Placeholder Text"/>
    <w:basedOn w:val="21"/>
    <w:semiHidden/>
    <w:qFormat/>
    <w:uiPriority w:val="99"/>
    <w:rPr>
      <w:color w:val="666666"/>
    </w:rPr>
  </w:style>
  <w:style w:type="character" w:customStyle="1" w:styleId="83">
    <w:name w:val="text_vgzkf"/>
    <w:basedOn w:val="21"/>
    <w:qFormat/>
    <w:uiPriority w:val="0"/>
  </w:style>
  <w:style w:type="character" w:customStyle="1" w:styleId="84">
    <w:name w:val="supwrap_axlkn"/>
    <w:basedOn w:val="21"/>
    <w:uiPriority w:val="0"/>
  </w:style>
  <w:style w:type="paragraph" w:customStyle="1" w:styleId="85">
    <w:name w:val="【表头】0"/>
    <w:basedOn w:val="1"/>
    <w:link w:val="87"/>
    <w:qFormat/>
    <w:uiPriority w:val="0"/>
    <w:pPr>
      <w:adjustRightInd w:val="0"/>
      <w:snapToGrid w:val="0"/>
      <w:spacing w:line="400" w:lineRule="exact"/>
      <w:jc w:val="center"/>
    </w:pPr>
    <w:rPr>
      <w:rFonts w:eastAsia="仿宋"/>
      <w:b/>
      <w:sz w:val="24"/>
    </w:rPr>
  </w:style>
  <w:style w:type="paragraph" w:customStyle="1" w:styleId="86">
    <w:name w:val="【表中表】居中"/>
    <w:basedOn w:val="1"/>
    <w:link w:val="88"/>
    <w:qFormat/>
    <w:uiPriority w:val="0"/>
    <w:pPr>
      <w:autoSpaceDE w:val="0"/>
      <w:autoSpaceDN w:val="0"/>
      <w:adjustRightInd w:val="0"/>
      <w:snapToGrid w:val="0"/>
      <w:jc w:val="center"/>
    </w:pPr>
    <w:rPr>
      <w:rFonts w:eastAsia="仿宋"/>
      <w:color w:val="4472C4" w:themeColor="accent1"/>
      <w14:textFill>
        <w14:solidFill>
          <w14:schemeClr w14:val="accent1"/>
        </w14:solidFill>
      </w14:textFill>
    </w:rPr>
  </w:style>
  <w:style w:type="character" w:customStyle="1" w:styleId="87">
    <w:name w:val="【表头】0 字符"/>
    <w:basedOn w:val="21"/>
    <w:link w:val="85"/>
    <w:qFormat/>
    <w:uiPriority w:val="0"/>
    <w:rPr>
      <w:rFonts w:eastAsia="仿宋"/>
      <w:b/>
      <w:kern w:val="2"/>
      <w:sz w:val="24"/>
      <w:szCs w:val="24"/>
    </w:rPr>
  </w:style>
  <w:style w:type="character" w:customStyle="1" w:styleId="88">
    <w:name w:val="【表中表】居中 字符"/>
    <w:basedOn w:val="21"/>
    <w:link w:val="86"/>
    <w:qFormat/>
    <w:uiPriority w:val="0"/>
    <w:rPr>
      <w:rFonts w:eastAsia="仿宋"/>
      <w:color w:val="4472C4" w:themeColor="accent1"/>
      <w:kern w:val="2"/>
      <w:sz w:val="21"/>
      <w:szCs w:val="24"/>
      <w14:textFill>
        <w14:solidFill>
          <w14:schemeClr w14:val="accent1"/>
        </w14:solidFill>
      </w14:textFill>
    </w:rPr>
  </w:style>
  <w:style w:type="paragraph" w:customStyle="1" w:styleId="89">
    <w:name w:val="p0"/>
    <w:basedOn w:val="1"/>
    <w:autoRedefine/>
    <w:qFormat/>
    <w:uiPriority w:val="0"/>
    <w:pPr>
      <w:widowControl/>
      <w:spacing w:line="500" w:lineRule="exact"/>
    </w:pPr>
    <w:rPr>
      <w:rFonts w:eastAsia="仿宋"/>
      <w:kern w:val="0"/>
      <w:sz w:val="20"/>
      <w:szCs w:val="21"/>
    </w:rPr>
  </w:style>
  <w:style w:type="paragraph" w:customStyle="1" w:styleId="90">
    <w:name w:val="[表中文字]"/>
    <w:basedOn w:val="1"/>
    <w:qFormat/>
    <w:uiPriority w:val="0"/>
    <w:pPr>
      <w:spacing w:before="60" w:after="60" w:line="500" w:lineRule="exact"/>
      <w:jc w:val="center"/>
    </w:pPr>
    <w:rPr>
      <w:rFonts w:eastAsia="仿宋_GB2312"/>
      <w:sz w:val="24"/>
    </w:rPr>
  </w:style>
  <w:style w:type="paragraph" w:customStyle="1" w:styleId="91">
    <w:name w:val="Default"/>
    <w:basedOn w:val="1"/>
    <w:next w:val="1"/>
    <w:link w:val="94"/>
    <w:qFormat/>
    <w:uiPriority w:val="99"/>
    <w:pPr>
      <w:widowControl/>
      <w:autoSpaceDE w:val="0"/>
      <w:autoSpaceDN w:val="0"/>
      <w:spacing w:line="360" w:lineRule="exact"/>
      <w:jc w:val="left"/>
    </w:pPr>
    <w:rPr>
      <w:rFonts w:ascii="Arial Black" w:hAnsi="Arial Black"/>
      <w:color w:val="000000"/>
      <w:sz w:val="24"/>
      <w:szCs w:val="20"/>
      <w:lang w:val="zh-CN" w:eastAsia="zh-CN"/>
    </w:rPr>
  </w:style>
  <w:style w:type="paragraph" w:customStyle="1" w:styleId="92">
    <w:name w:val="Normal (Web)1"/>
    <w:basedOn w:val="1"/>
    <w:next w:val="1"/>
    <w:qFormat/>
    <w:uiPriority w:val="0"/>
    <w:pPr>
      <w:widowControl/>
      <w:jc w:val="left"/>
    </w:pPr>
    <w:rPr>
      <w:rFonts w:ascii="宋体"/>
      <w:kern w:val="0"/>
      <w:sz w:val="24"/>
      <w:szCs w:val="21"/>
    </w:rPr>
  </w:style>
  <w:style w:type="paragraph" w:customStyle="1" w:styleId="93">
    <w:name w:val="表格标题"/>
    <w:basedOn w:val="17"/>
    <w:qFormat/>
    <w:uiPriority w:val="0"/>
    <w:pPr>
      <w:tabs>
        <w:tab w:val="left" w:pos="1800"/>
      </w:tabs>
      <w:overflowPunct w:val="0"/>
      <w:autoSpaceDE w:val="0"/>
      <w:autoSpaceDN w:val="0"/>
      <w:adjustRightInd w:val="0"/>
      <w:ind w:firstLine="0" w:firstLineChars="0"/>
      <w:jc w:val="center"/>
      <w:textAlignment w:val="baseline"/>
    </w:pPr>
    <w:rPr>
      <w:b/>
      <w:kern w:val="20"/>
      <w:szCs w:val="20"/>
      <w:lang w:val="zh-CN" w:eastAsia="zh-CN"/>
    </w:rPr>
  </w:style>
  <w:style w:type="character" w:customStyle="1" w:styleId="94">
    <w:name w:val="Default Char Char"/>
    <w:link w:val="91"/>
    <w:qFormat/>
    <w:uiPriority w:val="0"/>
    <w:rPr>
      <w:rFonts w:ascii="Arial Black" w:hAnsi="Arial Black"/>
      <w:color w:val="000000"/>
      <w:kern w:val="2"/>
      <w:sz w:val="24"/>
      <w:lang w:val="zh-CN" w:eastAsia="zh-CN"/>
    </w:rPr>
  </w:style>
  <w:style w:type="paragraph" w:customStyle="1" w:styleId="95">
    <w:name w:val="报告表正文"/>
    <w:basedOn w:val="1"/>
    <w:link w:val="96"/>
    <w:qFormat/>
    <w:uiPriority w:val="0"/>
    <w:pPr>
      <w:spacing w:line="360" w:lineRule="auto"/>
      <w:ind w:firstLine="420" w:firstLineChars="200"/>
    </w:pPr>
    <w:rPr>
      <w:sz w:val="24"/>
      <w:szCs w:val="22"/>
      <w:lang w:val="zh-CN"/>
    </w:rPr>
  </w:style>
  <w:style w:type="character" w:customStyle="1" w:styleId="96">
    <w:name w:val="报告表正文 Char"/>
    <w:link w:val="95"/>
    <w:qFormat/>
    <w:uiPriority w:val="0"/>
    <w:rPr>
      <w:kern w:val="2"/>
      <w:sz w:val="24"/>
      <w:szCs w:val="22"/>
      <w:lang w:val="zh-CN"/>
    </w:rPr>
  </w:style>
  <w:style w:type="character" w:customStyle="1" w:styleId="97">
    <w:name w:val="正文文本首行缩进 字符"/>
    <w:basedOn w:val="27"/>
    <w:link w:val="17"/>
    <w:qFormat/>
    <w:uiPriority w:val="0"/>
    <w:rPr>
      <w:kern w:val="2"/>
      <w:sz w:val="21"/>
      <w:szCs w:val="24"/>
    </w:rPr>
  </w:style>
  <w:style w:type="character" w:customStyle="1" w:styleId="98">
    <w:name w:val="NormalCharacter"/>
    <w:semiHidden/>
    <w:qFormat/>
    <w:uiPriority w:val="0"/>
    <w:rPr>
      <w:rFonts w:ascii="Times New Roman" w:hAnsi="Times New Roman" w:eastAsia="宋体" w:cs="Times New Roman"/>
      <w:kern w:val="2"/>
      <w:sz w:val="21"/>
      <w:szCs w:val="24"/>
      <w:lang w:val="en-US" w:eastAsia="zh-CN" w:bidi="ar-SA"/>
    </w:rPr>
  </w:style>
  <w:style w:type="paragraph" w:customStyle="1" w:styleId="99">
    <w:name w:val="11111"/>
    <w:basedOn w:val="1"/>
    <w:next w:val="1"/>
    <w:qFormat/>
    <w:uiPriority w:val="0"/>
    <w:pPr>
      <w:spacing w:line="360" w:lineRule="auto"/>
      <w:ind w:firstLine="200" w:firstLineChars="200"/>
    </w:pPr>
    <w:rPr>
      <w:rFonts w:ascii="宋体" w:hAnsi="宋体" w:cs="宋体"/>
      <w:sz w:val="24"/>
    </w:rPr>
  </w:style>
  <w:style w:type="paragraph" w:customStyle="1" w:styleId="100">
    <w:name w:val="！报告表正文"/>
    <w:basedOn w:val="1"/>
    <w:link w:val="101"/>
    <w:qFormat/>
    <w:uiPriority w:val="0"/>
    <w:pPr>
      <w:spacing w:line="360" w:lineRule="auto"/>
      <w:ind w:firstLine="200" w:firstLineChars="200"/>
    </w:pPr>
    <w:rPr>
      <w:kern w:val="0"/>
      <w:sz w:val="24"/>
    </w:rPr>
  </w:style>
  <w:style w:type="character" w:customStyle="1" w:styleId="101">
    <w:name w:val="！报告表正文 Char"/>
    <w:link w:val="100"/>
    <w:qFormat/>
    <w:uiPriority w:val="0"/>
    <w:rPr>
      <w:sz w:val="24"/>
      <w:szCs w:val="24"/>
    </w:rPr>
  </w:style>
  <w:style w:type="paragraph" w:customStyle="1" w:styleId="102">
    <w:name w:val="正文00"/>
    <w:basedOn w:val="1"/>
    <w:next w:val="1"/>
    <w:link w:val="103"/>
    <w:qFormat/>
    <w:uiPriority w:val="0"/>
    <w:pPr>
      <w:widowControl/>
      <w:spacing w:line="360" w:lineRule="auto"/>
      <w:ind w:firstLine="480" w:firstLineChars="200"/>
      <w:jc w:val="left"/>
    </w:pPr>
    <w:rPr>
      <w:rFonts w:cs="宋体"/>
      <w:kern w:val="0"/>
      <w:sz w:val="24"/>
      <w:szCs w:val="20"/>
    </w:rPr>
  </w:style>
  <w:style w:type="character" w:customStyle="1" w:styleId="103">
    <w:name w:val="正文00 Char"/>
    <w:link w:val="102"/>
    <w:qFormat/>
    <w:uiPriority w:val="0"/>
    <w:rPr>
      <w:rFonts w:cs="宋体"/>
      <w:sz w:val="24"/>
    </w:rPr>
  </w:style>
  <w:style w:type="paragraph" w:customStyle="1" w:styleId="104">
    <w:name w:val="a正文"/>
    <w:basedOn w:val="1"/>
    <w:link w:val="105"/>
    <w:qFormat/>
    <w:uiPriority w:val="0"/>
    <w:pPr>
      <w:spacing w:line="360" w:lineRule="auto"/>
      <w:ind w:firstLine="480" w:firstLineChars="200"/>
    </w:pPr>
    <w:rPr>
      <w:kern w:val="0"/>
      <w:szCs w:val="21"/>
    </w:rPr>
  </w:style>
  <w:style w:type="character" w:customStyle="1" w:styleId="105">
    <w:name w:val="a正文 Char"/>
    <w:link w:val="104"/>
    <w:qFormat/>
    <w:uiPriority w:val="0"/>
    <w:rPr>
      <w:sz w:val="21"/>
      <w:szCs w:val="21"/>
    </w:rPr>
  </w:style>
  <w:style w:type="paragraph" w:customStyle="1" w:styleId="106">
    <w:name w:val="设计表格"/>
    <w:basedOn w:val="1"/>
    <w:qFormat/>
    <w:uiPriority w:val="0"/>
    <w:pPr>
      <w:adjustRightInd w:val="0"/>
      <w:jc w:val="center"/>
    </w:pPr>
    <w:rPr>
      <w:kern w:val="0"/>
      <w:sz w:val="24"/>
    </w:rPr>
  </w:style>
  <w:style w:type="paragraph" w:customStyle="1" w:styleId="107">
    <w:name w:val="内容"/>
    <w:basedOn w:val="1"/>
    <w:link w:val="108"/>
    <w:qFormat/>
    <w:uiPriority w:val="0"/>
    <w:pPr>
      <w:spacing w:beforeLines="50" w:afterLines="50"/>
      <w:ind w:firstLine="200" w:firstLineChars="200"/>
    </w:pPr>
    <w:rPr>
      <w:color w:val="000000"/>
      <w:kern w:val="0"/>
      <w:sz w:val="24"/>
      <w:lang w:val="zh-CN" w:eastAsia="zh-CN"/>
    </w:rPr>
  </w:style>
  <w:style w:type="character" w:customStyle="1" w:styleId="108">
    <w:name w:val="内容 Char Char"/>
    <w:link w:val="107"/>
    <w:qFormat/>
    <w:locked/>
    <w:uiPriority w:val="0"/>
    <w:rPr>
      <w:color w:val="000000"/>
      <w:sz w:val="24"/>
      <w:szCs w:val="24"/>
      <w:lang w:val="zh-CN" w:eastAsia="zh-CN"/>
    </w:rPr>
  </w:style>
  <w:style w:type="paragraph" w:customStyle="1" w:styleId="109">
    <w:name w:val="Char Char Char Char Char Char Char2"/>
    <w:basedOn w:val="1"/>
    <w:qFormat/>
    <w:uiPriority w:val="0"/>
    <w:pPr>
      <w:snapToGrid w:val="0"/>
      <w:spacing w:line="360" w:lineRule="auto"/>
      <w:ind w:firstLine="529" w:firstLineChars="200"/>
    </w:pPr>
  </w:style>
  <w:style w:type="paragraph" w:customStyle="1" w:styleId="110">
    <w:name w:val="!报告表表格"/>
    <w:next w:val="1"/>
    <w:link w:val="111"/>
    <w:qFormat/>
    <w:uiPriority w:val="0"/>
    <w:pPr>
      <w:jc w:val="center"/>
    </w:pPr>
    <w:rPr>
      <w:rFonts w:ascii="Times New Roman" w:hAnsi="Times New Roman" w:eastAsia="宋体" w:cs="Times New Roman"/>
      <w:sz w:val="21"/>
      <w:lang w:val="en-US" w:eastAsia="zh-CN" w:bidi="ar-SA"/>
    </w:rPr>
  </w:style>
  <w:style w:type="character" w:customStyle="1" w:styleId="111">
    <w:name w:val="!报告表表格 Char"/>
    <w:link w:val="110"/>
    <w:qFormat/>
    <w:uiPriority w:val="0"/>
    <w:rPr>
      <w:sz w:val="21"/>
    </w:rPr>
  </w:style>
  <w:style w:type="character" w:customStyle="1" w:styleId="112">
    <w:name w:val="Default Char"/>
    <w:qFormat/>
    <w:uiPriority w:val="0"/>
    <w:rPr>
      <w:rFonts w:ascii="宋体" w:hAnsi="Calibri"/>
      <w:color w:val="000000"/>
      <w:sz w:val="24"/>
      <w:szCs w:val="24"/>
      <w:lang w:bidi="ar-SA"/>
    </w:rPr>
  </w:style>
  <w:style w:type="paragraph" w:customStyle="1" w:styleId="113">
    <w:name w:val="！表格标题"/>
    <w:basedOn w:val="100"/>
    <w:qFormat/>
    <w:uiPriority w:val="0"/>
    <w:pPr>
      <w:spacing w:before="50" w:beforeLines="50" w:line="240" w:lineRule="auto"/>
      <w:ind w:firstLine="0" w:firstLineChars="0"/>
      <w:jc w:val="center"/>
    </w:pPr>
    <w:rPr>
      <w:rFonts w:cs="宋体"/>
      <w:b/>
      <w:sz w:val="21"/>
      <w:szCs w:val="20"/>
    </w:rPr>
  </w:style>
  <w:style w:type="paragraph" w:customStyle="1" w:styleId="114">
    <w:name w:val="正文文本首行缩进 21"/>
    <w:basedOn w:val="6"/>
    <w:qFormat/>
    <w:locked/>
    <w:uiPriority w:val="0"/>
    <w:pPr>
      <w:ind w:firstLine="420" w:firstLineChars="200"/>
    </w:pPr>
  </w:style>
  <w:style w:type="paragraph" w:customStyle="1" w:styleId="115">
    <w:name w:val="环评的正文"/>
    <w:basedOn w:val="1"/>
    <w:next w:val="1"/>
    <w:qFormat/>
    <w:uiPriority w:val="0"/>
    <w:pPr>
      <w:widowControl/>
      <w:adjustRightInd w:val="0"/>
      <w:snapToGrid w:val="0"/>
      <w:spacing w:line="500" w:lineRule="exact"/>
      <w:ind w:firstLine="200" w:firstLineChars="200"/>
    </w:pPr>
    <w:rPr>
      <w:sz w:val="24"/>
    </w:rPr>
  </w:style>
  <w:style w:type="paragraph" w:customStyle="1" w:styleId="116">
    <w:name w:val="表中文字"/>
    <w:basedOn w:val="1"/>
    <w:link w:val="117"/>
    <w:qFormat/>
    <w:uiPriority w:val="0"/>
    <w:pPr>
      <w:jc w:val="center"/>
    </w:pPr>
    <w:rPr>
      <w:szCs w:val="20"/>
    </w:rPr>
  </w:style>
  <w:style w:type="character" w:customStyle="1" w:styleId="117">
    <w:name w:val="表中文字 Char"/>
    <w:link w:val="116"/>
    <w:qFormat/>
    <w:uiPriority w:val="0"/>
    <w:rPr>
      <w:kern w:val="2"/>
      <w:sz w:val="21"/>
    </w:rPr>
  </w:style>
  <w:style w:type="paragraph" w:customStyle="1" w:styleId="118">
    <w:name w:val="表格内容"/>
    <w:basedOn w:val="1"/>
    <w:link w:val="120"/>
    <w:qFormat/>
    <w:uiPriority w:val="0"/>
    <w:pPr>
      <w:ind w:left="-44" w:leftChars="-20" w:right="-65" w:rightChars="-27" w:hanging="4" w:hangingChars="2"/>
      <w:jc w:val="center"/>
    </w:pPr>
    <w:rPr>
      <w:rFonts w:ascii="宋体" w:hAnsi="宋体"/>
      <w:color w:val="000000"/>
    </w:rPr>
  </w:style>
  <w:style w:type="paragraph" w:customStyle="1" w:styleId="119">
    <w:name w:val="_Style 4"/>
    <w:basedOn w:val="1"/>
    <w:qFormat/>
    <w:uiPriority w:val="0"/>
  </w:style>
  <w:style w:type="character" w:customStyle="1" w:styleId="120">
    <w:name w:val="表格内容 Char"/>
    <w:link w:val="118"/>
    <w:qFormat/>
    <w:uiPriority w:val="0"/>
    <w:rPr>
      <w:rFonts w:ascii="宋体" w:hAnsi="宋体"/>
      <w:color w:val="000000"/>
      <w:kern w:val="2"/>
      <w:sz w:val="21"/>
      <w:szCs w:val="24"/>
    </w:rPr>
  </w:style>
  <w:style w:type="paragraph" w:customStyle="1" w:styleId="121">
    <w:name w:val="Table Text"/>
    <w:basedOn w:val="1"/>
    <w:semiHidden/>
    <w:qFormat/>
    <w:uiPriority w:val="0"/>
    <w:rPr>
      <w:rFonts w:ascii="宋体" w:hAnsi="宋体" w:cs="宋体"/>
      <w:sz w:val="24"/>
      <w:lang w:eastAsia="en-US"/>
    </w:rPr>
  </w:style>
  <w:style w:type="paragraph" w:customStyle="1" w:styleId="122">
    <w:name w:val="样式 MM正文 + 首行缩进:  2 字符 行距: 固定值 26 磅"/>
    <w:basedOn w:val="1"/>
    <w:qFormat/>
    <w:uiPriority w:val="0"/>
    <w:pPr>
      <w:widowControl/>
      <w:spacing w:line="520" w:lineRule="exact"/>
      <w:ind w:firstLine="480" w:firstLineChars="200"/>
    </w:pPr>
    <w:rPr>
      <w:rFonts w:ascii="宋体" w:hAnsi="宋体" w:cs="宋体"/>
      <w:kern w:val="0"/>
      <w:sz w:val="24"/>
    </w:rPr>
  </w:style>
  <w:style w:type="paragraph" w:styleId="123">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package" Target="embeddings/Microsoft_Visio___1.vsdx"/><Relationship Id="rId8" Type="http://schemas.openxmlformats.org/officeDocument/2006/relationships/image" Target="media/image2.png"/><Relationship Id="rId76" Type="http://schemas.openxmlformats.org/officeDocument/2006/relationships/fontTable" Target="fontTable.xml"/><Relationship Id="rId75" Type="http://schemas.openxmlformats.org/officeDocument/2006/relationships/customXml" Target="../customXml/item2.xml"/><Relationship Id="rId74" Type="http://schemas.openxmlformats.org/officeDocument/2006/relationships/customXml" Target="../customXml/item1.xml"/><Relationship Id="rId73" Type="http://schemas.openxmlformats.org/officeDocument/2006/relationships/image" Target="media/image59.jpe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image" Target="media/image1.png"/><Relationship Id="rId69" Type="http://schemas.openxmlformats.org/officeDocument/2006/relationships/image" Target="media/image55.png"/><Relationship Id="rId68" Type="http://schemas.openxmlformats.org/officeDocument/2006/relationships/image" Target="media/image54.emf"/><Relationship Id="rId67" Type="http://schemas.openxmlformats.org/officeDocument/2006/relationships/image" Target="media/image53.emf"/><Relationship Id="rId66" Type="http://schemas.openxmlformats.org/officeDocument/2006/relationships/image" Target="media/image52.emf"/><Relationship Id="rId65" Type="http://schemas.openxmlformats.org/officeDocument/2006/relationships/image" Target="media/image51.emf"/><Relationship Id="rId64" Type="http://schemas.openxmlformats.org/officeDocument/2006/relationships/image" Target="media/image50.jpeg"/><Relationship Id="rId63" Type="http://schemas.openxmlformats.org/officeDocument/2006/relationships/image" Target="media/image49.emf"/><Relationship Id="rId62" Type="http://schemas.openxmlformats.org/officeDocument/2006/relationships/image" Target="media/image48.emf"/><Relationship Id="rId61" Type="http://schemas.openxmlformats.org/officeDocument/2006/relationships/image" Target="media/image47.jpeg"/><Relationship Id="rId60" Type="http://schemas.openxmlformats.org/officeDocument/2006/relationships/image" Target="media/image46.png"/><Relationship Id="rId6" Type="http://schemas.openxmlformats.org/officeDocument/2006/relationships/theme" Target="theme/theme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emf"/><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wmf"/><Relationship Id="rId32" Type="http://schemas.openxmlformats.org/officeDocument/2006/relationships/oleObject" Target="embeddings/oleObject6.bin"/><Relationship Id="rId31" Type="http://schemas.openxmlformats.org/officeDocument/2006/relationships/image" Target="media/image18.wmf"/><Relationship Id="rId30" Type="http://schemas.openxmlformats.org/officeDocument/2006/relationships/oleObject" Target="embeddings/oleObject5.bin"/><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oleObject" Target="embeddings/oleObject4.bin"/><Relationship Id="rId27" Type="http://schemas.openxmlformats.org/officeDocument/2006/relationships/image" Target="media/image16.wmf"/><Relationship Id="rId26" Type="http://schemas.openxmlformats.org/officeDocument/2006/relationships/oleObject" Target="embeddings/oleObject3.bin"/><Relationship Id="rId25" Type="http://schemas.openxmlformats.org/officeDocument/2006/relationships/image" Target="media/image15.wmf"/><Relationship Id="rId24" Type="http://schemas.openxmlformats.org/officeDocument/2006/relationships/oleObject" Target="embeddings/oleObject2.bin"/><Relationship Id="rId23" Type="http://schemas.openxmlformats.org/officeDocument/2006/relationships/image" Target="media/image14.wmf"/><Relationship Id="rId22" Type="http://schemas.openxmlformats.org/officeDocument/2006/relationships/oleObject" Target="embeddings/oleObject1.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file:///C:\Users\ADMINI~1\AppData\Local\Temp\ksohtml7248\wps1.jpg" TargetMode="External"/><Relationship Id="rId16" Type="http://schemas.openxmlformats.org/officeDocument/2006/relationships/image" Target="media/image9.jpeg"/><Relationship Id="rId15" Type="http://schemas.openxmlformats.org/officeDocument/2006/relationships/image" Target="media/image8.wmf"/><Relationship Id="rId14" Type="http://schemas.openxmlformats.org/officeDocument/2006/relationships/image" Target="media/image7.wmf"/><Relationship Id="rId13" Type="http://schemas.openxmlformats.org/officeDocument/2006/relationships/image" Target="media/image6.png"/><Relationship Id="rId12" Type="http://schemas.openxmlformats.org/officeDocument/2006/relationships/image" Target="media/image5.emf"/><Relationship Id="rId11" Type="http://schemas.openxmlformats.org/officeDocument/2006/relationships/image" Target="media/image4.png"/><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D24438-8EAF-466A-B906-61C7429537D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99</Pages>
  <Words>380</Words>
  <Characters>428</Characters>
  <Lines>3148</Lines>
  <Paragraphs>2553</Paragraphs>
  <TotalTime>5643</TotalTime>
  <ScaleCrop>false</ScaleCrop>
  <LinksUpToDate>false</LinksUpToDate>
  <CharactersWithSpaces>593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2024-01-09T02:24:00Z</dcterms:created>
  <dc:creator>Administrator</dc:creator>
  <cp:lastModifiedBy>阳光下，泡沫</cp:lastModifiedBy>
  <cp:lastPrinted>2026-01-27T01:19:00Z</cp:lastPrinted>
  <dcterms:modified xsi:type="dcterms:W3CDTF">2026-06-23T05:42:19Z</dcterms:modified>
  <cp:revision>1680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KSOTemplateDocerSaveRecord">
    <vt:lpwstr>eyJoZGlkIjoiNWI3MjVkMmUzZWFkMGE4NjQzM2IwY2QxYjM0N2Q2NGYiLCJ1c2VySWQiOiI0MzIxNDY5OTMifQ==</vt:lpwstr>
  </property>
  <property fmtid="{D5CDD505-2E9C-101B-9397-08002B2CF9AE}" pid="4" name="ICV">
    <vt:lpwstr>C576AA879E5E4BCE98B66CFFD7C98204_12</vt:lpwstr>
  </property>
</Properties>
</file>