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4277F">
      <w:pPr>
        <w:spacing w:before="480" w:after="480" w:line="288" w:lineRule="auto"/>
        <w:ind w:left="0"/>
        <w:jc w:val="center"/>
        <w:rPr>
          <w:rFonts w:hint="eastAsia" w:ascii="仿宋_GB2312" w:hAnsi="仿宋_GB2312" w:eastAsia="仿宋_GB2312" w:cs="仿宋_GB2312"/>
          <w:b w:val="0"/>
          <w:bCs/>
          <w:sz w:val="32"/>
          <w:szCs w:val="32"/>
        </w:rPr>
      </w:pPr>
    </w:p>
    <w:p w14:paraId="750FE6A0">
      <w:pPr>
        <w:spacing w:before="480" w:after="480" w:line="288" w:lineRule="auto"/>
        <w:ind w:left="0"/>
        <w:jc w:val="center"/>
        <w:rPr>
          <w:rFonts w:hint="eastAsia" w:ascii="微软雅黑" w:hAnsi="微软雅黑" w:eastAsia="微软雅黑" w:cs="微软雅黑"/>
          <w:b/>
          <w:bCs w:val="0"/>
          <w:color w:val="FF0000"/>
          <w:sz w:val="60"/>
          <w:szCs w:val="80"/>
          <w:lang w:val="en-US" w:eastAsia="zh-CN"/>
        </w:rPr>
      </w:pPr>
      <w:r>
        <w:rPr>
          <w:rFonts w:hint="eastAsia" w:ascii="微软雅黑" w:hAnsi="微软雅黑" w:eastAsia="微软雅黑" w:cs="微软雅黑"/>
          <w:b/>
          <w:bCs w:val="0"/>
          <w:color w:val="FF0000"/>
          <w:sz w:val="60"/>
          <w:szCs w:val="80"/>
          <w:lang w:val="en-US" w:eastAsia="zh-CN"/>
        </w:rPr>
        <w:t>伊春市伊美生态环境局文件</w:t>
      </w:r>
    </w:p>
    <w:p w14:paraId="4A8ECC9F">
      <w:pPr>
        <w:pStyle w:val="2"/>
        <w:rPr>
          <w:rFonts w:hint="eastAsia"/>
        </w:rPr>
      </w:pPr>
      <w:bookmarkStart w:id="6" w:name="_GoBack"/>
      <w:bookmarkEnd w:id="6"/>
    </w:p>
    <w:p w14:paraId="1ED16D29">
      <w:pPr>
        <w:spacing w:before="480" w:after="480" w:line="288" w:lineRule="auto"/>
        <w:ind w:left="0"/>
        <w:jc w:val="center"/>
        <w:rPr>
          <w:rFonts w:hint="eastAsia" w:ascii="仿宋_GB2312" w:hAnsi="仿宋_GB2312" w:eastAsia="仿宋_GB2312" w:cs="仿宋_GB2312"/>
          <w:b w:val="0"/>
          <w:bCs/>
          <w:color w:val="FF0000"/>
          <w:sz w:val="32"/>
          <w:szCs w:val="32"/>
          <w:lang w:val="en-US" w:eastAsia="zh-CN"/>
        </w:rPr>
      </w:pPr>
      <w:r>
        <w:rPr>
          <w:rFonts w:hint="eastAsia" w:ascii="仿宋_GB2312" w:hAnsi="仿宋_GB2312" w:eastAsia="仿宋_GB2312" w:cs="仿宋_GB2312"/>
          <w:b w:val="0"/>
          <w:bCs/>
          <w:color w:val="auto"/>
          <w:sz w:val="32"/>
          <w:szCs w:val="32"/>
        </w:rPr>
        <w:t>伊美环建审〔2026〕003号</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FF0000"/>
          <w:sz w:val="32"/>
          <w:szCs w:val="32"/>
          <w:lang w:val="en-US" w:eastAsia="zh-CN"/>
        </w:rPr>
        <w:t xml:space="preserve">  </w:t>
      </w:r>
    </w:p>
    <w:p w14:paraId="56C7136C">
      <w:pPr>
        <w:pStyle w:val="2"/>
        <w:rPr>
          <w:rFonts w:hint="default"/>
          <w:strike/>
          <w:dstrike w:val="0"/>
          <w:color w:val="FF0000"/>
          <w:lang w:val="en-US" w:eastAsia="zh-CN"/>
        </w:rPr>
      </w:pPr>
      <w:r>
        <w:rPr>
          <w:rFonts w:hint="eastAsia" w:ascii="仿宋_GB2312" w:hAnsi="仿宋_GB2312" w:eastAsia="仿宋_GB2312" w:cs="仿宋_GB2312"/>
          <w:b w:val="0"/>
          <w:bCs/>
          <w:strike/>
          <w:dstrike w:val="0"/>
          <w:color w:val="FF0000"/>
          <w:sz w:val="32"/>
          <w:szCs w:val="32"/>
          <w:lang w:val="en-US" w:eastAsia="zh-CN"/>
        </w:rPr>
        <w:t xml:space="preserve">                                                                </w:t>
      </w:r>
    </w:p>
    <w:p w14:paraId="1A65DA63">
      <w:pPr>
        <w:pStyle w:val="2"/>
        <w:rPr>
          <w:rFonts w:hint="default" w:eastAsia="仿宋_GB2312"/>
          <w:u w:val="single"/>
          <w:lang w:val="en-US" w:eastAsia="zh-CN"/>
        </w:rPr>
      </w:pPr>
      <w:r>
        <w:rPr>
          <w:rFonts w:hint="eastAsia" w:ascii="仿宋_GB2312" w:hAnsi="仿宋_GB2312" w:eastAsia="仿宋_GB2312" w:cs="仿宋_GB2312"/>
          <w:b w:val="0"/>
          <w:bCs/>
          <w:sz w:val="32"/>
          <w:szCs w:val="32"/>
          <w:u w:val="none"/>
          <w:lang w:val="en-US" w:eastAsia="zh-CN"/>
        </w:rPr>
        <w:t xml:space="preserve">  </w:t>
      </w:r>
      <w:r>
        <w:rPr>
          <w:rFonts w:hint="eastAsia" w:ascii="仿宋_GB2312" w:hAnsi="仿宋_GB2312" w:eastAsia="仿宋_GB2312" w:cs="仿宋_GB2312"/>
          <w:b w:val="0"/>
          <w:bCs/>
          <w:sz w:val="32"/>
          <w:szCs w:val="32"/>
          <w:u w:val="single"/>
          <w:lang w:val="en-US" w:eastAsia="zh-CN"/>
        </w:rPr>
        <w:t xml:space="preserve"> </w:t>
      </w:r>
    </w:p>
    <w:p w14:paraId="29EC311F">
      <w:pPr>
        <w:spacing w:before="120" w:after="120" w:line="288" w:lineRule="auto"/>
        <w:ind w:left="0"/>
        <w:jc w:val="center"/>
        <w:rPr>
          <w:rFonts w:hint="eastAsia" w:ascii="黑体" w:hAnsi="黑体" w:eastAsia="黑体" w:cs="黑体"/>
          <w:sz w:val="44"/>
          <w:szCs w:val="44"/>
        </w:rPr>
      </w:pPr>
      <w:r>
        <w:rPr>
          <w:rFonts w:hint="eastAsia" w:ascii="黑体" w:hAnsi="黑体" w:eastAsia="黑体" w:cs="黑体"/>
          <w:sz w:val="44"/>
          <w:szCs w:val="44"/>
        </w:rPr>
        <w:t>关于伊春市交通路桥建筑有限责任公司建设项目环境影响报告表的批复</w:t>
      </w:r>
    </w:p>
    <w:p w14:paraId="79AE45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伊春市交通路桥建筑有限责任公司：</w:t>
      </w:r>
    </w:p>
    <w:p w14:paraId="5E16C5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你单位报送的由黑龙江山人环保科技有限公司编制的《伊春市交通路桥建筑有限责任公司建设项目环境影响报告表》及相关材料收悉。经审查研究，现批复如下：</w:t>
      </w:r>
    </w:p>
    <w:p w14:paraId="1BB1DD4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bookmarkStart w:id="0" w:name="heading_0"/>
      <w:r>
        <w:rPr>
          <w:rFonts w:hint="eastAsia" w:ascii="仿宋_GB2312" w:hAnsi="仿宋_GB2312" w:eastAsia="仿宋_GB2312" w:cs="仿宋_GB2312"/>
          <w:b/>
          <w:bCs/>
          <w:kern w:val="2"/>
          <w:sz w:val="32"/>
          <w:szCs w:val="32"/>
          <w:lang w:val="en-US" w:eastAsia="zh-CN" w:bidi="ar-SA"/>
        </w:rPr>
        <w:t>一、项目基本情况</w:t>
      </w:r>
      <w:bookmarkEnd w:id="0"/>
    </w:p>
    <w:p w14:paraId="0A911AE4">
      <w:pPr>
        <w:pStyle w:val="6"/>
        <w:keepNext w:val="0"/>
        <w:keepLines w:val="0"/>
        <w:pageBreakBefore w:val="0"/>
        <w:widowControl w:val="0"/>
        <w:kinsoku/>
        <w:wordWrap w:val="0"/>
        <w:overflowPunct/>
        <w:topLinePunct w:val="0"/>
        <w:autoSpaceDE/>
        <w:autoSpaceDN/>
        <w:bidi w:val="0"/>
        <w:adjustRightInd w:val="0"/>
        <w:snapToGrid/>
        <w:spacing w:line="360" w:lineRule="auto"/>
        <w:ind w:left="0" w:right="113"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伊春市交通路桥建筑有限责任公司建设项目，建设性质为改建、扩建，建设地点位于伊春市伊美区伊敏林场（地理坐标：东经 128°57′9.00″，北纬 47°42′19.94″）。项目总投资650万元，其中环保投资15万元，占总投资2.3%。项目在现有厂区内实施改扩建，主要建设内容：新设1条沥青混凝土生产线，设备型号为LR3015型沥青混合料厂拌热再生组合设备，年产沥青混凝土5万t/a。拆除现有厂区的设备，保留利旧的设备有导热油炉、沥青罐6座、40t油罐1座，利用现有6000</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堆料场。新建初期雨水池1座；劳动定员 10 人，年工作120天（6—9月），日生产10小时。</w:t>
      </w:r>
    </w:p>
    <w:p w14:paraId="1280C0D1">
      <w:pPr>
        <w:pStyle w:val="6"/>
        <w:spacing w:line="360" w:lineRule="auto"/>
        <w:ind w:lef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经审查，该项目符合国家产业政策，符合《黑龙江省大气污染防治条例》《伊春市国土空间总体规划（2021—2035年）》及 “三线一单”生态环境分区管控要求，选址可行。在全面落实《报告表》提出的各项污染防治和环境风险防范措施、确保污染物稳定达标排放的前提下，从环境保护角度，我局原则同意该项目按照《报告表》所列性质、规模、工艺、地点和环保措施进行建设。</w:t>
      </w:r>
    </w:p>
    <w:p w14:paraId="41A53D2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bookmarkStart w:id="1" w:name="heading_1"/>
      <w:r>
        <w:rPr>
          <w:rFonts w:hint="eastAsia" w:ascii="仿宋_GB2312" w:hAnsi="仿宋_GB2312" w:eastAsia="仿宋_GB2312" w:cs="仿宋_GB2312"/>
          <w:b/>
          <w:bCs/>
          <w:kern w:val="2"/>
          <w:sz w:val="32"/>
          <w:szCs w:val="32"/>
          <w:lang w:val="en-US" w:eastAsia="zh-CN" w:bidi="ar-SA"/>
        </w:rPr>
        <w:t>二、主要环境保护要求</w:t>
      </w:r>
      <w:bookmarkEnd w:id="1"/>
    </w:p>
    <w:p w14:paraId="5B756D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bookmarkStart w:id="2" w:name="heading_2"/>
      <w:r>
        <w:rPr>
          <w:rFonts w:hint="eastAsia" w:ascii="仿宋_GB2312" w:hAnsi="仿宋_GB2312" w:eastAsia="仿宋_GB2312" w:cs="仿宋_GB2312"/>
          <w:kern w:val="2"/>
          <w:sz w:val="32"/>
          <w:szCs w:val="32"/>
          <w:lang w:val="en-US" w:eastAsia="zh-CN" w:bidi="ar-SA"/>
        </w:rPr>
        <w:t>（一）施工期环境保护要求</w:t>
      </w:r>
      <w:bookmarkEnd w:id="2"/>
    </w:p>
    <w:p w14:paraId="080921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bookmarkStart w:id="3" w:name="heading_3"/>
      <w:r>
        <w:rPr>
          <w:rFonts w:hint="eastAsia" w:ascii="仿宋_GB2312" w:hAnsi="仿宋_GB2312" w:eastAsia="仿宋_GB2312" w:cs="仿宋_GB2312"/>
          <w:kern w:val="2"/>
          <w:sz w:val="32"/>
          <w:szCs w:val="32"/>
          <w:lang w:val="en-US" w:eastAsia="zh-CN" w:bidi="ar-SA"/>
        </w:rPr>
        <w:t>1. 施工期大气污染防治</w:t>
      </w:r>
    </w:p>
    <w:p w14:paraId="76ED7D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在施工作业现场设置围挡。容易产生粉尘的施工过程应洒水作业，使作业面保持一定的湿度；运输车辆加蓬盖，且出装、卸场地前应先冲洗干净，减少车轮、底盘等携带泥土散落路面；施工过程中，应严禁将废弃的建筑材料作为燃料燃烧。</w:t>
      </w:r>
    </w:p>
    <w:p w14:paraId="63C934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 施工期水污染防治</w:t>
      </w:r>
    </w:p>
    <w:p w14:paraId="45B653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施工废水经沉淀池处理后回用于洒水降尘，不外排；施工人员生活污水排入防渗旱厕，定期清掏，不得随意排放污染水体。</w:t>
      </w:r>
    </w:p>
    <w:p w14:paraId="025896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 施工期噪声污染防治</w:t>
      </w:r>
    </w:p>
    <w:p w14:paraId="7C1E0A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合理安排施工时间，避免施工噪声扰民。选用低噪声机械、设备，从声源上对噪声进行控制，淘汰高噪声施工机械，推广使用低噪声的施工机械，产生噪声的施工设备加强维护和维修工作，夜间22时至次日6时禁止施工。施工期产生的噪声满足《建筑施工噪声排放标准》（GB12523-2025）。</w:t>
      </w:r>
    </w:p>
    <w:p w14:paraId="098071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 施工期固体废物处置</w:t>
      </w:r>
    </w:p>
    <w:p w14:paraId="350D72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拆除设备外售综合利用，废弃包装材料外卖综合利用，生活垃圾委托市政部门处理。</w:t>
      </w:r>
    </w:p>
    <w:p w14:paraId="10DDA2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（二）运营期环境保护要求</w:t>
      </w:r>
      <w:bookmarkEnd w:id="3"/>
    </w:p>
    <w:p w14:paraId="5FD653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1.大气污染防治</w:t>
      </w:r>
    </w:p>
    <w:p w14:paraId="5989BE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碎石筛分、烘干废气、热料仓落料废气、矿粉筒仓装卸废气、冷料仓上料废气、燃烧器烟气经重力沉降 + 布袋除尘器处理后，由 15m 高排气筒（DA001）排放，除尘效率 99%，颗粒物、SO₂、NOₓ执行《大气污染物综合排放标准》（GB16297-1996）表 2 二级标准。</w:t>
      </w:r>
    </w:p>
    <w:p w14:paraId="310D7F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导热油炉采用低氮燃烧 + 布袋除尘，烟气经 15m 高排气筒（DA002）排放，颗粒物、SO₂、NOₓ、烟气黑度执行《锅炉大气污染物排放标准》（GB13271-2014）表 2 燃油锅炉标准。</w:t>
      </w:r>
    </w:p>
    <w:p w14:paraId="2DFE75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沥青混凝土拌和、沥青储罐处产生的沥青烟气、苯并[a]芘和非甲烷总烃，在搅拌机出料口处进行负压集气（收集效率90%），沥青在密闭储罐中储存过程中产生的烟气以及出料产生的烟气经活性炭吸附（处理效率95%）处理后，经15m高排气筒（DA001）排放，满足执行《大气污染物综合排放标准》（GB16297-1996）表 2 二级标准。</w:t>
      </w:r>
    </w:p>
    <w:p w14:paraId="2B56C5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厂界/无组织粉尘、挥发性有机物，骨料堆场利用不低于堆放物高度（2.5m）的严密围挡,并采用定期洒水降尘，降低装载落差，密封输送设备，避免大风天气作业等，确保满足《大气污染物综合排放标准》(GB16297- 1996)表2中二级排放标准。</w:t>
      </w:r>
    </w:p>
    <w:p w14:paraId="72C51C4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水污染防治</w:t>
      </w:r>
    </w:p>
    <w:p w14:paraId="10968D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设备及车辆冲洗废水、初期雨水经隔油沉淀池处理后全部回用于厂区洒水降尘，生产废水不外排。生活污水排入防渗旱厕，定期清掏外运堆肥，不排入地表水体。办公室、厂区地面简单防渗区，一般硬化处理；危废贮存点、沥青储罐区、沥青混凝土搅拌区域作为重点防渗区域，需满足防渗层为至少1米厚粘土层(渗透系数≤</w:t>
      </w:r>
      <w:r>
        <w:rPr>
          <w:rFonts w:hint="default" w:ascii="仿宋_GB2312" w:hAnsi="仿宋_GB2312" w:eastAsia="仿宋_GB2312" w:cs="仿宋_GB2312"/>
          <w:kern w:val="2"/>
          <w:sz w:val="32"/>
          <w:szCs w:val="32"/>
          <w:lang w:val="en-US" w:eastAsia="zh-CN" w:bidi="ar-SA"/>
        </w:rPr>
        <w:t>10⁻⁷</w:t>
      </w:r>
      <w:r>
        <w:rPr>
          <w:rFonts w:hint="eastAsia" w:ascii="仿宋_GB2312" w:hAnsi="仿宋_GB2312" w:eastAsia="仿宋_GB2312" w:cs="仿宋_GB2312"/>
          <w:kern w:val="2"/>
          <w:sz w:val="32"/>
          <w:szCs w:val="32"/>
          <w:lang w:val="en-US" w:eastAsia="zh-CN" w:bidi="ar-SA"/>
        </w:rPr>
        <w:t>厘米/秒)，或2毫米厚高密度聚乙烯，或至少2毫米厚的其它人工材料，渗透系数≤</w:t>
      </w:r>
      <w:r>
        <w:rPr>
          <w:rFonts w:hint="default" w:ascii="仿宋_GB2312" w:hAnsi="仿宋_GB2312" w:eastAsia="仿宋_GB2312" w:cs="仿宋_GB2312"/>
          <w:kern w:val="2"/>
          <w:sz w:val="32"/>
          <w:szCs w:val="32"/>
          <w:lang w:val="en-US" w:eastAsia="zh-CN" w:bidi="ar-SA"/>
        </w:rPr>
        <w:t>10⁻¹⁰</w:t>
      </w:r>
      <w:r>
        <w:rPr>
          <w:rFonts w:hint="eastAsia" w:ascii="仿宋_GB2312" w:hAnsi="仿宋_GB2312" w:eastAsia="仿宋_GB2312" w:cs="仿宋_GB2312"/>
          <w:kern w:val="2"/>
          <w:sz w:val="32"/>
          <w:szCs w:val="32"/>
          <w:lang w:val="en-US" w:eastAsia="zh-CN" w:bidi="ar-SA"/>
        </w:rPr>
        <w:t>厘米/秒。</w:t>
      </w:r>
    </w:p>
    <w:p w14:paraId="4EB907F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噪声污染防治</w:t>
      </w:r>
    </w:p>
    <w:p w14:paraId="425EF2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选用低噪声设备，高噪声设备采取基础减振、厂房隔声、合理布局等措施；运输车辆限速行驶、禁止鸣笛。厂界噪声执行《工业企业厂界环境噪声排放标准》（GB12348-2008）2 类标准，昼间≤60dB (A)。</w:t>
      </w:r>
    </w:p>
    <w:p w14:paraId="3BE5D60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固体废物处置</w:t>
      </w:r>
    </w:p>
    <w:p w14:paraId="29C81E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xml:space="preserve">除尘装置收集粉尘回收后用于生产；不合格石料返回生产厂家；废布袋由市政环卫部门处理；废活性炭、废导热油、隔油池油污分别使用专用容器装存，暂存于危废贮存点，委托有资质单位进行处理。 </w:t>
      </w:r>
    </w:p>
    <w:p w14:paraId="0E5FD34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环境风险防范</w:t>
      </w:r>
    </w:p>
    <w:p w14:paraId="62D8C0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xml:space="preserve">储罐建设围堰，地面硬化、防渗处理；天然气汽车接驳和储罐区设置灭火器、消防沙等消防器材；安排专人对储罐进行定期检修及管理，做到责任到人，加强安全检查值班制度的落实，发现问题及时汇报；员工熟练掌握站内各种设备的技术性能和使用方法；编制突发环境事件应急预案。 </w:t>
      </w:r>
    </w:p>
    <w:p w14:paraId="24F6316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现有工程以新带老整改要求</w:t>
      </w:r>
    </w:p>
    <w:p w14:paraId="1B78AB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生产废水经隔油沉淀处理后回用；原料堆场设置不低于 2.5m 高严密围挡，强化洒水抑尘；新建初期雨水收集池，初期雨水处理后回用；完善沥青烟处理系统，加装活性炭吸附装置；主燃烧器使用柴油为燃料，禁止使用高污染燃料。</w:t>
      </w:r>
    </w:p>
    <w:p w14:paraId="1DAC4F6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环境管理与监测</w:t>
      </w:r>
    </w:p>
    <w:p w14:paraId="5B9673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建立环保管理制度，明确环保责任人，确保污染治理设施正常运行。按照《报告表》及排污许可要求制定监测方案，定期开展监测。本项目属于排污许可简化管理，项目投产前依法申领排污许可证，严格按证排污。</w:t>
      </w:r>
    </w:p>
    <w:p w14:paraId="73EA38C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kern w:val="2"/>
          <w:sz w:val="32"/>
          <w:szCs w:val="32"/>
          <w:lang w:val="en-US" w:eastAsia="zh-CN" w:bidi="ar-SA"/>
        </w:rPr>
      </w:pPr>
      <w:bookmarkStart w:id="4" w:name="heading_4"/>
      <w:r>
        <w:rPr>
          <w:rFonts w:hint="eastAsia" w:ascii="仿宋_GB2312" w:hAnsi="仿宋_GB2312" w:eastAsia="仿宋_GB2312" w:cs="仿宋_GB2312"/>
          <w:b/>
          <w:bCs/>
          <w:kern w:val="2"/>
          <w:sz w:val="32"/>
          <w:szCs w:val="32"/>
          <w:lang w:val="en-US" w:eastAsia="zh-CN" w:bidi="ar-SA"/>
        </w:rPr>
        <w:t>三、“三同时” 及验收管理</w:t>
      </w:r>
      <w:bookmarkEnd w:id="4"/>
    </w:p>
    <w:p w14:paraId="308C55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项目必须严格执行环境保护设施与主体工程同时设计、同时施工、同时投产使用的 “三同时” 制度。项目建成后，按规定开展竣工环境保护验收，验收合格、取得排污许可证后方可正式投入生产。</w:t>
      </w:r>
    </w:p>
    <w:p w14:paraId="00BF81B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bookmarkStart w:id="5" w:name="heading_5"/>
      <w:r>
        <w:rPr>
          <w:rFonts w:hint="eastAsia" w:ascii="仿宋_GB2312" w:hAnsi="仿宋_GB2312" w:eastAsia="仿宋_GB2312" w:cs="仿宋_GB2312"/>
          <w:b/>
          <w:bCs/>
          <w:kern w:val="2"/>
          <w:sz w:val="32"/>
          <w:szCs w:val="32"/>
          <w:lang w:val="en-US" w:eastAsia="zh-CN" w:bidi="ar-SA"/>
        </w:rPr>
        <w:t>四、其他事项</w:t>
      </w:r>
      <w:bookmarkEnd w:id="5"/>
    </w:p>
    <w:p w14:paraId="1645CC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批复仅限于《报告表》确定的建设内容。项目性质、规模、地点、生产工艺、环保措施等发生重大变动的，须重新报批环境影响评价文件。本批复自印发之日起5年内有效；逾期未开工建设的，须报我局重新审核。项目建设及运营应主动接受社会监督。</w:t>
      </w:r>
    </w:p>
    <w:p w14:paraId="53D607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kern w:val="2"/>
          <w:sz w:val="32"/>
          <w:szCs w:val="32"/>
          <w:lang w:val="en-US" w:eastAsia="zh-CN" w:bidi="ar-SA"/>
        </w:rPr>
      </w:pPr>
    </w:p>
    <w:p w14:paraId="54ED6E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伊美生态环境局</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2026 年5月28日</w:t>
      </w:r>
    </w:p>
    <w:p w14:paraId="19C0530E">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仿宋_GB2312" w:hAnsi="仿宋_GB2312" w:eastAsia="仿宋_GB2312" w:cs="仿宋_GB2312"/>
          <w:color w:val="auto"/>
          <w:sz w:val="32"/>
          <w:szCs w:val="32"/>
        </w:rPr>
      </w:pPr>
    </w:p>
    <w:p w14:paraId="47C6984A">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仿宋_GB2312" w:hAnsi="仿宋_GB2312" w:eastAsia="仿宋_GB2312" w:cs="仿宋_GB2312"/>
          <w:color w:val="auto"/>
          <w:sz w:val="32"/>
          <w:szCs w:val="32"/>
        </w:rPr>
      </w:pPr>
    </w:p>
    <w:p w14:paraId="7110DB35">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仿宋_GB2312" w:hAnsi="仿宋_GB2312" w:eastAsia="仿宋_GB2312" w:cs="仿宋_GB2312"/>
          <w:color w:val="auto"/>
          <w:sz w:val="32"/>
          <w:szCs w:val="32"/>
        </w:rPr>
      </w:pPr>
    </w:p>
    <w:p w14:paraId="0535DC6D">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仿宋_GB2312" w:hAnsi="仿宋_GB2312" w:eastAsia="仿宋_GB2312" w:cs="仿宋_GB2312"/>
          <w:color w:val="auto"/>
          <w:sz w:val="32"/>
          <w:szCs w:val="32"/>
        </w:rPr>
      </w:pPr>
    </w:p>
    <w:p w14:paraId="32506753">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仿宋_GB2312" w:hAnsi="仿宋_GB2312" w:eastAsia="仿宋_GB2312" w:cs="仿宋_GB2312"/>
          <w:color w:val="auto"/>
          <w:sz w:val="32"/>
          <w:szCs w:val="32"/>
        </w:rPr>
      </w:pPr>
    </w:p>
    <w:p w14:paraId="6CC354F9">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仿宋_GB2312" w:hAnsi="仿宋_GB2312" w:eastAsia="仿宋_GB2312" w:cs="仿宋_GB2312"/>
          <w:color w:val="auto"/>
          <w:sz w:val="32"/>
          <w:szCs w:val="32"/>
        </w:rPr>
      </w:pPr>
    </w:p>
    <w:p w14:paraId="3B3BEDC9">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仿宋_GB2312" w:hAnsi="仿宋_GB2312" w:eastAsia="仿宋_GB2312" w:cs="仿宋_GB2312"/>
          <w:color w:val="auto"/>
          <w:sz w:val="32"/>
          <w:szCs w:val="32"/>
        </w:rPr>
      </w:pPr>
    </w:p>
    <w:p w14:paraId="0C4E3A33">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仿宋_GB2312" w:hAnsi="仿宋_GB2312" w:eastAsia="仿宋_GB2312" w:cs="仿宋_GB2312"/>
          <w:color w:val="auto"/>
          <w:sz w:val="32"/>
          <w:szCs w:val="32"/>
        </w:rPr>
      </w:pPr>
    </w:p>
    <w:p w14:paraId="389463ED">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主题词：改扩建</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沥青混凝土生产线</w:t>
      </w:r>
      <w:r>
        <w:rPr>
          <w:rFonts w:hint="eastAsia" w:ascii="仿宋" w:hAnsi="仿宋" w:eastAsia="仿宋" w:cs="仿宋"/>
          <w:i w:val="0"/>
          <w:iCs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color w:val="auto"/>
          <w:sz w:val="32"/>
          <w:szCs w:val="32"/>
        </w:rPr>
        <w:t>报告表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批复 </w:t>
      </w:r>
    </w:p>
    <w:p w14:paraId="7BE6D6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pict>
          <v:line id="1026" o:spid="_x0000_s1026" o:spt="20" style="position:absolute;left:0pt;margin-left:-1.4pt;margin-top:1.5pt;height:0pt;width:459pt;z-index:251659264;mso-width-relative:page;mso-height-relative:page;" filled="f" stroked="t" coordsize="21600,21600">
            <v:path arrowok="t"/>
            <v:fill on="f" focussize="0,0"/>
            <v:stroke/>
            <v:imagedata o:title=""/>
            <o:lock v:ext="edit"/>
          </v:line>
        </w:pict>
      </w:r>
      <w:r>
        <w:rPr>
          <w:rFonts w:hint="eastAsia" w:ascii="仿宋_GB2312" w:hAnsi="仿宋_GB2312" w:eastAsia="仿宋_GB2312" w:cs="仿宋_GB2312"/>
          <w:color w:val="auto"/>
          <w:sz w:val="32"/>
          <w:szCs w:val="32"/>
        </w:rPr>
        <w:t>上  报：</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伊春市</w:t>
      </w:r>
      <w:r>
        <w:rPr>
          <w:rFonts w:hint="eastAsia" w:ascii="仿宋_GB2312" w:hAnsi="仿宋_GB2312" w:eastAsia="仿宋_GB2312" w:cs="仿宋_GB2312"/>
          <w:color w:val="auto"/>
          <w:sz w:val="32"/>
          <w:szCs w:val="32"/>
          <w:lang w:eastAsia="zh-CN"/>
        </w:rPr>
        <w:t>生态环境局</w:t>
      </w:r>
      <w:r>
        <w:rPr>
          <w:rFonts w:hint="eastAsia" w:ascii="仿宋_GB2312" w:hAnsi="仿宋_GB2312" w:eastAsia="仿宋_GB2312" w:cs="仿宋_GB2312"/>
          <w:color w:val="auto"/>
          <w:sz w:val="32"/>
          <w:szCs w:val="32"/>
        </w:rPr>
        <w:t xml:space="preserve">  </w:t>
      </w:r>
    </w:p>
    <w:p w14:paraId="536123F2">
      <w:pPr>
        <w:keepNext w:val="0"/>
        <w:keepLines w:val="0"/>
        <w:pageBreakBefore w:val="0"/>
        <w:widowControl w:val="0"/>
        <w:kinsoku/>
        <w:wordWrap/>
        <w:overflowPunct/>
        <w:topLinePunct w:val="0"/>
        <w:autoSpaceDE/>
        <w:autoSpaceDN/>
        <w:bidi w:val="0"/>
        <w:adjustRightInd/>
        <w:snapToGrid/>
        <w:spacing w:line="360" w:lineRule="auto"/>
        <w:ind w:left="0" w:leftChars="0" w:firstLine="320" w:firstLineChars="1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pict>
          <v:line id="1027" o:spid="_x0000_s1027" o:spt="20" style="position:absolute;left:0pt;margin-left:2.7pt;margin-top:0.4pt;height:0pt;width:459pt;z-index:251659264;mso-width-relative:page;mso-height-relative:page;" filled="f" stroked="t" coordsize="21600,21600">
            <v:path arrowok="t"/>
            <v:fill on="f" focussize="0,0"/>
            <v:stroke/>
            <v:imagedata o:title=""/>
            <o:lock v:ext="edit"/>
          </v:line>
        </w:pict>
      </w:r>
      <w:r>
        <w:rPr>
          <w:rFonts w:hint="eastAsia" w:ascii="仿宋_GB2312" w:hAnsi="仿宋_GB2312" w:eastAsia="仿宋_GB2312" w:cs="仿宋_GB2312"/>
          <w:color w:val="auto"/>
          <w:sz w:val="32"/>
          <w:szCs w:val="32"/>
          <w:lang w:val="en-US" w:eastAsia="zh-CN"/>
        </w:rPr>
        <w:t xml:space="preserve">                              2026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日发出</w:t>
      </w:r>
    </w:p>
    <w:p w14:paraId="1414F9C2">
      <w:pPr>
        <w:keepNext w:val="0"/>
        <w:keepLines w:val="0"/>
        <w:pageBreakBefore w:val="0"/>
        <w:widowControl w:val="0"/>
        <w:tabs>
          <w:tab w:val="left" w:pos="1440"/>
        </w:tabs>
        <w:kinsoku/>
        <w:wordWrap/>
        <w:overflowPunct/>
        <w:topLinePunct w:val="0"/>
        <w:autoSpaceDE/>
        <w:autoSpaceDN/>
        <w:bidi w:val="0"/>
        <w:adjustRightInd/>
        <w:snapToGrid/>
        <w:spacing w:line="360" w:lineRule="auto"/>
        <w:ind w:left="0" w:leftChars="0" w:firstLine="320" w:firstLineChars="1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auto"/>
          <w:sz w:val="32"/>
          <w:szCs w:val="32"/>
        </w:rPr>
        <w:pict>
          <v:line id="1028" o:spid="_x0000_s1028" o:spt="20" style="position:absolute;left:0pt;margin-left:-0.5pt;margin-top:1.4pt;height:0pt;width:459pt;z-index:251659264;mso-width-relative:page;mso-height-relative:page;" filled="f" stroked="t" coordsize="21600,21600">
            <v:path arrowok="t"/>
            <v:fill on="f" focussize="0,0"/>
            <v:stroke/>
            <v:imagedata o:title=""/>
            <o:lock v:ext="edit"/>
          </v:line>
        </w:pict>
      </w:r>
      <w:r>
        <w:rPr>
          <w:rFonts w:hint="eastAsia" w:ascii="仿宋_GB2312" w:hAnsi="仿宋_GB2312" w:eastAsia="仿宋_GB2312" w:cs="仿宋_GB2312"/>
          <w:color w:val="auto"/>
          <w:sz w:val="32"/>
          <w:szCs w:val="32"/>
        </w:rPr>
        <w:t xml:space="preserve">                                         共印5份</w:t>
      </w:r>
    </w:p>
    <w:sectPr>
      <w:headerReference r:id="rId3" w:type="default"/>
      <w:footerReference r:id="rId4" w:type="default"/>
      <w:pgSz w:w="11905" w:h="16840"/>
      <w:pgMar w:top="1440" w:right="1800" w:bottom="1440" w:left="180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9AFC4">
    <w:r>
      <w:rPr>
        <w:sz w:val="21"/>
      </w:rP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B9F3903">
                <w:pPr>
                  <w:pStyle w:val="3"/>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494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hdrShapeDefaults>
    <o:shapelayout v:ext="edit">
      <o:idmap v:ext="edit" data="2"/>
    </o:shapelayout>
  </w:hdrShapeDefaults>
  <w:compat>
    <w:useFELayout/>
    <w:splitPgBreakAndParaMark/>
    <w:compatSetting w:name="compatibilityMode" w:uri="http://schemas.microsoft.com/office/word" w:val="12"/>
  </w:compat>
  <w:rsids>
    <w:rsidRoot w:val="00000000"/>
    <w:rsid w:val="00683500"/>
    <w:rsid w:val="1BA05BD2"/>
    <w:rsid w:val="44093E52"/>
    <w:rsid w:val="5BB95D06"/>
    <w:rsid w:val="62B86D17"/>
    <w:rsid w:val="63E942E5"/>
    <w:rsid w:val="6F6D2C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sz w:val="21"/>
      <w:szCs w:val="22"/>
    </w:rPr>
  </w:style>
  <w:style w:type="character" w:default="1" w:styleId="5">
    <w:name w:val="Default Paragraph Font"/>
    <w:qFormat/>
    <w:uiPriority w:val="0"/>
  </w:style>
  <w:style w:type="table" w:default="1" w:styleId="4">
    <w:name w:val="Normal Table"/>
    <w:uiPriority w:val="0"/>
    <w:tblPr>
      <w:tblCellMar>
        <w:top w:w="0" w:type="dxa"/>
        <w:left w:w="108" w:type="dxa"/>
        <w:bottom w:w="0" w:type="dxa"/>
        <w:right w:w="108" w:type="dxa"/>
      </w:tblCellMar>
    </w:tblPr>
  </w:style>
  <w:style w:type="paragraph" w:styleId="2">
    <w:name w:val="toc 2"/>
    <w:basedOn w:val="1"/>
    <w:next w:val="1"/>
    <w:qFormat/>
    <w:uiPriority w:val="0"/>
    <w:pPr>
      <w:ind w:left="210"/>
      <w:jc w:val="left"/>
    </w:pPr>
    <w:rPr>
      <w:smallCaps/>
      <w:sz w:val="20"/>
      <w:szCs w:val="20"/>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报告表正文"/>
    <w:basedOn w:val="1"/>
    <w:qFormat/>
    <w:uiPriority w:val="0"/>
    <w:pPr>
      <w:adjustRightInd w:val="0"/>
      <w:spacing w:line="312" w:lineRule="auto"/>
      <w:ind w:left="113" w:right="113" w:firstLine="482"/>
      <w:jc w:val="left"/>
      <w:textAlignment w:val="baseline"/>
    </w:pPr>
    <w:rPr>
      <w:kern w:val="0"/>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2358</Words>
  <Characters>2530</Characters>
  <Paragraphs>61</Paragraphs>
  <TotalTime>11</TotalTime>
  <ScaleCrop>false</ScaleCrop>
  <LinksUpToDate>false</LinksUpToDate>
  <CharactersWithSpaces>2648</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2026-05-26T15:18:00Z</dcterms:created>
  <dc:creator>Apache POI</dc:creator>
  <cp:lastModifiedBy>阳光下，泡沫</cp:lastModifiedBy>
  <cp:lastPrinted>2026-05-28T02:11:00Z</cp:lastPrinted>
  <dcterms:modified xsi:type="dcterms:W3CDTF">2026-05-28T03:31:15Z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{"Label":"1","ContentProducer":"001191110102MACQD9K64010000","ProduceID":"7644220213601160166","ReservedCode1":"","ContentPropagator":"","PropagateID":"","ReservedCode2":""}</vt:lpwstr>
  </property>
  <property fmtid="{D5CDD505-2E9C-101B-9397-08002B2CF9AE}" pid="3" name="KSOTemplateDocerSaveRecord">
    <vt:lpwstr>eyJoZGlkIjoiNWI3MjVkMmUzZWFkMGE4NjQzM2IwY2QxYjM0N2Q2NGYiLCJ1c2VySWQiOiI0MzIxNDY5OTMifQ==</vt:lpwstr>
  </property>
  <property fmtid="{D5CDD505-2E9C-101B-9397-08002B2CF9AE}" pid="4" name="KSOProductBuildVer">
    <vt:lpwstr>2052-12.1.0.26375</vt:lpwstr>
  </property>
  <property fmtid="{D5CDD505-2E9C-101B-9397-08002B2CF9AE}" pid="5" name="ICV">
    <vt:lpwstr>C749359E3E87499181E80F25EB261235_12</vt:lpwstr>
  </property>
</Properties>
</file>