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FangSong_GB2312"/>
          <w:color w:val="auto"/>
          <w:sz w:val="36"/>
          <w:szCs w:val="36"/>
        </w:rPr>
      </w:pPr>
    </w:p>
    <w:p>
      <w:pPr>
        <w:rPr>
          <w:rFonts w:eastAsia="FangSong_GB2312"/>
          <w:color w:val="auto"/>
          <w:sz w:val="36"/>
          <w:szCs w:val="36"/>
        </w:rPr>
      </w:pPr>
    </w:p>
    <w:p>
      <w:pPr>
        <w:rPr>
          <w:rFonts w:eastAsia="FangSong_GB2312"/>
          <w:color w:val="auto"/>
          <w:sz w:val="36"/>
          <w:szCs w:val="36"/>
        </w:rPr>
      </w:pPr>
    </w:p>
    <w:p>
      <w:pPr>
        <w:adjustRightInd w:val="0"/>
        <w:snapToGrid w:val="0"/>
        <w:jc w:val="center"/>
        <w:rPr>
          <w:rFonts w:eastAsia="方正小标宋_GBK"/>
          <w:bCs/>
          <w:color w:val="auto"/>
          <w:sz w:val="72"/>
          <w:szCs w:val="72"/>
        </w:rPr>
      </w:pPr>
      <w:bookmarkStart w:id="0" w:name="_Toc26907"/>
      <w:bookmarkStart w:id="1" w:name="_Toc65504028"/>
      <w:bookmarkStart w:id="2" w:name="_Toc68786104"/>
      <w:bookmarkStart w:id="3" w:name="_Toc65222360"/>
      <w:r>
        <w:rPr>
          <w:rFonts w:eastAsia="方正小标宋_GBK"/>
          <w:bCs/>
          <w:color w:val="auto"/>
          <w:sz w:val="72"/>
          <w:szCs w:val="72"/>
        </w:rPr>
        <w:t>建设项目环境影响报告表</w:t>
      </w:r>
      <w:bookmarkEnd w:id="0"/>
      <w:bookmarkEnd w:id="1"/>
      <w:bookmarkEnd w:id="2"/>
      <w:bookmarkEnd w:id="3"/>
    </w:p>
    <w:p>
      <w:pPr>
        <w:adjustRightInd w:val="0"/>
        <w:snapToGrid w:val="0"/>
        <w:spacing w:beforeLines="80"/>
        <w:jc w:val="center"/>
        <w:rPr>
          <w:rFonts w:eastAsia="楷体_GB2312"/>
          <w:bCs/>
          <w:color w:val="auto"/>
          <w:sz w:val="48"/>
          <w:szCs w:val="48"/>
        </w:rPr>
      </w:pPr>
    </w:p>
    <w:p>
      <w:pPr>
        <w:jc w:val="center"/>
        <w:rPr>
          <w:rFonts w:eastAsia="仿宋"/>
          <w:color w:val="auto"/>
          <w:sz w:val="52"/>
          <w:szCs w:val="52"/>
        </w:rPr>
      </w:pPr>
    </w:p>
    <w:p>
      <w:pPr>
        <w:jc w:val="center"/>
        <w:rPr>
          <w:rFonts w:eastAsia="仿宋"/>
          <w:color w:val="auto"/>
          <w:sz w:val="52"/>
          <w:szCs w:val="52"/>
        </w:rPr>
      </w:pPr>
    </w:p>
    <w:p>
      <w:pPr>
        <w:ind w:firstLine="1040"/>
        <w:rPr>
          <w:rFonts w:eastAsia="仿宋"/>
          <w:color w:val="auto"/>
          <w:sz w:val="44"/>
          <w:szCs w:val="44"/>
        </w:rPr>
      </w:pPr>
    </w:p>
    <w:p>
      <w:pPr>
        <w:pStyle w:val="2"/>
        <w:rPr>
          <w:rFonts w:eastAsia="仿宋"/>
          <w:color w:val="auto"/>
          <w:sz w:val="44"/>
          <w:szCs w:val="44"/>
        </w:rPr>
      </w:pPr>
    </w:p>
    <w:p>
      <w:pPr>
        <w:rPr>
          <w:color w:val="auto"/>
        </w:rPr>
      </w:pPr>
    </w:p>
    <w:p>
      <w:pPr>
        <w:ind w:firstLine="1040"/>
        <w:rPr>
          <w:rFonts w:eastAsia="仿宋"/>
          <w:color w:val="auto"/>
          <w:sz w:val="44"/>
          <w:szCs w:val="44"/>
        </w:rPr>
      </w:pPr>
    </w:p>
    <w:p>
      <w:pPr>
        <w:pStyle w:val="2"/>
        <w:rPr>
          <w:color w:val="auto"/>
        </w:rPr>
      </w:pPr>
    </w:p>
    <w:p>
      <w:pPr>
        <w:ind w:firstLine="1040"/>
        <w:rPr>
          <w:rFonts w:eastAsia="仿宋"/>
          <w:color w:val="auto"/>
          <w:sz w:val="44"/>
          <w:szCs w:val="44"/>
        </w:rPr>
      </w:pPr>
    </w:p>
    <w:p>
      <w:pPr>
        <w:adjustRightInd w:val="0"/>
        <w:spacing w:line="360" w:lineRule="auto"/>
        <w:ind w:left="2692" w:leftChars="568" w:hanging="1500" w:hangingChars="500"/>
        <w:rPr>
          <w:rFonts w:hint="eastAsia" w:eastAsia="宋体"/>
          <w:color w:val="auto"/>
          <w:sz w:val="32"/>
          <w:szCs w:val="32"/>
          <w:u w:val="single"/>
          <w:lang w:eastAsia="zh-CN"/>
        </w:rPr>
      </w:pPr>
      <w:r>
        <w:rPr>
          <w:color w:val="auto"/>
          <w:sz w:val="30"/>
          <w:szCs w:val="30"/>
        </w:rPr>
        <w:t>项目名称：</w:t>
      </w:r>
      <w:r>
        <w:rPr>
          <w:rFonts w:hint="eastAsia"/>
          <w:color w:val="auto"/>
          <w:sz w:val="32"/>
          <w:szCs w:val="32"/>
          <w:u w:val="single"/>
          <w:lang w:eastAsia="zh-CN"/>
        </w:rPr>
        <w:t>伊春市交通路桥建筑有限责任公司建设项目</w:t>
      </w:r>
    </w:p>
    <w:p>
      <w:pPr>
        <w:adjustRightInd w:val="0"/>
        <w:spacing w:line="360" w:lineRule="auto"/>
        <w:ind w:left="1192" w:leftChars="568"/>
        <w:rPr>
          <w:rFonts w:hint="eastAsia" w:eastAsia="宋体"/>
          <w:color w:val="auto"/>
          <w:sz w:val="30"/>
          <w:szCs w:val="30"/>
          <w:u w:val="single"/>
          <w:lang w:eastAsia="zh-CN"/>
        </w:rPr>
      </w:pPr>
      <w:r>
        <w:rPr>
          <w:color w:val="auto"/>
          <w:sz w:val="30"/>
          <w:szCs w:val="30"/>
        </w:rPr>
        <w:t>建设单位（盖章）：</w:t>
      </w:r>
      <w:r>
        <w:rPr>
          <w:rFonts w:hint="eastAsia"/>
          <w:color w:val="auto"/>
          <w:sz w:val="32"/>
          <w:szCs w:val="32"/>
          <w:u w:val="single"/>
          <w:lang w:eastAsia="zh-CN"/>
        </w:rPr>
        <w:t>伊春市交通路桥建筑有限责任公司</w:t>
      </w:r>
    </w:p>
    <w:p>
      <w:pPr>
        <w:adjustRightInd w:val="0"/>
        <w:spacing w:line="360" w:lineRule="auto"/>
        <w:ind w:firstLine="1200" w:firstLineChars="400"/>
        <w:rPr>
          <w:color w:val="auto"/>
          <w:sz w:val="36"/>
          <w:szCs w:val="36"/>
        </w:rPr>
      </w:pPr>
      <w:r>
        <w:rPr>
          <w:color w:val="auto"/>
          <w:sz w:val="30"/>
          <w:szCs w:val="30"/>
        </w:rPr>
        <w:t>编制日期：</w:t>
      </w:r>
      <w:r>
        <w:rPr>
          <w:color w:val="auto"/>
          <w:sz w:val="30"/>
          <w:szCs w:val="30"/>
          <w:u w:val="single"/>
        </w:rPr>
        <w:t xml:space="preserve"> </w:t>
      </w:r>
      <w:r>
        <w:rPr>
          <w:color w:val="auto"/>
          <w:sz w:val="32"/>
          <w:szCs w:val="32"/>
          <w:u w:val="single"/>
        </w:rPr>
        <w:t>202</w:t>
      </w:r>
      <w:r>
        <w:rPr>
          <w:rFonts w:hint="eastAsia"/>
          <w:color w:val="auto"/>
          <w:sz w:val="32"/>
          <w:szCs w:val="32"/>
          <w:u w:val="single"/>
          <w:lang w:val="en-US" w:eastAsia="zh-CN"/>
        </w:rPr>
        <w:t>6</w:t>
      </w:r>
      <w:r>
        <w:rPr>
          <w:color w:val="auto"/>
          <w:sz w:val="32"/>
          <w:szCs w:val="32"/>
          <w:u w:val="single"/>
        </w:rPr>
        <w:t>年</w:t>
      </w:r>
      <w:r>
        <w:rPr>
          <w:rFonts w:hint="eastAsia"/>
          <w:color w:val="auto"/>
          <w:sz w:val="32"/>
          <w:szCs w:val="32"/>
          <w:u w:val="single"/>
          <w:lang w:val="en-US" w:eastAsia="zh-CN"/>
        </w:rPr>
        <w:t>4</w:t>
      </w:r>
      <w:r>
        <w:rPr>
          <w:color w:val="auto"/>
          <w:sz w:val="32"/>
          <w:szCs w:val="32"/>
          <w:u w:val="single"/>
        </w:rPr>
        <w:t>月</w:t>
      </w:r>
      <w:r>
        <w:rPr>
          <w:color w:val="auto"/>
          <w:sz w:val="30"/>
          <w:szCs w:val="30"/>
        </w:rPr>
        <w:t xml:space="preserve">         </w:t>
      </w:r>
      <w:bookmarkStart w:id="4" w:name="_Hlk57884087"/>
      <w:r>
        <w:rPr>
          <w:color w:val="auto"/>
          <w:sz w:val="30"/>
          <w:szCs w:val="30"/>
        </w:rPr>
        <w:t xml:space="preserve">         </w:t>
      </w:r>
    </w:p>
    <w:p>
      <w:pPr>
        <w:adjustRightInd w:val="0"/>
        <w:snapToGrid w:val="0"/>
        <w:spacing w:line="288" w:lineRule="auto"/>
        <w:ind w:firstLine="1040"/>
        <w:rPr>
          <w:rFonts w:eastAsia="FangSong_GB2312"/>
          <w:color w:val="auto"/>
          <w:sz w:val="36"/>
          <w:szCs w:val="36"/>
        </w:rPr>
      </w:pPr>
    </w:p>
    <w:p>
      <w:pPr>
        <w:keepNext/>
        <w:overflowPunct w:val="0"/>
        <w:snapToGrid w:val="0"/>
        <w:spacing w:line="260" w:lineRule="auto"/>
        <w:rPr>
          <w:rFonts w:eastAsia="FangSong_GB2312"/>
          <w:color w:val="auto"/>
          <w:sz w:val="36"/>
          <w:szCs w:val="36"/>
        </w:rPr>
      </w:pPr>
    </w:p>
    <w:p>
      <w:pPr>
        <w:keepNext/>
        <w:overflowPunct w:val="0"/>
        <w:snapToGrid w:val="0"/>
        <w:spacing w:line="260" w:lineRule="auto"/>
        <w:ind w:left="431" w:hanging="431"/>
        <w:rPr>
          <w:color w:val="auto"/>
        </w:rPr>
      </w:pPr>
    </w:p>
    <w:p>
      <w:pPr>
        <w:adjustRightInd w:val="0"/>
        <w:spacing w:line="360" w:lineRule="auto"/>
        <w:ind w:firstLine="1040"/>
        <w:rPr>
          <w:rFonts w:eastAsia="FangSong_GB2312"/>
          <w:color w:val="auto"/>
          <w:sz w:val="32"/>
          <w:szCs w:val="32"/>
        </w:rPr>
      </w:pPr>
    </w:p>
    <w:bookmarkEnd w:id="4"/>
    <w:p>
      <w:pPr>
        <w:spacing w:line="360" w:lineRule="auto"/>
        <w:jc w:val="center"/>
        <w:rPr>
          <w:color w:val="auto"/>
          <w:sz w:val="28"/>
          <w:szCs w:val="30"/>
        </w:rPr>
      </w:pPr>
      <w:r>
        <w:rPr>
          <w:color w:val="auto"/>
          <w:sz w:val="32"/>
          <w:szCs w:val="32"/>
        </w:rPr>
        <w:t>中华人民共和国生态环境部制</w:t>
      </w:r>
    </w:p>
    <w:p>
      <w:pPr>
        <w:adjustRightInd w:val="0"/>
        <w:snapToGrid w:val="0"/>
        <w:spacing w:line="288" w:lineRule="auto"/>
        <w:jc w:val="center"/>
        <w:rPr>
          <w:color w:val="auto"/>
          <w:sz w:val="28"/>
          <w:szCs w:val="30"/>
        </w:rPr>
      </w:pPr>
    </w:p>
    <w:p>
      <w:pPr>
        <w:pStyle w:val="17"/>
        <w:rPr>
          <w:color w:val="auto"/>
        </w:rPr>
      </w:pPr>
    </w:p>
    <w:p>
      <w:pPr>
        <w:jc w:val="center"/>
        <w:rPr>
          <w:rFonts w:hint="eastAsia" w:eastAsia="宋体"/>
          <w:color w:val="auto"/>
          <w:lang w:eastAsia="zh-CN"/>
        </w:rPr>
      </w:pPr>
    </w:p>
    <w:p>
      <w:pPr>
        <w:rPr>
          <w:rFonts w:hint="eastAsia" w:eastAsia="宋体"/>
          <w:color w:val="auto"/>
          <w:lang w:eastAsia="zh-CN"/>
        </w:rPr>
      </w:pPr>
    </w:p>
    <w:p>
      <w:pPr>
        <w:rPr>
          <w:rFonts w:hint="eastAsia"/>
          <w:color w:val="auto"/>
          <w:lang w:eastAsia="zh-CN"/>
        </w:rPr>
      </w:pPr>
    </w:p>
    <w:p>
      <w:pPr>
        <w:rPr>
          <w:color w:val="auto"/>
        </w:rPr>
      </w:pPr>
    </w:p>
    <w:p>
      <w:pPr>
        <w:pStyle w:val="2"/>
        <w:rPr>
          <w:color w:val="auto"/>
        </w:rPr>
      </w:pPr>
    </w:p>
    <w:p>
      <w:pPr>
        <w:adjustRightInd w:val="0"/>
        <w:snapToGrid w:val="0"/>
        <w:spacing w:line="288" w:lineRule="auto"/>
        <w:jc w:val="center"/>
        <w:rPr>
          <w:rFonts w:eastAsia="楷体_GB2312"/>
          <w:color w:val="auto"/>
          <w:sz w:val="44"/>
          <w:szCs w:val="36"/>
        </w:rPr>
      </w:pPr>
    </w:p>
    <w:p>
      <w:pPr>
        <w:adjustRightInd w:val="0"/>
        <w:snapToGrid w:val="0"/>
        <w:spacing w:line="288" w:lineRule="auto"/>
        <w:jc w:val="center"/>
        <w:rPr>
          <w:rFonts w:eastAsia="楷体_GB2312"/>
          <w:color w:val="auto"/>
          <w:sz w:val="44"/>
          <w:szCs w:val="36"/>
        </w:rPr>
      </w:pPr>
      <w:r>
        <w:rPr>
          <w:rFonts w:eastAsia="楷体_GB2312"/>
          <w:color w:val="auto"/>
          <w:sz w:val="44"/>
          <w:szCs w:val="36"/>
        </w:rPr>
        <w:t>目  录</w:t>
      </w:r>
    </w:p>
    <w:p>
      <w:pPr>
        <w:pStyle w:val="8"/>
        <w:tabs>
          <w:tab w:val="right" w:leader="dot" w:pos="9637"/>
        </w:tabs>
      </w:pPr>
      <w:r>
        <w:rPr>
          <w:rFonts w:eastAsia="黑体"/>
          <w:color w:val="auto"/>
          <w:sz w:val="28"/>
          <w:szCs w:val="28"/>
        </w:rPr>
        <w:fldChar w:fldCharType="begin"/>
      </w:r>
      <w:r>
        <w:rPr>
          <w:rFonts w:eastAsia="黑体"/>
          <w:color w:val="auto"/>
          <w:sz w:val="28"/>
          <w:szCs w:val="28"/>
        </w:rPr>
        <w:instrText xml:space="preserve"> TOC \o "1-3" \h \z \u </w:instrText>
      </w:r>
      <w:r>
        <w:rPr>
          <w:rFonts w:eastAsia="黑体"/>
          <w:color w:val="auto"/>
          <w:sz w:val="28"/>
          <w:szCs w:val="28"/>
        </w:rPr>
        <w:fldChar w:fldCharType="separate"/>
      </w:r>
      <w:r>
        <w:rPr>
          <w:rFonts w:eastAsia="黑体"/>
          <w:color w:val="auto"/>
          <w:szCs w:val="28"/>
        </w:rPr>
        <w:fldChar w:fldCharType="begin"/>
      </w:r>
      <w:r>
        <w:rPr>
          <w:rFonts w:eastAsia="黑体"/>
          <w:szCs w:val="28"/>
        </w:rPr>
        <w:instrText xml:space="preserve"> HYPERLINK \l _Toc24075 </w:instrText>
      </w:r>
      <w:r>
        <w:rPr>
          <w:rFonts w:eastAsia="黑体"/>
          <w:szCs w:val="28"/>
        </w:rPr>
        <w:fldChar w:fldCharType="separate"/>
      </w:r>
      <w:r>
        <w:rPr>
          <w:rFonts w:ascii="Times New Roman" w:hAnsi="Times New Roman" w:eastAsia="黑体"/>
          <w:snapToGrid w:val="0"/>
          <w:szCs w:val="30"/>
        </w:rPr>
        <w:t>一、建设项目基本情况</w:t>
      </w:r>
      <w:r>
        <w:tab/>
      </w:r>
      <w:r>
        <w:fldChar w:fldCharType="begin"/>
      </w:r>
      <w:r>
        <w:instrText xml:space="preserve"> PAGEREF _Toc24075 \h </w:instrText>
      </w:r>
      <w:r>
        <w:fldChar w:fldCharType="separate"/>
      </w:r>
      <w:r>
        <w:t>1</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_Toc237 </w:instrText>
      </w:r>
      <w:r>
        <w:rPr>
          <w:rFonts w:eastAsia="黑体"/>
          <w:szCs w:val="28"/>
        </w:rPr>
        <w:fldChar w:fldCharType="separate"/>
      </w:r>
      <w:r>
        <w:rPr>
          <w:rFonts w:ascii="Times New Roman" w:hAnsi="Times New Roman" w:eastAsia="黑体"/>
          <w:snapToGrid w:val="0"/>
          <w:szCs w:val="30"/>
        </w:rPr>
        <w:t>二、建设项目工程分析</w:t>
      </w:r>
      <w:r>
        <w:tab/>
      </w:r>
      <w:r>
        <w:fldChar w:fldCharType="begin"/>
      </w:r>
      <w:r>
        <w:instrText xml:space="preserve"> PAGEREF _Toc237 \h </w:instrText>
      </w:r>
      <w:r>
        <w:fldChar w:fldCharType="separate"/>
      </w:r>
      <w:r>
        <w:t>12</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_Toc2722 </w:instrText>
      </w:r>
      <w:r>
        <w:rPr>
          <w:rFonts w:eastAsia="黑体"/>
          <w:szCs w:val="28"/>
        </w:rPr>
        <w:fldChar w:fldCharType="separate"/>
      </w:r>
      <w:r>
        <w:rPr>
          <w:rFonts w:ascii="Times New Roman" w:hAnsi="Times New Roman" w:eastAsia="黑体"/>
          <w:snapToGrid w:val="0"/>
          <w:szCs w:val="30"/>
        </w:rPr>
        <w:t>三、区域环境质量现状、环境保护目标及评价标准</w:t>
      </w:r>
      <w:r>
        <w:tab/>
      </w:r>
      <w:r>
        <w:fldChar w:fldCharType="begin"/>
      </w:r>
      <w:r>
        <w:instrText xml:space="preserve"> PAGEREF _Toc2722 \h </w:instrText>
      </w:r>
      <w:r>
        <w:fldChar w:fldCharType="separate"/>
      </w:r>
      <w:r>
        <w:t>25</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_Toc22693 </w:instrText>
      </w:r>
      <w:r>
        <w:rPr>
          <w:rFonts w:eastAsia="黑体"/>
          <w:szCs w:val="28"/>
        </w:rPr>
        <w:fldChar w:fldCharType="separate"/>
      </w:r>
      <w:r>
        <w:rPr>
          <w:rFonts w:ascii="Times New Roman" w:hAnsi="Times New Roman" w:eastAsia="黑体"/>
          <w:snapToGrid w:val="0"/>
          <w:szCs w:val="30"/>
        </w:rPr>
        <w:t>四、主要环境影响和保护措施</w:t>
      </w:r>
      <w:r>
        <w:tab/>
      </w:r>
      <w:r>
        <w:fldChar w:fldCharType="begin"/>
      </w:r>
      <w:r>
        <w:instrText xml:space="preserve"> PAGEREF _Toc22693 \h </w:instrText>
      </w:r>
      <w:r>
        <w:fldChar w:fldCharType="separate"/>
      </w:r>
      <w:r>
        <w:t>31</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_Toc26804 </w:instrText>
      </w:r>
      <w:r>
        <w:rPr>
          <w:rFonts w:eastAsia="黑体"/>
          <w:szCs w:val="28"/>
        </w:rPr>
        <w:fldChar w:fldCharType="separate"/>
      </w:r>
      <w:r>
        <w:rPr>
          <w:rFonts w:ascii="Times New Roman" w:hAnsi="Times New Roman" w:eastAsia="黑体"/>
          <w:snapToGrid w:val="0"/>
          <w:szCs w:val="30"/>
        </w:rPr>
        <w:t>五、环境保护措施监督检查清单</w:t>
      </w:r>
      <w:r>
        <w:tab/>
      </w:r>
      <w:r>
        <w:fldChar w:fldCharType="begin"/>
      </w:r>
      <w:r>
        <w:instrText xml:space="preserve"> PAGEREF _Toc26804 \h </w:instrText>
      </w:r>
      <w:r>
        <w:fldChar w:fldCharType="separate"/>
      </w:r>
      <w:r>
        <w:t>42</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_Toc24021 </w:instrText>
      </w:r>
      <w:r>
        <w:rPr>
          <w:rFonts w:eastAsia="黑体"/>
          <w:szCs w:val="28"/>
        </w:rPr>
        <w:fldChar w:fldCharType="separate"/>
      </w:r>
      <w:r>
        <w:rPr>
          <w:rFonts w:ascii="Times New Roman" w:hAnsi="Times New Roman" w:eastAsia="黑体"/>
          <w:snapToGrid w:val="0"/>
          <w:szCs w:val="30"/>
        </w:rPr>
        <w:t>六、结论</w:t>
      </w:r>
      <w:r>
        <w:tab/>
      </w:r>
      <w:r>
        <w:fldChar w:fldCharType="begin"/>
      </w:r>
      <w:r>
        <w:instrText xml:space="preserve"> PAGEREF _Toc24021 \h </w:instrText>
      </w:r>
      <w:r>
        <w:fldChar w:fldCharType="separate"/>
      </w:r>
      <w:r>
        <w:t>44</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_Toc30074 </w:instrText>
      </w:r>
      <w:r>
        <w:rPr>
          <w:rFonts w:eastAsia="黑体"/>
          <w:szCs w:val="28"/>
        </w:rPr>
        <w:fldChar w:fldCharType="separate"/>
      </w:r>
      <w:r>
        <w:rPr>
          <w:rFonts w:ascii="Times New Roman" w:hAnsi="Times New Roman" w:eastAsia="方正小标宋_GBK"/>
          <w:snapToGrid w:val="0"/>
          <w:szCs w:val="38"/>
        </w:rPr>
        <w:t>建设项目污染物排放量汇总表</w:t>
      </w:r>
      <w:r>
        <w:tab/>
      </w:r>
      <w:r>
        <w:fldChar w:fldCharType="begin"/>
      </w:r>
      <w:r>
        <w:instrText xml:space="preserve"> PAGEREF _Toc30074 \h </w:instrText>
      </w:r>
      <w:r>
        <w:fldChar w:fldCharType="separate"/>
      </w:r>
      <w:r>
        <w:t>45</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_Toc21663 </w:instrText>
      </w:r>
      <w:r>
        <w:rPr>
          <w:rFonts w:eastAsia="黑体"/>
          <w:szCs w:val="28"/>
        </w:rPr>
        <w:fldChar w:fldCharType="separate"/>
      </w:r>
      <w:r>
        <w:rPr>
          <w:rFonts w:eastAsia="黑体"/>
          <w:szCs w:val="28"/>
        </w:rPr>
        <w:t>附图1 项目</w:t>
      </w:r>
      <w:r>
        <w:rPr>
          <w:rFonts w:ascii="Times New Roman" w:hAnsi="Times New Roman" w:eastAsia="黑体" w:cs="Times New Roman"/>
          <w:szCs w:val="28"/>
        </w:rPr>
        <w:t>地理</w:t>
      </w:r>
      <w:r>
        <w:rPr>
          <w:rFonts w:eastAsia="黑体"/>
          <w:szCs w:val="28"/>
        </w:rPr>
        <w:t>位置</w:t>
      </w:r>
      <w:r>
        <w:rPr>
          <w:rFonts w:hint="eastAsia" w:eastAsia="黑体"/>
          <w:szCs w:val="28"/>
          <w:lang w:val="en-US" w:eastAsia="zh-CN"/>
        </w:rPr>
        <w:t>及敏感保护目标</w:t>
      </w:r>
      <w:r>
        <w:rPr>
          <w:rFonts w:eastAsia="黑体"/>
          <w:szCs w:val="28"/>
        </w:rPr>
        <w:t>图</w:t>
      </w:r>
      <w:r>
        <w:tab/>
      </w:r>
      <w:r>
        <w:fldChar w:fldCharType="begin"/>
      </w:r>
      <w:r>
        <w:instrText xml:space="preserve"> PAGEREF _Toc21663 \h </w:instrText>
      </w:r>
      <w:r>
        <w:fldChar w:fldCharType="separate"/>
      </w:r>
      <w:r>
        <w:t>46</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_Toc25442 </w:instrText>
      </w:r>
      <w:r>
        <w:rPr>
          <w:rFonts w:eastAsia="黑体"/>
          <w:szCs w:val="28"/>
        </w:rPr>
        <w:fldChar w:fldCharType="separate"/>
      </w:r>
      <w:r>
        <w:rPr>
          <w:rFonts w:eastAsia="黑体"/>
          <w:szCs w:val="28"/>
          <w:highlight w:val="none"/>
        </w:rPr>
        <w:t>附图</w:t>
      </w:r>
      <w:r>
        <w:rPr>
          <w:rFonts w:hint="eastAsia" w:eastAsia="黑体"/>
          <w:szCs w:val="28"/>
          <w:highlight w:val="none"/>
        </w:rPr>
        <w:t>2</w:t>
      </w:r>
      <w:r>
        <w:rPr>
          <w:rFonts w:eastAsia="黑体"/>
          <w:szCs w:val="28"/>
          <w:highlight w:val="none"/>
        </w:rPr>
        <w:t xml:space="preserve"> 项目</w:t>
      </w:r>
      <w:r>
        <w:rPr>
          <w:rFonts w:ascii="Times New Roman" w:hAnsi="Times New Roman" w:eastAsia="黑体" w:cs="Times New Roman"/>
          <w:szCs w:val="28"/>
          <w:highlight w:val="none"/>
        </w:rPr>
        <w:t>平面</w:t>
      </w:r>
      <w:r>
        <w:rPr>
          <w:rFonts w:eastAsia="黑体"/>
          <w:szCs w:val="28"/>
          <w:highlight w:val="none"/>
        </w:rPr>
        <w:t>布置图</w:t>
      </w:r>
      <w:r>
        <w:tab/>
      </w:r>
      <w:r>
        <w:fldChar w:fldCharType="begin"/>
      </w:r>
      <w:r>
        <w:instrText xml:space="preserve"> PAGEREF _Toc25442 \h </w:instrText>
      </w:r>
      <w:r>
        <w:fldChar w:fldCharType="separate"/>
      </w:r>
      <w:r>
        <w:t>47</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_Toc5940 </w:instrText>
      </w:r>
      <w:r>
        <w:rPr>
          <w:rFonts w:eastAsia="黑体"/>
          <w:szCs w:val="28"/>
        </w:rPr>
        <w:fldChar w:fldCharType="separate"/>
      </w:r>
      <w:r>
        <w:rPr>
          <w:rFonts w:eastAsia="黑体"/>
          <w:szCs w:val="28"/>
          <w:highlight w:val="none"/>
        </w:rPr>
        <w:t>附图</w:t>
      </w:r>
      <w:r>
        <w:rPr>
          <w:rFonts w:hint="eastAsia" w:eastAsia="黑体"/>
          <w:szCs w:val="28"/>
          <w:highlight w:val="none"/>
        </w:rPr>
        <w:t>3  现状监测布点图</w:t>
      </w:r>
      <w:r>
        <w:tab/>
      </w:r>
      <w:r>
        <w:fldChar w:fldCharType="begin"/>
      </w:r>
      <w:r>
        <w:instrText xml:space="preserve"> PAGEREF _Toc5940 \h </w:instrText>
      </w:r>
      <w:r>
        <w:fldChar w:fldCharType="separate"/>
      </w:r>
      <w:r>
        <w:t>48</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_Toc27997 </w:instrText>
      </w:r>
      <w:r>
        <w:rPr>
          <w:rFonts w:eastAsia="黑体"/>
          <w:szCs w:val="28"/>
        </w:rPr>
        <w:fldChar w:fldCharType="separate"/>
      </w:r>
      <w:r>
        <w:rPr>
          <w:rFonts w:eastAsia="黑体"/>
          <w:szCs w:val="28"/>
        </w:rPr>
        <w:t>附件1 营业执照</w:t>
      </w:r>
      <w:r>
        <w:tab/>
      </w:r>
      <w:r>
        <w:fldChar w:fldCharType="begin"/>
      </w:r>
      <w:r>
        <w:instrText xml:space="preserve"> PAGEREF _Toc27997 \h </w:instrText>
      </w:r>
      <w:r>
        <w:fldChar w:fldCharType="separate"/>
      </w:r>
      <w:r>
        <w:t>49</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_Toc8251 </w:instrText>
      </w:r>
      <w:r>
        <w:rPr>
          <w:rFonts w:eastAsia="黑体"/>
          <w:szCs w:val="28"/>
        </w:rPr>
        <w:fldChar w:fldCharType="separate"/>
      </w:r>
      <w:r>
        <w:rPr>
          <w:rFonts w:eastAsia="黑体"/>
          <w:szCs w:val="28"/>
        </w:rPr>
        <w:t>附件</w:t>
      </w:r>
      <w:r>
        <w:rPr>
          <w:rFonts w:hint="eastAsia" w:eastAsia="黑体"/>
          <w:szCs w:val="28"/>
          <w:lang w:val="en-US" w:eastAsia="zh-CN"/>
        </w:rPr>
        <w:t>2</w:t>
      </w:r>
      <w:r>
        <w:rPr>
          <w:rFonts w:hint="eastAsia" w:ascii="Times New Roman" w:hAnsi="Times New Roman" w:eastAsia="黑体" w:cs="Times New Roman"/>
          <w:szCs w:val="28"/>
          <w:lang w:val="en-US" w:eastAsia="zh-CN"/>
        </w:rPr>
        <w:t>检测</w:t>
      </w:r>
      <w:r>
        <w:rPr>
          <w:rFonts w:hint="eastAsia" w:eastAsia="黑体"/>
          <w:szCs w:val="28"/>
          <w:lang w:val="en-US" w:eastAsia="zh-CN"/>
        </w:rPr>
        <w:t>报告</w:t>
      </w:r>
      <w:r>
        <w:tab/>
      </w:r>
      <w:r>
        <w:fldChar w:fldCharType="begin"/>
      </w:r>
      <w:r>
        <w:instrText xml:space="preserve"> PAGEREF _Toc8251 \h </w:instrText>
      </w:r>
      <w:r>
        <w:fldChar w:fldCharType="separate"/>
      </w:r>
      <w:r>
        <w:t>50</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_Toc2306 </w:instrText>
      </w:r>
      <w:r>
        <w:rPr>
          <w:rFonts w:eastAsia="黑体"/>
          <w:szCs w:val="28"/>
        </w:rPr>
        <w:fldChar w:fldCharType="separate"/>
      </w:r>
      <w:r>
        <w:rPr>
          <w:rFonts w:hint="eastAsia" w:ascii="Times New Roman" w:hAnsi="Times New Roman" w:eastAsia="黑体" w:cs="Times New Roman"/>
          <w:szCs w:val="28"/>
          <w:lang w:val="en-US" w:eastAsia="zh-CN"/>
        </w:rPr>
        <w:t>附件3现有工程环评批复</w:t>
      </w:r>
      <w:r>
        <w:tab/>
      </w:r>
      <w:r>
        <w:fldChar w:fldCharType="begin"/>
      </w:r>
      <w:r>
        <w:instrText xml:space="preserve"> PAGEREF _Toc2306 \h </w:instrText>
      </w:r>
      <w:r>
        <w:fldChar w:fldCharType="separate"/>
      </w:r>
      <w:r>
        <w:t>51</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_Toc9780 </w:instrText>
      </w:r>
      <w:r>
        <w:rPr>
          <w:rFonts w:eastAsia="黑体"/>
          <w:szCs w:val="28"/>
        </w:rPr>
        <w:fldChar w:fldCharType="separate"/>
      </w:r>
      <w:r>
        <w:rPr>
          <w:rFonts w:hint="eastAsia" w:ascii="Times New Roman" w:hAnsi="Times New Roman" w:eastAsia="黑体" w:cs="Times New Roman"/>
          <w:szCs w:val="28"/>
          <w:lang w:val="en-US" w:eastAsia="zh-CN"/>
        </w:rPr>
        <w:t>附件4现有工程验收批复</w:t>
      </w:r>
      <w:r>
        <w:tab/>
      </w:r>
      <w:r>
        <w:fldChar w:fldCharType="begin"/>
      </w:r>
      <w:r>
        <w:instrText xml:space="preserve"> PAGEREF _Toc9780 \h </w:instrText>
      </w:r>
      <w:r>
        <w:fldChar w:fldCharType="separate"/>
      </w:r>
      <w:r>
        <w:t>54</w:t>
      </w:r>
      <w:r>
        <w:fldChar w:fldCharType="end"/>
      </w:r>
      <w:r>
        <w:rPr>
          <w:rFonts w:eastAsia="黑体"/>
          <w:color w:val="auto"/>
          <w:szCs w:val="28"/>
        </w:rPr>
        <w:fldChar w:fldCharType="end"/>
      </w:r>
    </w:p>
    <w:p>
      <w:pPr>
        <w:pStyle w:val="8"/>
        <w:tabs>
          <w:tab w:val="right" w:leader="dot" w:pos="9637"/>
        </w:tabs>
      </w:pPr>
      <w:r>
        <w:rPr>
          <w:rFonts w:eastAsia="黑体"/>
          <w:color w:val="auto"/>
          <w:szCs w:val="28"/>
        </w:rPr>
        <w:fldChar w:fldCharType="begin"/>
      </w:r>
      <w:r>
        <w:rPr>
          <w:rFonts w:eastAsia="黑体"/>
          <w:szCs w:val="28"/>
        </w:rPr>
        <w:instrText xml:space="preserve"> HYPERLINK \l _Toc20161 </w:instrText>
      </w:r>
      <w:r>
        <w:rPr>
          <w:rFonts w:eastAsia="黑体"/>
          <w:szCs w:val="28"/>
        </w:rPr>
        <w:fldChar w:fldCharType="separate"/>
      </w:r>
      <w:r>
        <w:rPr>
          <w:rFonts w:hint="eastAsia" w:ascii="Times New Roman" w:hAnsi="Times New Roman" w:eastAsia="黑体" w:cs="Times New Roman"/>
          <w:szCs w:val="28"/>
          <w:lang w:val="en-US" w:eastAsia="zh-CN"/>
        </w:rPr>
        <w:t>附件5</w:t>
      </w:r>
      <w:r>
        <w:rPr>
          <w:rFonts w:hint="default" w:ascii="Times New Roman" w:hAnsi="Times New Roman" w:eastAsia="黑体" w:cs="Times New Roman"/>
          <w:szCs w:val="28"/>
          <w:lang w:val="en-US" w:eastAsia="zh-CN"/>
        </w:rPr>
        <w:t>大气环境影响专项评价</w:t>
      </w:r>
      <w:r>
        <w:tab/>
      </w:r>
      <w:r>
        <w:fldChar w:fldCharType="begin"/>
      </w:r>
      <w:r>
        <w:instrText xml:space="preserve"> PAGEREF _Toc20161 \h </w:instrText>
      </w:r>
      <w:r>
        <w:fldChar w:fldCharType="separate"/>
      </w:r>
      <w:r>
        <w:t>56</w:t>
      </w:r>
      <w:r>
        <w:fldChar w:fldCharType="end"/>
      </w:r>
      <w:r>
        <w:rPr>
          <w:rFonts w:eastAsia="黑体"/>
          <w:color w:val="auto"/>
          <w:szCs w:val="28"/>
        </w:rPr>
        <w:fldChar w:fldCharType="end"/>
      </w:r>
    </w:p>
    <w:p>
      <w:pPr>
        <w:spacing w:line="360" w:lineRule="auto"/>
        <w:rPr>
          <w:color w:val="auto"/>
          <w:sz w:val="28"/>
          <w:szCs w:val="28"/>
        </w:rPr>
      </w:pPr>
      <w:r>
        <w:rPr>
          <w:rFonts w:eastAsia="黑体"/>
          <w:color w:val="auto"/>
          <w:szCs w:val="28"/>
        </w:rPr>
        <w:fldChar w:fldCharType="end"/>
      </w:r>
    </w:p>
    <w:p>
      <w:pPr>
        <w:adjustRightInd w:val="0"/>
        <w:snapToGrid w:val="0"/>
        <w:spacing w:line="500" w:lineRule="exact"/>
        <w:rPr>
          <w:color w:val="auto"/>
          <w:sz w:val="28"/>
          <w:szCs w:val="28"/>
        </w:rPr>
      </w:pPr>
    </w:p>
    <w:p>
      <w:pPr>
        <w:adjustRightInd w:val="0"/>
        <w:snapToGrid w:val="0"/>
        <w:spacing w:line="500" w:lineRule="exact"/>
        <w:rPr>
          <w:color w:val="auto"/>
          <w:sz w:val="28"/>
          <w:szCs w:val="28"/>
        </w:rPr>
      </w:pPr>
    </w:p>
    <w:p>
      <w:pPr>
        <w:adjustRightInd w:val="0"/>
        <w:snapToGrid w:val="0"/>
        <w:spacing w:line="288" w:lineRule="auto"/>
        <w:rPr>
          <w:rFonts w:eastAsia="FangSong_GB2312"/>
          <w:color w:val="auto"/>
          <w:sz w:val="36"/>
          <w:szCs w:val="36"/>
        </w:rPr>
        <w:sectPr>
          <w:footerReference r:id="rId3" w:type="default"/>
          <w:footerReference r:id="rId4" w:type="even"/>
          <w:pgSz w:w="11905" w:h="16838"/>
          <w:pgMar w:top="1134" w:right="1134" w:bottom="1134" w:left="1134" w:header="851" w:footer="1077" w:gutter="0"/>
          <w:pgNumType w:start="3"/>
          <w:cols w:space="720" w:num="1"/>
          <w:docGrid w:type="linesAndChars" w:linePitch="323" w:charSpace="0"/>
        </w:sectPr>
      </w:pPr>
    </w:p>
    <w:p>
      <w:pPr>
        <w:pStyle w:val="2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5" w:name="_Toc24075"/>
      <w:bookmarkStart w:id="6" w:name="_Toc15214"/>
      <w:r>
        <w:rPr>
          <w:rFonts w:ascii="Times New Roman" w:hAnsi="Times New Roman" w:eastAsia="黑体"/>
          <w:snapToGrid w:val="0"/>
          <w:color w:val="auto"/>
          <w:sz w:val="30"/>
          <w:szCs w:val="30"/>
        </w:rPr>
        <w:t>一、建设项目基本情况</w:t>
      </w:r>
      <w:bookmarkEnd w:id="5"/>
      <w:bookmarkEnd w:id="6"/>
    </w:p>
    <w:tbl>
      <w:tblPr>
        <w:tblStyle w:val="34"/>
        <w:tblW w:w="49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6"/>
        <w:gridCol w:w="2213"/>
        <w:gridCol w:w="2277"/>
        <w:gridCol w:w="3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4193" w:type="pct"/>
            <w:gridSpan w:val="3"/>
            <w:vAlign w:val="center"/>
          </w:tcPr>
          <w:p>
            <w:pPr>
              <w:adjustRightInd w:val="0"/>
              <w:snapToGrid w:val="0"/>
              <w:jc w:val="center"/>
              <w:rPr>
                <w:rFonts w:hint="eastAsia" w:eastAsia="宋体"/>
                <w:color w:val="auto"/>
                <w:sz w:val="24"/>
                <w:lang w:eastAsia="zh-CN"/>
              </w:rPr>
            </w:pPr>
            <w:r>
              <w:rPr>
                <w:rFonts w:hint="eastAsia"/>
                <w:color w:val="auto"/>
                <w:sz w:val="24"/>
                <w:szCs w:val="24"/>
                <w:lang w:eastAsia="zh-CN"/>
              </w:rPr>
              <w:t>伊春市交通路桥建筑有限责任公司建设项目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4193" w:type="pct"/>
            <w:gridSpan w:val="3"/>
            <w:vAlign w:val="center"/>
          </w:tcPr>
          <w:p>
            <w:pPr>
              <w:adjustRightInd w:val="0"/>
              <w:snapToGrid w:val="0"/>
              <w:jc w:val="center"/>
              <w:rPr>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148" w:type="pct"/>
            <w:vAlign w:val="center"/>
          </w:tcPr>
          <w:p>
            <w:pPr>
              <w:adjustRightInd w:val="0"/>
              <w:snapToGrid w:val="0"/>
              <w:jc w:val="center"/>
              <w:rPr>
                <w:color w:val="auto"/>
                <w:sz w:val="24"/>
                <w:szCs w:val="24"/>
              </w:rPr>
            </w:pPr>
            <w:r>
              <w:rPr>
                <w:rFonts w:hint="eastAsia"/>
                <w:color w:val="auto"/>
                <w:sz w:val="24"/>
                <w:szCs w:val="24"/>
                <w:lang w:val="en-US" w:eastAsia="zh-CN"/>
              </w:rPr>
              <w:t>郝勇</w:t>
            </w:r>
          </w:p>
        </w:tc>
        <w:tc>
          <w:tcPr>
            <w:tcW w:w="1181" w:type="pct"/>
            <w:vAlign w:val="center"/>
          </w:tcPr>
          <w:p>
            <w:pPr>
              <w:adjustRightInd w:val="0"/>
              <w:snapToGrid w:val="0"/>
              <w:jc w:val="center"/>
              <w:rPr>
                <w:color w:val="auto"/>
                <w:sz w:val="24"/>
                <w:szCs w:val="24"/>
              </w:rPr>
            </w:pPr>
            <w:r>
              <w:rPr>
                <w:color w:val="auto"/>
                <w:sz w:val="24"/>
                <w:szCs w:val="24"/>
              </w:rPr>
              <w:t>联系方式</w:t>
            </w:r>
          </w:p>
        </w:tc>
        <w:tc>
          <w:tcPr>
            <w:tcW w:w="1863" w:type="pct"/>
            <w:vAlign w:val="center"/>
          </w:tcPr>
          <w:p>
            <w:pPr>
              <w:adjustRightInd w:val="0"/>
              <w:snapToGrid w:val="0"/>
              <w:jc w:val="center"/>
              <w:rPr>
                <w:color w:val="auto"/>
                <w:sz w:val="24"/>
                <w:szCs w:val="24"/>
              </w:rPr>
            </w:pPr>
            <w:bookmarkStart w:id="336" w:name="_GoBack"/>
            <w:bookmarkEnd w:id="33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4193" w:type="pct"/>
            <w:gridSpan w:val="3"/>
            <w:vAlign w:val="center"/>
          </w:tcPr>
          <w:p>
            <w:pPr>
              <w:adjustRightInd w:val="0"/>
              <w:snapToGrid w:val="0"/>
              <w:jc w:val="center"/>
              <w:rPr>
                <w:rFonts w:hint="default" w:eastAsia="宋体"/>
                <w:color w:val="auto"/>
                <w:sz w:val="24"/>
                <w:lang w:val="en-US" w:eastAsia="zh-CN"/>
              </w:rPr>
            </w:pPr>
            <w:r>
              <w:rPr>
                <w:rFonts w:hint="eastAsia"/>
                <w:color w:val="auto"/>
                <w:sz w:val="24"/>
              </w:rPr>
              <w:t>伊春市</w:t>
            </w:r>
            <w:r>
              <w:rPr>
                <w:rFonts w:hint="eastAsia"/>
                <w:color w:val="auto"/>
                <w:sz w:val="24"/>
                <w:lang w:val="en-US" w:eastAsia="zh-CN"/>
              </w:rPr>
              <w:t>伊美</w:t>
            </w:r>
            <w:r>
              <w:rPr>
                <w:rFonts w:hint="eastAsia"/>
                <w:color w:val="auto"/>
                <w:sz w:val="24"/>
              </w:rPr>
              <w:t>区</w:t>
            </w:r>
            <w:r>
              <w:rPr>
                <w:rFonts w:hint="eastAsia"/>
                <w:color w:val="auto"/>
                <w:sz w:val="24"/>
                <w:lang w:val="en-US" w:eastAsia="zh-CN"/>
              </w:rPr>
              <w:t>伊敏林场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4193" w:type="pct"/>
            <w:gridSpan w:val="3"/>
            <w:vAlign w:val="center"/>
          </w:tcPr>
          <w:p>
            <w:pPr>
              <w:jc w:val="center"/>
              <w:rPr>
                <w:color w:val="auto"/>
                <w:sz w:val="24"/>
              </w:rPr>
            </w:pPr>
            <w:r>
              <w:rPr>
                <w:color w:val="auto"/>
                <w:sz w:val="24"/>
              </w:rPr>
              <w:t>（</w:t>
            </w:r>
            <w:r>
              <w:rPr>
                <w:color w:val="auto"/>
                <w:sz w:val="24"/>
                <w:u w:val="single"/>
              </w:rPr>
              <w:t>1</w:t>
            </w:r>
            <w:r>
              <w:rPr>
                <w:rFonts w:hint="eastAsia"/>
                <w:color w:val="auto"/>
                <w:sz w:val="24"/>
                <w:u w:val="single"/>
              </w:rPr>
              <w:t>28</w:t>
            </w:r>
            <w:r>
              <w:rPr>
                <w:color w:val="auto"/>
                <w:sz w:val="24"/>
              </w:rPr>
              <w:t>度</w:t>
            </w:r>
            <w:r>
              <w:rPr>
                <w:rFonts w:hint="eastAsia"/>
                <w:color w:val="auto"/>
                <w:sz w:val="24"/>
                <w:u w:val="single"/>
                <w:lang w:val="en-US" w:eastAsia="zh-CN"/>
              </w:rPr>
              <w:t>57</w:t>
            </w:r>
            <w:r>
              <w:rPr>
                <w:color w:val="auto"/>
                <w:sz w:val="24"/>
              </w:rPr>
              <w:t>分</w:t>
            </w:r>
            <w:r>
              <w:rPr>
                <w:rFonts w:hint="eastAsia"/>
                <w:color w:val="auto"/>
                <w:sz w:val="24"/>
                <w:u w:val="single"/>
                <w:lang w:val="en-US" w:eastAsia="zh-CN"/>
              </w:rPr>
              <w:t>9.00</w:t>
            </w:r>
            <w:r>
              <w:rPr>
                <w:color w:val="auto"/>
                <w:sz w:val="24"/>
              </w:rPr>
              <w:t>秒，</w:t>
            </w:r>
            <w:r>
              <w:rPr>
                <w:rFonts w:hint="eastAsia"/>
                <w:color w:val="auto"/>
                <w:sz w:val="24"/>
                <w:u w:val="single"/>
              </w:rPr>
              <w:t>47</w:t>
            </w:r>
            <w:r>
              <w:rPr>
                <w:color w:val="auto"/>
                <w:sz w:val="24"/>
              </w:rPr>
              <w:t>度</w:t>
            </w:r>
            <w:r>
              <w:rPr>
                <w:rFonts w:hint="eastAsia"/>
                <w:color w:val="auto"/>
                <w:sz w:val="24"/>
                <w:u w:val="single"/>
                <w:lang w:val="en-US" w:eastAsia="zh-CN"/>
              </w:rPr>
              <w:t>42</w:t>
            </w:r>
            <w:r>
              <w:rPr>
                <w:color w:val="auto"/>
                <w:sz w:val="24"/>
              </w:rPr>
              <w:t>分</w:t>
            </w:r>
            <w:r>
              <w:rPr>
                <w:rFonts w:hint="eastAsia"/>
                <w:color w:val="auto"/>
                <w:sz w:val="24"/>
                <w:u w:val="single"/>
                <w:lang w:val="en-US" w:eastAsia="zh-CN"/>
              </w:rPr>
              <w:t>19.94</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1" w:hRule="atLeast"/>
          <w:jc w:val="center"/>
        </w:trPr>
        <w:tc>
          <w:tcPr>
            <w:tcW w:w="806" w:type="pct"/>
            <w:tcMar>
              <w:top w:w="16" w:type="dxa"/>
              <w:left w:w="16" w:type="dxa"/>
              <w:right w:w="16" w:type="dxa"/>
            </w:tcMar>
            <w:vAlign w:val="center"/>
          </w:tcPr>
          <w:p>
            <w:pPr>
              <w:jc w:val="center"/>
              <w:rPr>
                <w:color w:val="auto"/>
                <w:sz w:val="24"/>
              </w:rPr>
            </w:pPr>
            <w:r>
              <w:rPr>
                <w:rFonts w:hint="eastAsia"/>
                <w:color w:val="auto"/>
                <w:sz w:val="24"/>
              </w:rPr>
              <w:t>□</w:t>
            </w:r>
            <w:r>
              <w:rPr>
                <w:color w:val="auto"/>
                <w:sz w:val="24"/>
              </w:rPr>
              <w:t>国民经济</w:t>
            </w:r>
          </w:p>
          <w:p>
            <w:pPr>
              <w:jc w:val="center"/>
              <w:rPr>
                <w:color w:val="auto"/>
                <w:sz w:val="24"/>
              </w:rPr>
            </w:pPr>
            <w:r>
              <w:rPr>
                <w:color w:val="auto"/>
                <w:sz w:val="24"/>
              </w:rPr>
              <w:t>行业类别</w:t>
            </w:r>
          </w:p>
        </w:tc>
        <w:tc>
          <w:tcPr>
            <w:tcW w:w="1148" w:type="pct"/>
            <w:vAlign w:val="center"/>
          </w:tcPr>
          <w:p>
            <w:pPr>
              <w:jc w:val="center"/>
              <w:rPr>
                <w:color w:val="auto"/>
                <w:sz w:val="24"/>
              </w:rPr>
            </w:pPr>
            <w:r>
              <w:rPr>
                <w:color w:val="auto"/>
                <w:sz w:val="24"/>
              </w:rPr>
              <w:t>C309</w:t>
            </w:r>
            <w:r>
              <w:rPr>
                <w:rFonts w:hint="eastAsia"/>
                <w:color w:val="auto"/>
                <w:sz w:val="24"/>
              </w:rPr>
              <w:t>9</w:t>
            </w:r>
            <w:r>
              <w:rPr>
                <w:color w:val="auto"/>
                <w:sz w:val="24"/>
              </w:rPr>
              <w:t>其他非金属矿物制品制造</w:t>
            </w:r>
          </w:p>
        </w:tc>
        <w:tc>
          <w:tcPr>
            <w:tcW w:w="1181" w:type="pct"/>
            <w:vAlign w:val="center"/>
          </w:tcPr>
          <w:p>
            <w:pPr>
              <w:adjustRightInd w:val="0"/>
              <w:snapToGrid w:val="0"/>
              <w:jc w:val="center"/>
              <w:rPr>
                <w:color w:val="auto"/>
                <w:sz w:val="24"/>
              </w:rPr>
            </w:pPr>
            <w:bookmarkStart w:id="7" w:name="_Hlk49843745"/>
            <w:r>
              <w:rPr>
                <w:color w:val="auto"/>
                <w:sz w:val="24"/>
              </w:rPr>
              <w:t>建设项目</w:t>
            </w:r>
          </w:p>
          <w:p>
            <w:pPr>
              <w:adjustRightInd w:val="0"/>
              <w:snapToGrid w:val="0"/>
              <w:jc w:val="center"/>
              <w:rPr>
                <w:color w:val="auto"/>
                <w:sz w:val="24"/>
              </w:rPr>
            </w:pPr>
            <w:r>
              <w:rPr>
                <w:color w:val="auto"/>
                <w:sz w:val="24"/>
              </w:rPr>
              <w:t>行业类别</w:t>
            </w:r>
            <w:bookmarkEnd w:id="7"/>
          </w:p>
        </w:tc>
        <w:tc>
          <w:tcPr>
            <w:tcW w:w="1863" w:type="pct"/>
            <w:vAlign w:val="center"/>
          </w:tcPr>
          <w:p>
            <w:pPr>
              <w:adjustRightInd w:val="0"/>
              <w:snapToGrid w:val="0"/>
              <w:jc w:val="center"/>
              <w:rPr>
                <w:color w:val="auto"/>
                <w:sz w:val="24"/>
              </w:rPr>
            </w:pPr>
            <w:r>
              <w:rPr>
                <w:rFonts w:hint="eastAsia"/>
                <w:color w:val="auto"/>
                <w:sz w:val="24"/>
              </w:rPr>
              <w:t xml:space="preserve">二十七、非金属矿物制品业 </w:t>
            </w:r>
            <w:r>
              <w:rPr>
                <w:color w:val="auto"/>
                <w:sz w:val="24"/>
              </w:rPr>
              <w:t>60、石墨及其他非金属矿物制品制造309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148" w:type="pct"/>
            <w:vAlign w:val="center"/>
          </w:tcPr>
          <w:p>
            <w:pPr>
              <w:jc w:val="center"/>
              <w:rPr>
                <w:color w:val="auto"/>
                <w:sz w:val="24"/>
              </w:rPr>
            </w:pPr>
            <w:r>
              <w:rPr>
                <w:rFonts w:hint="eastAsia"/>
                <w:color w:val="auto"/>
                <w:sz w:val="24"/>
                <w:lang w:eastAsia="zh-CN"/>
              </w:rPr>
              <w:t>□</w:t>
            </w:r>
            <w:r>
              <w:rPr>
                <w:color w:val="auto"/>
                <w:sz w:val="24"/>
              </w:rPr>
              <w:t>新建（迁建）</w:t>
            </w:r>
          </w:p>
          <w:p>
            <w:pPr>
              <w:jc w:val="center"/>
              <w:rPr>
                <w:color w:val="auto"/>
                <w:sz w:val="24"/>
              </w:rPr>
            </w:pPr>
            <w:r>
              <w:rPr>
                <w:rFonts w:hint="eastAsia"/>
                <w:color w:val="auto"/>
                <w:sz w:val="24"/>
                <w:lang w:eastAsia="zh-CN"/>
              </w:rPr>
              <w:t>☑</w:t>
            </w:r>
            <w:r>
              <w:rPr>
                <w:color w:val="auto"/>
                <w:sz w:val="24"/>
              </w:rPr>
              <w:t>改建</w:t>
            </w:r>
          </w:p>
          <w:p>
            <w:pPr>
              <w:jc w:val="center"/>
              <w:rPr>
                <w:color w:val="auto"/>
                <w:sz w:val="24"/>
              </w:rPr>
            </w:pPr>
            <w:r>
              <w:rPr>
                <w:rFonts w:hint="eastAsia"/>
                <w:color w:val="auto"/>
                <w:sz w:val="24"/>
                <w:lang w:eastAsia="zh-CN"/>
              </w:rPr>
              <w:t>☑</w:t>
            </w:r>
            <w:r>
              <w:rPr>
                <w:color w:val="auto"/>
                <w:sz w:val="24"/>
              </w:rPr>
              <w:t>扩建</w:t>
            </w:r>
          </w:p>
          <w:p>
            <w:pPr>
              <w:jc w:val="center"/>
              <w:rPr>
                <w:color w:val="auto"/>
                <w:sz w:val="24"/>
              </w:rPr>
            </w:pPr>
            <w:r>
              <w:rPr>
                <w:rFonts w:hint="eastAsia"/>
                <w:color w:val="auto"/>
                <w:sz w:val="24"/>
              </w:rPr>
              <w:t>□</w:t>
            </w:r>
            <w:r>
              <w:rPr>
                <w:color w:val="auto"/>
                <w:sz w:val="24"/>
              </w:rPr>
              <w:t>技术改造</w:t>
            </w:r>
          </w:p>
        </w:tc>
        <w:tc>
          <w:tcPr>
            <w:tcW w:w="1181" w:type="pct"/>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1863" w:type="pct"/>
            <w:vAlign w:val="center"/>
          </w:tcPr>
          <w:p>
            <w:pPr>
              <w:jc w:val="center"/>
              <w:rPr>
                <w:color w:val="auto"/>
                <w:sz w:val="24"/>
              </w:rPr>
            </w:pPr>
            <w:r>
              <w:rPr>
                <w:rFonts w:hint="eastAsia"/>
                <w:color w:val="auto"/>
                <w:sz w:val="24"/>
              </w:rPr>
              <w:t>☑</w:t>
            </w:r>
            <w:r>
              <w:rPr>
                <w:color w:val="auto"/>
                <w:sz w:val="24"/>
              </w:rPr>
              <w:t xml:space="preserve">首次申报项目             </w:t>
            </w:r>
          </w:p>
          <w:p>
            <w:pPr>
              <w:jc w:val="center"/>
              <w:rPr>
                <w:color w:val="auto"/>
                <w:sz w:val="24"/>
              </w:rPr>
            </w:pPr>
            <w:r>
              <w:rPr>
                <w:color w:val="auto"/>
                <w:sz w:val="24"/>
              </w:rPr>
              <w:t>□不予批准后再次申报项目</w:t>
            </w:r>
          </w:p>
          <w:p>
            <w:pPr>
              <w:jc w:val="center"/>
              <w:rPr>
                <w:color w:val="auto"/>
                <w:sz w:val="24"/>
              </w:rPr>
            </w:pPr>
            <w:r>
              <w:rPr>
                <w:color w:val="auto"/>
                <w:sz w:val="24"/>
              </w:rPr>
              <w:t xml:space="preserve">□超五年重新审核项目     </w:t>
            </w:r>
          </w:p>
          <w:p>
            <w:pPr>
              <w:jc w:val="center"/>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148" w:type="pct"/>
            <w:vAlign w:val="center"/>
          </w:tcPr>
          <w:p>
            <w:pPr>
              <w:adjustRightInd w:val="0"/>
              <w:snapToGrid w:val="0"/>
              <w:jc w:val="center"/>
              <w:rPr>
                <w:color w:val="auto"/>
                <w:sz w:val="24"/>
              </w:rPr>
            </w:pPr>
            <w:r>
              <w:rPr>
                <w:color w:val="auto"/>
                <w:sz w:val="24"/>
              </w:rPr>
              <w:t>/</w:t>
            </w:r>
          </w:p>
        </w:tc>
        <w:tc>
          <w:tcPr>
            <w:tcW w:w="1181" w:type="pct"/>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1863" w:type="pct"/>
            <w:vAlign w:val="center"/>
          </w:tcPr>
          <w:p>
            <w:pPr>
              <w:adjustRightInd w:val="0"/>
              <w:snapToGrid w:val="0"/>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148" w:type="pct"/>
            <w:vAlign w:val="center"/>
          </w:tcPr>
          <w:p>
            <w:pPr>
              <w:adjustRightInd w:val="0"/>
              <w:snapToGrid w:val="0"/>
              <w:jc w:val="center"/>
              <w:rPr>
                <w:rFonts w:hint="default" w:eastAsia="宋体"/>
                <w:color w:val="auto"/>
                <w:sz w:val="24"/>
                <w:lang w:val="en-US" w:eastAsia="zh-CN"/>
              </w:rPr>
            </w:pPr>
            <w:r>
              <w:rPr>
                <w:rFonts w:hint="eastAsia"/>
                <w:color w:val="auto"/>
                <w:sz w:val="24"/>
                <w:highlight w:val="none"/>
                <w:lang w:val="en-US" w:eastAsia="zh-CN"/>
              </w:rPr>
              <w:t>650</w:t>
            </w:r>
          </w:p>
        </w:tc>
        <w:tc>
          <w:tcPr>
            <w:tcW w:w="1181" w:type="pct"/>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1863" w:type="pct"/>
            <w:vAlign w:val="center"/>
          </w:tcPr>
          <w:p>
            <w:pPr>
              <w:adjustRightInd w:val="0"/>
              <w:snapToGrid w:val="0"/>
              <w:jc w:val="center"/>
              <w:rPr>
                <w:color w:val="auto"/>
                <w:sz w:val="24"/>
              </w:rPr>
            </w:pPr>
            <w:r>
              <w:rPr>
                <w:rFonts w:hint="eastAsia"/>
                <w:color w:val="auto"/>
                <w:sz w:val="24"/>
                <w:highlight w:val="none"/>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148" w:type="pct"/>
            <w:vAlign w:val="center"/>
          </w:tcPr>
          <w:p>
            <w:pPr>
              <w:adjustRightInd w:val="0"/>
              <w:snapToGrid w:val="0"/>
              <w:jc w:val="center"/>
              <w:rPr>
                <w:rFonts w:hint="default" w:eastAsia="宋体"/>
                <w:color w:val="auto"/>
                <w:sz w:val="24"/>
                <w:lang w:val="en-US" w:eastAsia="zh-CN"/>
              </w:rPr>
            </w:pPr>
            <w:r>
              <w:rPr>
                <w:rFonts w:hint="eastAsia"/>
                <w:color w:val="auto"/>
                <w:sz w:val="24"/>
                <w:highlight w:val="none"/>
                <w:lang w:val="en-US" w:eastAsia="zh-CN"/>
              </w:rPr>
              <w:t>2.3</w:t>
            </w:r>
          </w:p>
        </w:tc>
        <w:tc>
          <w:tcPr>
            <w:tcW w:w="1181" w:type="pct"/>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1863" w:type="pct"/>
            <w:vAlign w:val="center"/>
          </w:tcPr>
          <w:p>
            <w:pPr>
              <w:adjustRightInd w:val="0"/>
              <w:snapToGrid w:val="0"/>
              <w:jc w:val="center"/>
              <w:rPr>
                <w:color w:val="auto"/>
                <w:sz w:val="24"/>
              </w:rPr>
            </w:pPr>
            <w:r>
              <w:rPr>
                <w:color w:val="auto"/>
                <w:sz w:val="24"/>
              </w:rPr>
              <w:t>202</w:t>
            </w:r>
            <w:r>
              <w:rPr>
                <w:rFonts w:hint="eastAsia"/>
                <w:color w:val="auto"/>
                <w:sz w:val="24"/>
                <w:lang w:val="en-US" w:eastAsia="zh-CN"/>
              </w:rPr>
              <w:t>6</w:t>
            </w:r>
            <w:r>
              <w:rPr>
                <w:color w:val="auto"/>
                <w:sz w:val="24"/>
              </w:rPr>
              <w:t>年</w:t>
            </w:r>
            <w:r>
              <w:rPr>
                <w:rFonts w:hint="eastAsia"/>
                <w:color w:val="auto"/>
                <w:sz w:val="24"/>
                <w:lang w:val="en-US" w:eastAsia="zh-CN"/>
              </w:rPr>
              <w:t>7</w:t>
            </w:r>
            <w:r>
              <w:rPr>
                <w:color w:val="auto"/>
                <w:sz w:val="24"/>
              </w:rPr>
              <w:t>月-202</w:t>
            </w:r>
            <w:r>
              <w:rPr>
                <w:rFonts w:hint="eastAsia"/>
                <w:color w:val="auto"/>
                <w:sz w:val="24"/>
                <w:lang w:val="en-US" w:eastAsia="zh-CN"/>
              </w:rPr>
              <w:t>6</w:t>
            </w:r>
            <w:r>
              <w:rPr>
                <w:color w:val="auto"/>
                <w:sz w:val="24"/>
              </w:rPr>
              <w:t>年</w:t>
            </w:r>
            <w:r>
              <w:rPr>
                <w:rFonts w:hint="eastAsia"/>
                <w:color w:val="auto"/>
                <w:sz w:val="24"/>
                <w:lang w:val="en-US" w:eastAsia="zh-CN"/>
              </w:rPr>
              <w:t>8</w:t>
            </w:r>
            <w:r>
              <w:rPr>
                <w:color w:val="auto"/>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148" w:type="pct"/>
            <w:vAlign w:val="center"/>
          </w:tcPr>
          <w:p>
            <w:pPr>
              <w:adjustRightInd w:val="0"/>
              <w:snapToGrid w:val="0"/>
              <w:jc w:val="center"/>
              <w:rPr>
                <w:color w:val="auto"/>
                <w:sz w:val="24"/>
              </w:rPr>
            </w:pPr>
            <w:r>
              <w:rPr>
                <w:rFonts w:hint="eastAsia"/>
                <w:color w:val="auto"/>
                <w:sz w:val="24"/>
              </w:rPr>
              <w:t>☑</w:t>
            </w:r>
            <w:r>
              <w:rPr>
                <w:color w:val="auto"/>
                <w:sz w:val="24"/>
              </w:rPr>
              <w:t>否</w:t>
            </w:r>
          </w:p>
          <w:p>
            <w:pPr>
              <w:adjustRightInd w:val="0"/>
              <w:snapToGrid w:val="0"/>
              <w:jc w:val="center"/>
              <w:rPr>
                <w:color w:val="auto"/>
                <w:sz w:val="24"/>
              </w:rPr>
            </w:pPr>
            <w:r>
              <w:rPr>
                <w:color w:val="auto"/>
                <w:sz w:val="24"/>
              </w:rPr>
              <w:t>□是</w:t>
            </w:r>
          </w:p>
        </w:tc>
        <w:tc>
          <w:tcPr>
            <w:tcW w:w="1181" w:type="pct"/>
            <w:tcMar>
              <w:top w:w="16" w:type="dxa"/>
              <w:left w:w="16" w:type="dxa"/>
              <w:right w:w="16" w:type="dxa"/>
            </w:tcMar>
            <w:vAlign w:val="center"/>
          </w:tcPr>
          <w:p>
            <w:pPr>
              <w:adjustRightInd w:val="0"/>
              <w:snapToGrid w:val="0"/>
              <w:jc w:val="center"/>
              <w:rPr>
                <w:color w:val="auto"/>
                <w:sz w:val="24"/>
              </w:rPr>
            </w:pPr>
            <w:r>
              <w:rPr>
                <w:color w:val="auto"/>
                <w:spacing w:val="-6"/>
                <w:sz w:val="24"/>
              </w:rPr>
              <w:t>用地面积（m</w:t>
            </w:r>
            <w:r>
              <w:rPr>
                <w:color w:val="auto"/>
                <w:spacing w:val="-6"/>
                <w:sz w:val="24"/>
                <w:vertAlign w:val="superscript"/>
              </w:rPr>
              <w:t>2</w:t>
            </w:r>
            <w:r>
              <w:rPr>
                <w:color w:val="auto"/>
                <w:spacing w:val="-6"/>
                <w:sz w:val="24"/>
              </w:rPr>
              <w:t>）</w:t>
            </w:r>
          </w:p>
        </w:tc>
        <w:tc>
          <w:tcPr>
            <w:tcW w:w="1863" w:type="pct"/>
            <w:vAlign w:val="center"/>
          </w:tcPr>
          <w:p>
            <w:pPr>
              <w:adjustRightInd w:val="0"/>
              <w:snapToGrid w:val="0"/>
              <w:jc w:val="center"/>
              <w:rPr>
                <w:rFonts w:hint="default" w:eastAsia="宋体"/>
                <w:color w:val="auto"/>
                <w:sz w:val="24"/>
                <w:lang w:val="en-US" w:eastAsia="zh-CN"/>
              </w:rPr>
            </w:pPr>
            <w:r>
              <w:rPr>
                <w:rFonts w:hint="eastAsia"/>
                <w:color w:val="auto"/>
                <w:sz w:val="24"/>
                <w:lang w:eastAsia="zh-CN"/>
              </w:rPr>
              <w:t>3</w:t>
            </w:r>
            <w:r>
              <w:rPr>
                <w:rFonts w:hint="eastAsia"/>
                <w:color w:val="auto"/>
                <w:sz w:val="24"/>
                <w:lang w:val="en-US" w:eastAsia="zh-CN"/>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4193" w:type="pct"/>
            <w:gridSpan w:val="3"/>
            <w:vAlign w:val="center"/>
          </w:tcPr>
          <w:p>
            <w:pPr>
              <w:autoSpaceDE w:val="0"/>
              <w:autoSpaceDN w:val="0"/>
              <w:adjustRightInd w:val="0"/>
              <w:snapToGrid w:val="0"/>
              <w:jc w:val="center"/>
              <w:rPr>
                <w:color w:val="auto"/>
                <w:kern w:val="0"/>
                <w:sz w:val="24"/>
              </w:rPr>
            </w:pPr>
            <w:r>
              <w:rPr>
                <w:rFonts w:hint="eastAsia" w:hAnsiTheme="minorEastAsia" w:eastAsiaTheme="minorEastAsia"/>
                <w:b/>
                <w:bCs/>
                <w:color w:val="auto"/>
                <w:kern w:val="0"/>
                <w:sz w:val="24"/>
              </w:rPr>
              <w:t>表1</w:t>
            </w:r>
            <w:r>
              <w:rPr>
                <w:rFonts w:hAnsiTheme="minorEastAsia" w:eastAsiaTheme="minorEastAsia"/>
                <w:b/>
                <w:bCs/>
                <w:color w:val="auto"/>
                <w:kern w:val="0"/>
                <w:sz w:val="24"/>
              </w:rPr>
              <w:t xml:space="preserve">-1 </w:t>
            </w:r>
            <w:r>
              <w:rPr>
                <w:rFonts w:hint="eastAsia" w:hAnsiTheme="minorEastAsia" w:eastAsiaTheme="minorEastAsia"/>
                <w:b/>
                <w:bCs/>
                <w:color w:val="auto"/>
                <w:kern w:val="0"/>
                <w:sz w:val="24"/>
              </w:rPr>
              <w:t>专项评价设置情况</w:t>
            </w:r>
          </w:p>
          <w:tbl>
            <w:tblPr>
              <w:tblStyle w:val="3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052"/>
              <w:gridCol w:w="2754"/>
              <w:gridCol w:w="1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43"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专项评价类别</w:t>
                  </w:r>
                </w:p>
              </w:tc>
              <w:tc>
                <w:tcPr>
                  <w:tcW w:w="1939"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设置原则</w:t>
                  </w:r>
                </w:p>
              </w:tc>
              <w:tc>
                <w:tcPr>
                  <w:tcW w:w="1750"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本项目情况</w:t>
                  </w:r>
                </w:p>
              </w:tc>
              <w:tc>
                <w:tcPr>
                  <w:tcW w:w="666"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43"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 xml:space="preserve">      大气</w:t>
                  </w:r>
                </w:p>
              </w:tc>
              <w:tc>
                <w:tcPr>
                  <w:tcW w:w="1939"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排放废气含有毒有害污染物、二噁英、苯并</w:t>
                  </w:r>
                  <w:r>
                    <w:rPr>
                      <w:rFonts w:hAnsiTheme="minorEastAsia" w:eastAsiaTheme="minorEastAsia"/>
                      <w:color w:val="auto"/>
                      <w:kern w:val="0"/>
                      <w:sz w:val="20"/>
                      <w:szCs w:val="21"/>
                    </w:rPr>
                    <w:t>[a]</w:t>
                  </w:r>
                  <w:r>
                    <w:rPr>
                      <w:rFonts w:hint="eastAsia" w:hAnsiTheme="minorEastAsia" w:eastAsiaTheme="minorEastAsia"/>
                      <w:color w:val="auto"/>
                      <w:kern w:val="0"/>
                      <w:sz w:val="20"/>
                      <w:szCs w:val="21"/>
                    </w:rPr>
                    <w:t>芘、氰化物、氯气且厂界外</w:t>
                  </w:r>
                  <w:r>
                    <w:rPr>
                      <w:rFonts w:hAnsiTheme="minorEastAsia" w:eastAsiaTheme="minorEastAsia"/>
                      <w:color w:val="auto"/>
                      <w:kern w:val="0"/>
                      <w:sz w:val="20"/>
                      <w:szCs w:val="21"/>
                    </w:rPr>
                    <w:t xml:space="preserve">500 </w:t>
                  </w:r>
                  <w:r>
                    <w:rPr>
                      <w:rFonts w:hint="eastAsia" w:hAnsiTheme="minorEastAsia" w:eastAsiaTheme="minorEastAsia"/>
                      <w:color w:val="auto"/>
                      <w:kern w:val="0"/>
                      <w:sz w:val="20"/>
                      <w:szCs w:val="21"/>
                    </w:rPr>
                    <w:t>米范围内有环境空气保护目标的建设项目</w:t>
                  </w:r>
                </w:p>
              </w:tc>
              <w:tc>
                <w:tcPr>
                  <w:tcW w:w="1750"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AnsiTheme="minorEastAsia" w:eastAsiaTheme="minorEastAsia"/>
                      <w:color w:val="auto"/>
                      <w:kern w:val="0"/>
                      <w:sz w:val="20"/>
                      <w:szCs w:val="21"/>
                    </w:rPr>
                    <w:t>本项目运营期排放的</w:t>
                  </w:r>
                  <w:r>
                    <w:rPr>
                      <w:rFonts w:hint="eastAsia" w:hAnsiTheme="minorEastAsia" w:eastAsiaTheme="minorEastAsia"/>
                      <w:color w:val="auto"/>
                      <w:kern w:val="0"/>
                      <w:sz w:val="20"/>
                      <w:szCs w:val="21"/>
                    </w:rPr>
                    <w:t>沥青</w:t>
                  </w:r>
                  <w:r>
                    <w:rPr>
                      <w:rFonts w:hAnsiTheme="minorEastAsia" w:eastAsiaTheme="minorEastAsia"/>
                      <w:color w:val="auto"/>
                      <w:kern w:val="0"/>
                      <w:sz w:val="20"/>
                      <w:szCs w:val="21"/>
                    </w:rPr>
                    <w:t>烟气中含有有毒有害污染物苯并[a]芘，厂界外500m范围内</w:t>
                  </w:r>
                  <w:r>
                    <w:rPr>
                      <w:rFonts w:hint="eastAsia" w:hAnsiTheme="minorEastAsia" w:eastAsiaTheme="minorEastAsia"/>
                      <w:color w:val="auto"/>
                      <w:kern w:val="0"/>
                      <w:sz w:val="20"/>
                      <w:szCs w:val="21"/>
                      <w:lang w:val="en-US" w:eastAsia="zh-CN"/>
                    </w:rPr>
                    <w:t>有</w:t>
                  </w:r>
                  <w:r>
                    <w:rPr>
                      <w:rFonts w:hAnsiTheme="minorEastAsia" w:eastAsiaTheme="minorEastAsia"/>
                      <w:color w:val="auto"/>
                      <w:kern w:val="0"/>
                      <w:sz w:val="20"/>
                      <w:szCs w:val="21"/>
                    </w:rPr>
                    <w:t>环境空气保护目标</w:t>
                  </w:r>
                </w:p>
              </w:tc>
              <w:tc>
                <w:tcPr>
                  <w:tcW w:w="666"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地表水</w:t>
                  </w:r>
                </w:p>
              </w:tc>
              <w:tc>
                <w:tcPr>
                  <w:tcW w:w="1939"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新增工业废水直排建设项目（槽罐车外送污水处理厂的除外）；新增废水直排的污水集中处理厂</w:t>
                  </w:r>
                </w:p>
              </w:tc>
              <w:tc>
                <w:tcPr>
                  <w:tcW w:w="1750"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本项目无生产废水排放，生活污水排入防渗化粪池，定期清掏，外运堆肥，不外排</w:t>
                  </w:r>
                </w:p>
              </w:tc>
              <w:tc>
                <w:tcPr>
                  <w:tcW w:w="666"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未设置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环境风险</w:t>
                  </w:r>
                </w:p>
              </w:tc>
              <w:tc>
                <w:tcPr>
                  <w:tcW w:w="1939"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有毒有害和易燃易爆危险物质存储量超过临界量的建设项目</w:t>
                  </w:r>
                </w:p>
              </w:tc>
              <w:tc>
                <w:tcPr>
                  <w:tcW w:w="1750"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本项目不涉及危险物质存储量超过临界量</w:t>
                  </w:r>
                </w:p>
              </w:tc>
              <w:tc>
                <w:tcPr>
                  <w:tcW w:w="666"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未设置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生态</w:t>
                  </w:r>
                </w:p>
              </w:tc>
              <w:tc>
                <w:tcPr>
                  <w:tcW w:w="1939"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取水口下游</w:t>
                  </w:r>
                  <w:r>
                    <w:rPr>
                      <w:rFonts w:hAnsiTheme="minorEastAsia" w:eastAsiaTheme="minorEastAsia"/>
                      <w:color w:val="auto"/>
                      <w:kern w:val="0"/>
                      <w:sz w:val="20"/>
                      <w:szCs w:val="21"/>
                    </w:rPr>
                    <w:t xml:space="preserve">500 </w:t>
                  </w:r>
                  <w:r>
                    <w:rPr>
                      <w:rFonts w:hint="eastAsia" w:hAnsiTheme="minorEastAsia" w:eastAsiaTheme="minorEastAsia"/>
                      <w:color w:val="auto"/>
                      <w:kern w:val="0"/>
                      <w:sz w:val="20"/>
                      <w:szCs w:val="21"/>
                    </w:rPr>
                    <w:t>米范围内有重要水生生物的自然产卵场、索饵场、越冬场和洄游通道的新增河道取水的污染类建设项目</w:t>
                  </w:r>
                </w:p>
              </w:tc>
              <w:tc>
                <w:tcPr>
                  <w:tcW w:w="1750"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本项目无取水口</w:t>
                  </w:r>
                </w:p>
              </w:tc>
              <w:tc>
                <w:tcPr>
                  <w:tcW w:w="666"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未设置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pPr>
                    <w:autoSpaceDE w:val="0"/>
                    <w:autoSpaceDN w:val="0"/>
                    <w:adjustRightInd w:val="0"/>
                    <w:snapToGrid w:val="0"/>
                    <w:jc w:val="center"/>
                    <w:rPr>
                      <w:rFonts w:eastAsiaTheme="minorEastAsia"/>
                      <w:color w:val="auto"/>
                      <w:kern w:val="21"/>
                      <w:sz w:val="20"/>
                      <w:szCs w:val="21"/>
                    </w:rPr>
                  </w:pPr>
                  <w:r>
                    <w:rPr>
                      <w:rFonts w:hint="eastAsia" w:hAnsiTheme="minorEastAsia" w:eastAsiaTheme="minorEastAsia"/>
                      <w:color w:val="auto"/>
                      <w:kern w:val="21"/>
                      <w:sz w:val="20"/>
                      <w:szCs w:val="21"/>
                    </w:rPr>
                    <w:t>海洋</w:t>
                  </w:r>
                </w:p>
              </w:tc>
              <w:tc>
                <w:tcPr>
                  <w:tcW w:w="1939" w:type="pct"/>
                  <w:vAlign w:val="center"/>
                </w:tcPr>
                <w:p>
                  <w:pPr>
                    <w:autoSpaceDE w:val="0"/>
                    <w:autoSpaceDN w:val="0"/>
                    <w:adjustRightInd w:val="0"/>
                    <w:snapToGrid w:val="0"/>
                    <w:jc w:val="center"/>
                    <w:rPr>
                      <w:rFonts w:eastAsiaTheme="minorEastAsia"/>
                      <w:color w:val="auto"/>
                      <w:kern w:val="21"/>
                      <w:sz w:val="20"/>
                      <w:szCs w:val="21"/>
                    </w:rPr>
                  </w:pPr>
                  <w:r>
                    <w:rPr>
                      <w:rFonts w:hint="eastAsia" w:hAnsiTheme="minorEastAsia" w:eastAsiaTheme="minorEastAsia"/>
                      <w:color w:val="auto"/>
                      <w:kern w:val="21"/>
                      <w:sz w:val="20"/>
                      <w:szCs w:val="21"/>
                    </w:rPr>
                    <w:t>直接向海排放污染物的海洋工程建设项目</w:t>
                  </w:r>
                </w:p>
              </w:tc>
              <w:tc>
                <w:tcPr>
                  <w:tcW w:w="1750" w:type="pct"/>
                  <w:vAlign w:val="center"/>
                </w:tcPr>
                <w:p>
                  <w:pPr>
                    <w:autoSpaceDE w:val="0"/>
                    <w:autoSpaceDN w:val="0"/>
                    <w:adjustRightInd w:val="0"/>
                    <w:snapToGrid w:val="0"/>
                    <w:jc w:val="center"/>
                    <w:rPr>
                      <w:rFonts w:eastAsiaTheme="minorEastAsia"/>
                      <w:color w:val="auto"/>
                      <w:kern w:val="21"/>
                      <w:sz w:val="20"/>
                      <w:szCs w:val="21"/>
                    </w:rPr>
                  </w:pPr>
                  <w:r>
                    <w:rPr>
                      <w:rFonts w:eastAsiaTheme="minorEastAsia"/>
                      <w:color w:val="auto"/>
                      <w:kern w:val="21"/>
                      <w:sz w:val="20"/>
                      <w:szCs w:val="21"/>
                    </w:rPr>
                    <w:t>本项目非海洋工程建设项目</w:t>
                  </w:r>
                </w:p>
              </w:tc>
              <w:tc>
                <w:tcPr>
                  <w:tcW w:w="666" w:type="pct"/>
                  <w:vAlign w:val="center"/>
                </w:tcPr>
                <w:p>
                  <w:pPr>
                    <w:autoSpaceDE w:val="0"/>
                    <w:autoSpaceDN w:val="0"/>
                    <w:adjustRightInd w:val="0"/>
                    <w:snapToGrid w:val="0"/>
                    <w:jc w:val="center"/>
                    <w:rPr>
                      <w:rFonts w:hAnsiTheme="minorEastAsia" w:eastAsiaTheme="minorEastAsia"/>
                      <w:color w:val="auto"/>
                      <w:kern w:val="0"/>
                      <w:sz w:val="20"/>
                      <w:szCs w:val="21"/>
                    </w:rPr>
                  </w:pPr>
                  <w:r>
                    <w:rPr>
                      <w:rFonts w:hint="eastAsia" w:hAnsiTheme="minorEastAsia" w:eastAsiaTheme="minorEastAsia"/>
                      <w:color w:val="auto"/>
                      <w:kern w:val="0"/>
                      <w:sz w:val="20"/>
                      <w:szCs w:val="21"/>
                    </w:rPr>
                    <w:t>未设置</w:t>
                  </w:r>
                </w:p>
              </w:tc>
            </w:tr>
          </w:tbl>
          <w:p>
            <w:pPr>
              <w:jc w:val="center"/>
              <w:rPr>
                <w:color w:val="auto"/>
                <w:kern w:val="0"/>
                <w:sz w:val="24"/>
              </w:rPr>
            </w:pPr>
            <w:r>
              <w:rPr>
                <w:rFonts w:ascii="Calibri" w:hAnsi="Calibri" w:cs="宋体"/>
                <w:bCs/>
                <w:color w:val="auto"/>
                <w:szCs w:val="21"/>
              </w:rPr>
              <w:t>根据上表分析可知，本项目无需开展专项评价工作。</w:t>
            </w:r>
            <w:r>
              <w:rPr>
                <w:rFonts w:hint="eastAsia"/>
                <w:color w:val="auto"/>
                <w:kern w:val="0"/>
                <w:sz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806" w:type="pct"/>
            <w:vAlign w:val="center"/>
          </w:tcPr>
          <w:p>
            <w:pPr>
              <w:autoSpaceDE w:val="0"/>
              <w:autoSpaceDN w:val="0"/>
              <w:adjustRightInd w:val="0"/>
              <w:snapToGrid w:val="0"/>
              <w:jc w:val="center"/>
              <w:rPr>
                <w:color w:val="auto"/>
                <w:sz w:val="24"/>
              </w:rPr>
            </w:pPr>
            <w:r>
              <w:rPr>
                <w:color w:val="auto"/>
                <w:sz w:val="24"/>
              </w:rPr>
              <w:t>规划情况</w:t>
            </w:r>
          </w:p>
        </w:tc>
        <w:tc>
          <w:tcPr>
            <w:tcW w:w="4193" w:type="pct"/>
            <w:gridSpan w:val="3"/>
            <w:vAlign w:val="center"/>
          </w:tcPr>
          <w:p>
            <w:pPr>
              <w:spacing w:line="360" w:lineRule="auto"/>
              <w:jc w:val="center"/>
              <w:rPr>
                <w:color w:val="auto"/>
                <w:sz w:val="24"/>
              </w:rPr>
            </w:pPr>
            <w:r>
              <w:rPr>
                <w:rFonts w:hint="eastAsia"/>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pPr>
              <w:autoSpaceDE w:val="0"/>
              <w:autoSpaceDN w:val="0"/>
              <w:adjustRightInd w:val="0"/>
              <w:snapToGrid w:val="0"/>
              <w:jc w:val="center"/>
              <w:rPr>
                <w:color w:val="auto"/>
                <w:sz w:val="24"/>
              </w:rPr>
            </w:pPr>
            <w:r>
              <w:rPr>
                <w:color w:val="auto"/>
                <w:sz w:val="24"/>
              </w:rPr>
              <w:t>规划环境影响评价情况</w:t>
            </w:r>
          </w:p>
        </w:tc>
        <w:tc>
          <w:tcPr>
            <w:tcW w:w="4193" w:type="pct"/>
            <w:gridSpan w:val="3"/>
            <w:vAlign w:val="center"/>
          </w:tcPr>
          <w:p>
            <w:pPr>
              <w:spacing w:line="360" w:lineRule="auto"/>
              <w:jc w:val="center"/>
              <w:rPr>
                <w:color w:val="auto"/>
                <w:sz w:val="24"/>
              </w:rPr>
            </w:pPr>
            <w:r>
              <w:rPr>
                <w:rFonts w:hint="eastAsia"/>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pPr>
              <w:autoSpaceDE w:val="0"/>
              <w:autoSpaceDN w:val="0"/>
              <w:adjustRightInd w:val="0"/>
              <w:snapToGrid w:val="0"/>
              <w:jc w:val="center"/>
              <w:rPr>
                <w:color w:val="auto"/>
                <w:sz w:val="24"/>
              </w:rPr>
            </w:pPr>
            <w:r>
              <w:rPr>
                <w:color w:val="auto"/>
                <w:sz w:val="24"/>
              </w:rPr>
              <w:t>规划及规划环境影响评价符合性分析</w:t>
            </w:r>
          </w:p>
        </w:tc>
        <w:tc>
          <w:tcPr>
            <w:tcW w:w="4193" w:type="pct"/>
            <w:gridSpan w:val="3"/>
            <w:vAlign w:val="center"/>
          </w:tcPr>
          <w:p>
            <w:pPr>
              <w:spacing w:line="360" w:lineRule="auto"/>
              <w:jc w:val="center"/>
              <w:rPr>
                <w:color w:val="auto"/>
                <w:sz w:val="24"/>
              </w:rPr>
            </w:pPr>
            <w:r>
              <w:rPr>
                <w:rFonts w:hint="eastAsia"/>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pct"/>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4193" w:type="pct"/>
            <w:gridSpan w:val="3"/>
            <w:vAlign w:val="center"/>
          </w:tcPr>
          <w:p>
            <w:pPr>
              <w:autoSpaceDE w:val="0"/>
              <w:autoSpaceDN w:val="0"/>
              <w:adjustRightInd w:val="0"/>
              <w:spacing w:line="360" w:lineRule="auto"/>
              <w:rPr>
                <w:b/>
                <w:bCs/>
                <w:color w:val="auto"/>
                <w:sz w:val="28"/>
                <w:szCs w:val="28"/>
              </w:rPr>
            </w:pPr>
            <w:r>
              <w:rPr>
                <w:rFonts w:hint="eastAsia"/>
                <w:b/>
                <w:bCs/>
                <w:color w:val="auto"/>
                <w:sz w:val="28"/>
                <w:szCs w:val="28"/>
              </w:rPr>
              <w:t>一、产业政策等符合性分析</w:t>
            </w:r>
          </w:p>
          <w:p>
            <w:pPr>
              <w:spacing w:line="360" w:lineRule="auto"/>
              <w:ind w:firstLine="480" w:firstLineChars="200"/>
              <w:rPr>
                <w:color w:val="auto"/>
                <w:sz w:val="24"/>
              </w:rPr>
            </w:pPr>
            <w:r>
              <w:rPr>
                <w:rFonts w:hint="eastAsia"/>
                <w:color w:val="auto"/>
                <w:sz w:val="24"/>
              </w:rPr>
              <w:t>1、产业政策符合性分析</w:t>
            </w:r>
          </w:p>
          <w:p>
            <w:pPr>
              <w:adjustRightInd w:val="0"/>
              <w:snapToGrid w:val="0"/>
              <w:spacing w:line="360" w:lineRule="auto"/>
              <w:ind w:firstLine="240" w:firstLineChars="100"/>
              <w:rPr>
                <w:rFonts w:eastAsiaTheme="minorEastAsia"/>
                <w:color w:val="auto"/>
                <w:sz w:val="24"/>
              </w:rPr>
            </w:pPr>
            <w:r>
              <w:rPr>
                <w:color w:val="auto"/>
                <w:sz w:val="24"/>
                <w:lang w:val="zh-CN"/>
              </w:rPr>
              <w:t>本项目为</w:t>
            </w:r>
            <w:r>
              <w:rPr>
                <w:rFonts w:hint="eastAsia"/>
                <w:color w:val="auto"/>
                <w:sz w:val="24"/>
                <w:lang w:val="zh-CN"/>
              </w:rPr>
              <w:t>沥青混凝土项目</w:t>
            </w:r>
            <w:r>
              <w:rPr>
                <w:color w:val="auto"/>
                <w:sz w:val="24"/>
                <w:lang w:val="zh-CN"/>
              </w:rPr>
              <w:t>，</w:t>
            </w:r>
            <w:r>
              <w:rPr>
                <w:rFonts w:ascii="宋体" w:hAnsi="宋体" w:cs="宋体"/>
                <w:color w:val="auto"/>
                <w:sz w:val="24"/>
              </w:rPr>
              <w:t>根据《产业结构调整指导目录（</w:t>
            </w:r>
            <w:r>
              <w:rPr>
                <w:color w:val="auto"/>
                <w:sz w:val="24"/>
              </w:rPr>
              <w:t>2024</w:t>
            </w:r>
            <w:r>
              <w:rPr>
                <w:rFonts w:ascii="宋体" w:hAnsi="宋体" w:cs="宋体"/>
                <w:color w:val="auto"/>
                <w:sz w:val="24"/>
              </w:rPr>
              <w:t>年本）》，本项目不属于“限制类”和“淘汰类”项目，根据国务院《促进产业结构调整暂行规定》（国发〔</w:t>
            </w:r>
            <w:r>
              <w:rPr>
                <w:color w:val="auto"/>
                <w:sz w:val="24"/>
              </w:rPr>
              <w:t>2005</w:t>
            </w:r>
            <w:r>
              <w:rPr>
                <w:rFonts w:ascii="宋体" w:hAnsi="宋体" w:cs="宋体"/>
                <w:color w:val="auto"/>
                <w:sz w:val="24"/>
              </w:rPr>
              <w:t>〕</w:t>
            </w:r>
            <w:r>
              <w:rPr>
                <w:color w:val="auto"/>
                <w:sz w:val="24"/>
              </w:rPr>
              <w:t>40</w:t>
            </w:r>
            <w:r>
              <w:rPr>
                <w:rFonts w:ascii="宋体" w:hAnsi="宋体" w:cs="宋体"/>
                <w:color w:val="auto"/>
                <w:sz w:val="24"/>
              </w:rPr>
              <w:t>号），项目的建设符合国家相关法律和政策，属允许类建设项目，符合国家产业政策。</w:t>
            </w:r>
          </w:p>
          <w:p>
            <w:pPr>
              <w:spacing w:line="360" w:lineRule="auto"/>
              <w:ind w:firstLine="480" w:firstLineChars="200"/>
              <w:rPr>
                <w:color w:val="auto"/>
                <w:sz w:val="24"/>
              </w:rPr>
            </w:pPr>
            <w:r>
              <w:rPr>
                <w:rFonts w:hint="eastAsia"/>
                <w:color w:val="auto"/>
                <w:sz w:val="24"/>
              </w:rPr>
              <w:t>2、与《</w:t>
            </w:r>
            <w:r>
              <w:rPr>
                <w:color w:val="auto"/>
                <w:sz w:val="24"/>
              </w:rPr>
              <w:t>黑龙江省大气污染防治条例》</w:t>
            </w:r>
            <w:r>
              <w:rPr>
                <w:rFonts w:hint="eastAsia"/>
                <w:color w:val="auto"/>
                <w:sz w:val="24"/>
              </w:rPr>
              <w:t>符合性</w:t>
            </w:r>
          </w:p>
          <w:p>
            <w:pPr>
              <w:autoSpaceDE w:val="0"/>
              <w:autoSpaceDN w:val="0"/>
              <w:adjustRightInd w:val="0"/>
              <w:snapToGrid w:val="0"/>
              <w:spacing w:line="360" w:lineRule="auto"/>
              <w:ind w:firstLine="480" w:firstLineChars="200"/>
              <w:jc w:val="left"/>
              <w:rPr>
                <w:color w:val="auto"/>
                <w:kern w:val="0"/>
                <w:sz w:val="24"/>
              </w:rPr>
            </w:pPr>
            <w:r>
              <w:rPr>
                <w:color w:val="auto"/>
                <w:kern w:val="0"/>
                <w:sz w:val="24"/>
              </w:rPr>
              <w:t>第六条企业事业单位和其他生产经营者应当采取有效措施，防止和减少大气污染，对所造成的损害依法承担责任。第十条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pStyle w:val="148"/>
              <w:snapToGrid w:val="0"/>
              <w:spacing w:line="360" w:lineRule="auto"/>
              <w:rPr>
                <w:color w:val="auto"/>
                <w:sz w:val="24"/>
              </w:rPr>
            </w:pPr>
            <w:r>
              <w:rPr>
                <w:color w:val="auto"/>
                <w:sz w:val="24"/>
              </w:rPr>
              <w:t>第三十三条 设区的市级城市建成区内，禁止新建额定蒸发量低于每小时二十吨或者额定功率低于十四兆瓦的</w:t>
            </w:r>
            <w:r>
              <w:rPr>
                <w:color w:val="auto"/>
              </w:rPr>
              <w:fldChar w:fldCharType="begin"/>
            </w:r>
            <w:r>
              <w:rPr>
                <w:color w:val="auto"/>
              </w:rPr>
              <w:instrText xml:space="preserve"> HYPERLINK "https://baike.baidu.com/item/%E7%87%83%E7%85%A4%E9%94%85%E7%82%89/2369922" \t "https://baike.baidu.com/item/%E9%BB%91%E9%BE%99%E6%B1%9F%E7%9C%81%E5%A4%A7%E6%B0%94%E6%B1%A1%E6%9F%93%E9%98%B2%E6%B2%BB%E6%9D%A1%E4%BE%8B/_blank" </w:instrText>
            </w:r>
            <w:r>
              <w:rPr>
                <w:color w:val="auto"/>
              </w:rPr>
              <w:fldChar w:fldCharType="separate"/>
            </w:r>
            <w:r>
              <w:rPr>
                <w:color w:val="auto"/>
                <w:sz w:val="24"/>
              </w:rPr>
              <w:t>燃煤锅炉</w:t>
            </w:r>
            <w:r>
              <w:rPr>
                <w:color w:val="auto"/>
                <w:sz w:val="24"/>
              </w:rPr>
              <w:fldChar w:fldCharType="end"/>
            </w:r>
            <w:r>
              <w:rPr>
                <w:color w:val="auto"/>
                <w:sz w:val="24"/>
              </w:rPr>
              <w:t>；已经建成的额定蒸发量每小时十吨以下或者额定功率七兆瓦以下的燃煤锅炉，应当在国家规定的期限内淘汰。国家对新建和淘汰燃煤锅炉另有规定的，从其规定。</w:t>
            </w:r>
          </w:p>
          <w:p>
            <w:pPr>
              <w:pStyle w:val="148"/>
              <w:snapToGrid w:val="0"/>
              <w:spacing w:line="360" w:lineRule="auto"/>
              <w:rPr>
                <w:color w:val="auto"/>
                <w:sz w:val="24"/>
              </w:rPr>
            </w:pPr>
            <w:r>
              <w:rPr>
                <w:color w:val="auto"/>
                <w:sz w:val="24"/>
              </w:rPr>
              <w:t>设区的市级人民政府可以制定高于前款规定的标准。</w:t>
            </w:r>
          </w:p>
          <w:p>
            <w:pPr>
              <w:pStyle w:val="148"/>
              <w:snapToGrid w:val="0"/>
              <w:spacing w:line="360" w:lineRule="auto"/>
              <w:rPr>
                <w:color w:val="auto"/>
                <w:sz w:val="24"/>
              </w:rPr>
            </w:pPr>
            <w:r>
              <w:rPr>
                <w:color w:val="auto"/>
                <w:sz w:val="24"/>
              </w:rPr>
              <w:t>县级以上人民政府应当向社会公布</w:t>
            </w:r>
            <w:r>
              <w:rPr>
                <w:color w:val="auto"/>
              </w:rPr>
              <w:fldChar w:fldCharType="begin"/>
            </w:r>
            <w:r>
              <w:rPr>
                <w:color w:val="auto"/>
              </w:rPr>
              <w:instrText xml:space="preserve"> HYPERLINK "https://baike.baidu.com/item/%E7%87%83%E7%85%A4%E9%94%85%E7%82%89/2369922" \t "https://baike.baidu.com/item/%E9%BB%91%E9%BE%99%E6%B1%9F%E7%9C%81%E5%A4%A7%E6%B0%94%E6%B1%A1%E6%9F%93%E9%98%B2%E6%B2%BB%E6%9D%A1%E4%BE%8B/_blank" </w:instrText>
            </w:r>
            <w:r>
              <w:rPr>
                <w:color w:val="auto"/>
              </w:rPr>
              <w:fldChar w:fldCharType="separate"/>
            </w:r>
            <w:r>
              <w:rPr>
                <w:color w:val="auto"/>
                <w:sz w:val="24"/>
              </w:rPr>
              <w:t>燃煤锅炉</w:t>
            </w:r>
            <w:r>
              <w:rPr>
                <w:color w:val="auto"/>
                <w:sz w:val="24"/>
              </w:rPr>
              <w:fldChar w:fldCharType="end"/>
            </w:r>
            <w:r>
              <w:rPr>
                <w:color w:val="auto"/>
                <w:sz w:val="24"/>
              </w:rPr>
              <w:t>计划淘汰名单和时限，并合理控制城市建成区外规划区内额定蒸发量每小时十吨以下或者额定功率七兆瓦以下燃煤锅炉的建设和使用。</w:t>
            </w:r>
          </w:p>
          <w:p>
            <w:pPr>
              <w:autoSpaceDE w:val="0"/>
              <w:autoSpaceDN w:val="0"/>
              <w:adjustRightInd w:val="0"/>
              <w:snapToGrid w:val="0"/>
              <w:spacing w:line="360" w:lineRule="auto"/>
              <w:ind w:firstLine="480" w:firstLineChars="200"/>
              <w:jc w:val="left"/>
              <w:rPr>
                <w:color w:val="auto"/>
                <w:sz w:val="24"/>
              </w:rPr>
            </w:pPr>
            <w:r>
              <w:rPr>
                <w:color w:val="auto"/>
                <w:sz w:val="24"/>
              </w:rPr>
              <w:t>本项目建设地点位于</w:t>
            </w:r>
            <w:r>
              <w:rPr>
                <w:rFonts w:hint="eastAsia"/>
                <w:color w:val="auto"/>
                <w:sz w:val="24"/>
              </w:rPr>
              <w:t>伊春市</w:t>
            </w:r>
            <w:r>
              <w:rPr>
                <w:rFonts w:hint="eastAsia"/>
                <w:color w:val="auto"/>
                <w:sz w:val="24"/>
                <w:lang w:val="en-US" w:eastAsia="zh-CN"/>
              </w:rPr>
              <w:t>伊美</w:t>
            </w:r>
            <w:r>
              <w:rPr>
                <w:rFonts w:hint="eastAsia"/>
                <w:color w:val="auto"/>
                <w:sz w:val="24"/>
              </w:rPr>
              <w:t>区</w:t>
            </w:r>
            <w:r>
              <w:rPr>
                <w:rFonts w:hint="eastAsia"/>
                <w:color w:val="auto"/>
                <w:sz w:val="24"/>
                <w:lang w:val="en-US" w:eastAsia="zh-CN"/>
              </w:rPr>
              <w:t>伊敏林场</w:t>
            </w:r>
            <w:r>
              <w:rPr>
                <w:color w:val="auto"/>
                <w:sz w:val="24"/>
              </w:rPr>
              <w:t>，</w:t>
            </w:r>
            <w:r>
              <w:rPr>
                <w:rFonts w:hint="eastAsia"/>
                <w:color w:val="auto"/>
                <w:sz w:val="24"/>
                <w:lang w:val="en-US" w:eastAsia="zh-CN"/>
              </w:rPr>
              <w:t>主燃烧器和导热油炉</w:t>
            </w:r>
            <w:r>
              <w:rPr>
                <w:rFonts w:hint="eastAsia"/>
                <w:color w:val="auto"/>
                <w:sz w:val="24"/>
                <w:highlight w:val="none"/>
              </w:rPr>
              <w:t>使用</w:t>
            </w:r>
            <w:r>
              <w:rPr>
                <w:rFonts w:hint="eastAsia"/>
                <w:color w:val="auto"/>
                <w:sz w:val="24"/>
                <w:highlight w:val="none"/>
                <w:lang w:val="en-US" w:eastAsia="zh-CN"/>
              </w:rPr>
              <w:t>柴油</w:t>
            </w:r>
            <w:r>
              <w:rPr>
                <w:rFonts w:hint="eastAsia"/>
                <w:color w:val="auto"/>
                <w:sz w:val="24"/>
                <w:highlight w:val="none"/>
              </w:rPr>
              <w:t>为燃料</w:t>
            </w:r>
            <w:r>
              <w:rPr>
                <w:color w:val="auto"/>
                <w:sz w:val="24"/>
                <w:highlight w:val="none"/>
              </w:rPr>
              <w:t>，</w:t>
            </w:r>
            <w:r>
              <w:rPr>
                <w:rFonts w:hint="eastAsia"/>
                <w:color w:val="auto"/>
                <w:sz w:val="24"/>
              </w:rPr>
              <w:t>本次进行环境影响评价。综上，符合《</w:t>
            </w:r>
            <w:r>
              <w:rPr>
                <w:color w:val="auto"/>
                <w:sz w:val="24"/>
              </w:rPr>
              <w:t>黑龙江省大气污染防治条例》</w:t>
            </w:r>
            <w:r>
              <w:rPr>
                <w:rFonts w:hint="eastAsia"/>
                <w:color w:val="auto"/>
                <w:sz w:val="24"/>
              </w:rPr>
              <w:t>要求</w:t>
            </w:r>
            <w:r>
              <w:rPr>
                <w:color w:val="auto"/>
                <w:sz w:val="24"/>
              </w:rPr>
              <w:t>。</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3、与《伊春市大气污染防治行动计划实施细则》的符合性</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根据《伊春市大气污染防治行动计划实施细则》，  2.加强扬尘控制，深化面源污染治理。各地要大力推进园林城建设，提高街道两侧硬化率、绿化率，减少城区、城乡结合部街路裸露地面。运输渣土、沙石等车辆必须采取密闭措施，并逐步安装卫星定位系统。推行道路机械化清扫等高效、低尘的作业方式。建设工程施工现场必须设置全封闭围挡墙，严禁敞开式作业。大力推广预拌砂浆，减少施工现场污染。建筑施工场地出口道路必须硬化并设置车辆清洗平台，对出场车辆逐台进行清洗。大型堆场应建立密闭料仓与传送装置，露天堆放的应建设防风抑尘网等；长期堆放的废弃物，应采取覆绿、铺装、硬化、定期喷洒抑尘剂或稳定剂等措施，控制扬尘污染。</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本次评价要求原料堆场进行覆盖控制无组织颗粒物的排放，定期洒水降尘，控制扬尘污染，综上本项目建设符合《伊春市大气污染防治行动计划实施细则》。</w:t>
            </w:r>
          </w:p>
          <w:p>
            <w:pPr>
              <w:autoSpaceDE w:val="0"/>
              <w:autoSpaceDN w:val="0"/>
              <w:adjustRightInd w:val="0"/>
              <w:snapToGrid w:val="0"/>
              <w:spacing w:line="360" w:lineRule="auto"/>
              <w:ind w:firstLine="480" w:firstLineChars="200"/>
              <w:jc w:val="left"/>
              <w:rPr>
                <w:b/>
                <w:bCs/>
                <w:color w:val="auto"/>
                <w:sz w:val="24"/>
              </w:rPr>
            </w:pPr>
            <w:r>
              <w:rPr>
                <w:rFonts w:hint="eastAsia"/>
                <w:b/>
                <w:bCs/>
                <w:color w:val="auto"/>
                <w:sz w:val="24"/>
              </w:rPr>
              <w:t>4、与《伊春市人民政府关于划定高污染燃料禁燃区的通告》的符合性</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根据《伊春市人民政府关于划定高污染燃料禁燃区的通告》，一、禁燃区范围：市政府所在地建成区及铁力市政府所在地建成区。在禁燃区内，禁止销售、燃用高污染燃料。禁止新建、扩建燃用高污染燃料设施，对已建成的相关设施，应在市政府规定期限内改用天然气、页岩气、液化石油气、电或者其他清洁能源。</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本项目燃料使用</w:t>
            </w:r>
            <w:r>
              <w:rPr>
                <w:rFonts w:hint="eastAsia"/>
                <w:color w:val="auto"/>
                <w:sz w:val="24"/>
                <w:lang w:val="en-US" w:eastAsia="zh-CN"/>
              </w:rPr>
              <w:t>柴油</w:t>
            </w:r>
            <w:r>
              <w:rPr>
                <w:rFonts w:hint="eastAsia"/>
                <w:color w:val="auto"/>
                <w:sz w:val="24"/>
              </w:rPr>
              <w:t>，因此本项目满足《伊春市人民政府关于划定高污染燃料禁燃区的通告》要求。</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、与《黑龙江省人民政府关于印发＜黑龙江省空气质量持续改善行动计划实施方案＞的通知》（黑政发〔2023〕19 号）符合性分析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本项目与</w:t>
            </w:r>
            <w:r>
              <w:rPr>
                <w:rFonts w:hint="default" w:ascii="Times New Roman" w:hAnsi="Times New Roman" w:eastAsia="宋体" w:cs="Times New Roman"/>
                <w:b w:val="0"/>
                <w:bCs w:val="0"/>
                <w:color w:val="auto"/>
                <w:kern w:val="2"/>
                <w:sz w:val="24"/>
                <w:szCs w:val="24"/>
                <w:highlight w:val="none"/>
                <w:lang w:val="en-US" w:eastAsia="zh-CN" w:bidi="ar-SA"/>
              </w:rPr>
              <w:t>《黑龙江省人民政府关于印发＜黑龙江省空气质量持续改善行动计划实施方案＞的通知》</w:t>
            </w:r>
            <w:r>
              <w:rPr>
                <w:rFonts w:hint="default" w:ascii="Times New Roman" w:hAnsi="Times New Roman" w:cs="Times New Roman"/>
                <w:color w:val="auto"/>
                <w:sz w:val="24"/>
                <w:highlight w:val="none"/>
                <w:lang w:val="en-US" w:eastAsia="zh-CN"/>
              </w:rPr>
              <w:t>（黑政发〔2023〕19 号）的符合性分析，详见表1-</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w:t>
            </w:r>
          </w:p>
          <w:p>
            <w:pPr>
              <w:pStyle w:val="139"/>
              <w:keepNext w:val="0"/>
              <w:keepLines w:val="0"/>
              <w:pageBreakBefore w:val="0"/>
              <w:widowControl/>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bCs/>
                <w:color w:val="auto"/>
                <w:highlight w:val="none"/>
                <w:lang w:val="en-US" w:eastAsia="zh-CN"/>
              </w:rPr>
              <w:t>表1-</w:t>
            </w:r>
            <w:r>
              <w:rPr>
                <w:rFonts w:hint="eastAsia"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 xml:space="preserve"> 与《黑龙江省空气质量持续改善行动计划实施方案》符合性分析</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7"/>
              <w:gridCol w:w="3961"/>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7" w:hRule="atLeast"/>
                <w:jc w:val="center"/>
              </w:trPr>
              <w:tc>
                <w:tcPr>
                  <w:tcW w:w="0" w:type="auto"/>
                  <w:tcBorders>
                    <w:tl2br w:val="nil"/>
                    <w:tr2bl w:val="nil"/>
                  </w:tcBorders>
                  <w:noWrap w:val="0"/>
                  <w:vAlign w:val="center"/>
                </w:tcPr>
                <w:p>
                  <w:pPr>
                    <w:pStyle w:val="13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相关要求</w:t>
                  </w:r>
                </w:p>
              </w:tc>
              <w:tc>
                <w:tcPr>
                  <w:tcW w:w="3961" w:type="dxa"/>
                  <w:tcBorders>
                    <w:tl2br w:val="nil"/>
                    <w:tr2bl w:val="nil"/>
                  </w:tcBorders>
                  <w:noWrap w:val="0"/>
                  <w:vAlign w:val="center"/>
                </w:tcPr>
                <w:p>
                  <w:pPr>
                    <w:pStyle w:val="13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本项目设置情况</w:t>
                  </w:r>
                </w:p>
              </w:tc>
              <w:tc>
                <w:tcPr>
                  <w:tcW w:w="1240" w:type="dxa"/>
                  <w:tcBorders>
                    <w:tl2br w:val="nil"/>
                    <w:tr2bl w:val="nil"/>
                  </w:tcBorders>
                  <w:noWrap w:val="0"/>
                  <w:vAlign w:val="center"/>
                </w:tcPr>
                <w:p>
                  <w:pPr>
                    <w:pStyle w:val="13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19" w:hRule="atLeast"/>
                <w:jc w:val="center"/>
              </w:trPr>
              <w:tc>
                <w:tcPr>
                  <w:tcW w:w="0" w:type="auto"/>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二、持续推进产业结构调整</w:t>
                  </w:r>
                </w:p>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四）严格环境准入要求。新改扩建高耗能、高排放、低水平项目，要严格遵照产业规划和政策、生态环境分区管控、规划环评、项目环评、节能审查以及产能置换、总量控制、区域污染物削减、碳达峰等相关要求执行，原则上采用清洁运输方式。......</w:t>
                  </w:r>
                </w:p>
              </w:tc>
              <w:tc>
                <w:tcPr>
                  <w:tcW w:w="3961"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根据该条款要求，并结合本项目实际情况，工程严格执行项目环评标准要求，积极落实项目环评相关工作；同时，工程的物料及产品运输方式均为清洁运输。</w:t>
                  </w:r>
                </w:p>
              </w:tc>
              <w:tc>
                <w:tcPr>
                  <w:tcW w:w="1240"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0" w:type="auto"/>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（五）加快重点行业落后产能淘汰退出。严格执行《产业结构调整指导目录》要求，加大退出淘汰类产能、工艺、装备，提高限制类产能、工艺、装备淘汰改造引导力度。</w:t>
                  </w:r>
                </w:p>
              </w:tc>
              <w:tc>
                <w:tcPr>
                  <w:tcW w:w="3961"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根据前面的分析可知，本项目不涉及《产业结构调整指导目录》中“鼓励类”、“淘汰类”和“限制类”相关内容，工程属于允许类。</w:t>
                  </w:r>
                </w:p>
              </w:tc>
              <w:tc>
                <w:tcPr>
                  <w:tcW w:w="1240"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五、持续加强面源污染治理</w:t>
                  </w:r>
                </w:p>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（十九）深化扬尘污染综合治理。全面推行绿色施工，严格执行“六个百分之百”，将防治扬尘污染费用纳入工程造价。......</w:t>
                  </w:r>
                </w:p>
              </w:tc>
              <w:tc>
                <w:tcPr>
                  <w:tcW w:w="3961"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本项目严格执行扬尘污染综合治理工作，</w:t>
                  </w:r>
                  <w:r>
                    <w:rPr>
                      <w:rFonts w:hint="default" w:ascii="Times New Roman" w:hAnsi="Times New Roman" w:cs="Times New Roman"/>
                      <w:b w:val="0"/>
                      <w:bCs/>
                      <w:color w:val="auto"/>
                      <w:sz w:val="21"/>
                      <w:szCs w:val="21"/>
                      <w:highlight w:val="none"/>
                      <w:lang w:val="en-US" w:eastAsia="zh-CN"/>
                    </w:rPr>
                    <w:t>工程</w:t>
                  </w:r>
                  <w:r>
                    <w:rPr>
                      <w:rFonts w:hint="default" w:ascii="Times New Roman" w:hAnsi="Times New Roman" w:eastAsia="宋体" w:cs="Times New Roman"/>
                      <w:b w:val="0"/>
                      <w:bCs/>
                      <w:color w:val="auto"/>
                      <w:sz w:val="21"/>
                      <w:szCs w:val="21"/>
                      <w:highlight w:val="none"/>
                      <w:lang w:eastAsia="zh-CN"/>
                    </w:rPr>
                    <w:t>运营期</w:t>
                  </w:r>
                  <w:r>
                    <w:rPr>
                      <w:rFonts w:hint="eastAsia" w:cs="Times New Roman"/>
                      <w:b w:val="0"/>
                      <w:bCs/>
                      <w:color w:val="auto"/>
                      <w:sz w:val="21"/>
                      <w:szCs w:val="21"/>
                      <w:highlight w:val="none"/>
                      <w:lang w:val="en-US" w:eastAsia="zh-CN"/>
                    </w:rPr>
                    <w:t>措施包括</w:t>
                  </w:r>
                  <w:r>
                    <w:rPr>
                      <w:rFonts w:hint="eastAsia" w:ascii="Times New Roman" w:hAnsi="Times New Roman" w:eastAsia="宋体" w:cs="Times New Roman"/>
                      <w:b w:val="0"/>
                      <w:bCs/>
                      <w:color w:val="auto"/>
                      <w:sz w:val="21"/>
                      <w:szCs w:val="21"/>
                      <w:highlight w:val="none"/>
                      <w:lang w:val="en-US" w:eastAsia="zh-CN"/>
                    </w:rPr>
                    <w:t>①有组织：</w:t>
                  </w:r>
                  <w:r>
                    <w:rPr>
                      <w:rFonts w:hint="default" w:ascii="Times New Roman" w:hAnsi="Times New Roman" w:eastAsia="宋体" w:cs="Times New Roman"/>
                      <w:b w:val="0"/>
                      <w:bCs/>
                      <w:color w:val="auto"/>
                      <w:sz w:val="21"/>
                      <w:szCs w:val="21"/>
                      <w:highlight w:val="none"/>
                      <w:lang w:val="en-US" w:eastAsia="zh-CN"/>
                    </w:rPr>
                    <w:t>烘干滚筒及其配套燃烧器、振动筛、提升机、搅拌机等废气：沥青骨料烘干废气设置重力沉降+布袋式除尘器（去除效率99%）二级除尘，上述废气处理后经</w:t>
                  </w:r>
                  <w:r>
                    <w:rPr>
                      <w:rFonts w:hint="eastAsia" w:ascii="Times New Roman" w:hAnsi="Times New Roman" w:eastAsia="宋体" w:cs="Times New Roman"/>
                      <w:b w:val="0"/>
                      <w:bCs/>
                      <w:color w:val="auto"/>
                      <w:sz w:val="21"/>
                      <w:szCs w:val="21"/>
                      <w:highlight w:val="none"/>
                      <w:lang w:val="en-US" w:eastAsia="zh-CN"/>
                    </w:rPr>
                    <w:t>15</w:t>
                  </w:r>
                  <w:r>
                    <w:rPr>
                      <w:rFonts w:hint="default" w:ascii="Times New Roman" w:hAnsi="Times New Roman" w:eastAsia="宋体" w:cs="Times New Roman"/>
                      <w:b w:val="0"/>
                      <w:bCs/>
                      <w:color w:val="auto"/>
                      <w:sz w:val="21"/>
                      <w:szCs w:val="21"/>
                      <w:highlight w:val="none"/>
                      <w:lang w:val="en-US" w:eastAsia="zh-CN"/>
                    </w:rPr>
                    <w:t>m排气筒（DA002）外排。导热油炉燃烧废气：导热油炉烟气</w:t>
                  </w:r>
                  <w:r>
                    <w:rPr>
                      <w:rFonts w:hint="eastAsia" w:ascii="Times New Roman" w:hAnsi="Times New Roman" w:eastAsia="宋体" w:cs="Times New Roman"/>
                      <w:b w:val="0"/>
                      <w:bCs/>
                      <w:color w:val="auto"/>
                      <w:sz w:val="21"/>
                      <w:szCs w:val="21"/>
                      <w:highlight w:val="none"/>
                      <w:lang w:val="en-US" w:eastAsia="zh-CN"/>
                    </w:rPr>
                    <w:t>经低氮燃烧+布袋除尘器</w:t>
                  </w:r>
                  <w:r>
                    <w:rPr>
                      <w:rFonts w:hint="default" w:ascii="Times New Roman" w:hAnsi="Times New Roman" w:eastAsia="宋体" w:cs="Times New Roman"/>
                      <w:b w:val="0"/>
                      <w:bCs/>
                      <w:color w:val="auto"/>
                      <w:sz w:val="21"/>
                      <w:szCs w:val="21"/>
                      <w:highlight w:val="none"/>
                      <w:lang w:val="en-US" w:eastAsia="zh-CN"/>
                    </w:rPr>
                    <w:t>通过</w:t>
                  </w:r>
                  <w:r>
                    <w:rPr>
                      <w:rFonts w:hint="eastAsia" w:ascii="Times New Roman" w:hAnsi="Times New Roman" w:eastAsia="宋体" w:cs="Times New Roman"/>
                      <w:b w:val="0"/>
                      <w:bCs/>
                      <w:color w:val="auto"/>
                      <w:sz w:val="21"/>
                      <w:szCs w:val="21"/>
                      <w:highlight w:val="none"/>
                      <w:lang w:val="en-US" w:eastAsia="zh-CN"/>
                    </w:rPr>
                    <w:t>15</w:t>
                  </w:r>
                  <w:r>
                    <w:rPr>
                      <w:rFonts w:hint="default" w:ascii="Times New Roman" w:hAnsi="Times New Roman" w:eastAsia="宋体" w:cs="Times New Roman"/>
                      <w:b w:val="0"/>
                      <w:bCs/>
                      <w:color w:val="auto"/>
                      <w:sz w:val="21"/>
                      <w:szCs w:val="21"/>
                      <w:highlight w:val="none"/>
                      <w:lang w:val="en-US" w:eastAsia="zh-CN"/>
                    </w:rPr>
                    <w:t>m高排气筒(DA001)</w:t>
                  </w:r>
                  <w:r>
                    <w:rPr>
                      <w:rFonts w:hint="eastAsia" w:ascii="Times New Roman" w:hAnsi="Times New Roman" w:eastAsia="宋体" w:cs="Times New Roman"/>
                      <w:b w:val="0"/>
                      <w:bCs/>
                      <w:color w:val="auto"/>
                      <w:sz w:val="21"/>
                      <w:szCs w:val="21"/>
                      <w:highlight w:val="none"/>
                      <w:lang w:val="en-US" w:eastAsia="zh-CN"/>
                    </w:rPr>
                    <w:t>排放</w:t>
                  </w:r>
                  <w:r>
                    <w:rPr>
                      <w:rFonts w:hint="default" w:ascii="Times New Roman" w:hAnsi="Times New Roman" w:eastAsia="宋体" w:cs="Times New Roman"/>
                      <w:b w:val="0"/>
                      <w:bCs/>
                      <w:color w:val="auto"/>
                      <w:sz w:val="21"/>
                      <w:szCs w:val="21"/>
                      <w:highlight w:val="none"/>
                      <w:lang w:val="en-US" w:eastAsia="zh-CN"/>
                    </w:rPr>
                    <w:t>。沥青烟气：设置一套</w:t>
                  </w:r>
                  <w:r>
                    <w:rPr>
                      <w:rFonts w:hint="eastAsia" w:ascii="Times New Roman" w:hAnsi="Times New Roman" w:eastAsia="宋体" w:cs="Times New Roman"/>
                      <w:b w:val="0"/>
                      <w:bCs/>
                      <w:color w:val="auto"/>
                      <w:sz w:val="21"/>
                      <w:szCs w:val="21"/>
                      <w:highlight w:val="none"/>
                      <w:lang w:val="en-US" w:eastAsia="zh-CN"/>
                    </w:rPr>
                    <w:t>活性炭吸附</w:t>
                  </w:r>
                  <w:r>
                    <w:rPr>
                      <w:rFonts w:hint="default" w:ascii="Times New Roman" w:hAnsi="Times New Roman" w:eastAsia="宋体" w:cs="Times New Roman"/>
                      <w:b w:val="0"/>
                      <w:bCs/>
                      <w:color w:val="auto"/>
                      <w:sz w:val="21"/>
                      <w:szCs w:val="21"/>
                      <w:highlight w:val="none"/>
                      <w:lang w:val="en-US" w:eastAsia="zh-CN"/>
                    </w:rPr>
                    <w:t>（去除效率</w:t>
                  </w:r>
                  <w:r>
                    <w:rPr>
                      <w:rFonts w:hint="eastAsia" w:ascii="Times New Roman" w:hAnsi="Times New Roman" w:eastAsia="宋体" w:cs="Times New Roman"/>
                      <w:b w:val="0"/>
                      <w:bCs/>
                      <w:color w:val="auto"/>
                      <w:sz w:val="21"/>
                      <w:szCs w:val="21"/>
                      <w:highlight w:val="none"/>
                      <w:lang w:val="en-US" w:eastAsia="zh-CN"/>
                    </w:rPr>
                    <w:t>95</w:t>
                  </w:r>
                  <w:r>
                    <w:rPr>
                      <w:rFonts w:hint="default" w:ascii="Times New Roman" w:hAnsi="Times New Roman" w:eastAsia="宋体" w:cs="Times New Roman"/>
                      <w:b w:val="0"/>
                      <w:bCs/>
                      <w:color w:val="auto"/>
                      <w:sz w:val="21"/>
                      <w:szCs w:val="21"/>
                      <w:highlight w:val="none"/>
                      <w:lang w:val="en-US" w:eastAsia="zh-CN"/>
                    </w:rPr>
                    <w:t>%），后通过</w:t>
                  </w:r>
                  <w:r>
                    <w:rPr>
                      <w:rFonts w:hint="eastAsia" w:ascii="Times New Roman" w:hAnsi="Times New Roman" w:eastAsia="宋体" w:cs="Times New Roman"/>
                      <w:b w:val="0"/>
                      <w:bCs/>
                      <w:color w:val="auto"/>
                      <w:sz w:val="21"/>
                      <w:szCs w:val="21"/>
                      <w:highlight w:val="none"/>
                      <w:lang w:val="en-US" w:eastAsia="zh-CN"/>
                    </w:rPr>
                    <w:t>150</w:t>
                  </w:r>
                  <w:r>
                    <w:rPr>
                      <w:rFonts w:hint="default" w:ascii="Times New Roman" w:hAnsi="Times New Roman" w:eastAsia="宋体" w:cs="Times New Roman"/>
                      <w:b w:val="0"/>
                      <w:bCs/>
                      <w:color w:val="auto"/>
                      <w:sz w:val="21"/>
                      <w:szCs w:val="21"/>
                      <w:highlight w:val="none"/>
                      <w:lang w:val="en-US" w:eastAsia="zh-CN"/>
                    </w:rPr>
                    <w:t>m高排气筒（DA00</w:t>
                  </w:r>
                  <w:r>
                    <w:rPr>
                      <w:rFonts w:hint="eastAsia"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）高空排放，沥青储罐进入沥青烟处理系统。矿粉罐颗粒物、生产设施沥青烟</w:t>
                  </w:r>
                  <w:r>
                    <w:rPr>
                      <w:rFonts w:hint="eastAsia" w:ascii="Times New Roman" w:hAnsi="Times New Roman" w:eastAsia="宋体" w:cs="Times New Roman"/>
                      <w:b w:val="0"/>
                      <w:bCs/>
                      <w:color w:val="auto"/>
                      <w:sz w:val="21"/>
                      <w:szCs w:val="21"/>
                      <w:highlight w:val="none"/>
                      <w:lang w:val="en-US" w:eastAsia="zh-CN"/>
                    </w:rPr>
                    <w:t>满足</w:t>
                  </w:r>
                  <w:r>
                    <w:rPr>
                      <w:rFonts w:hint="default" w:ascii="Times New Roman" w:hAnsi="Times New Roman" w:eastAsia="宋体" w:cs="Times New Roman"/>
                      <w:b w:val="0"/>
                      <w:bCs/>
                      <w:color w:val="auto"/>
                      <w:sz w:val="21"/>
                      <w:szCs w:val="21"/>
                      <w:highlight w:val="none"/>
                      <w:lang w:val="en-US" w:eastAsia="zh-CN"/>
                    </w:rPr>
                    <w:t>《大气污染物综合排放标准》（GB16297-1996）表2中二级标准限值；导热油锅炉烟气</w:t>
                  </w:r>
                  <w:r>
                    <w:rPr>
                      <w:rFonts w:hint="eastAsia" w:ascii="Times New Roman" w:hAnsi="Times New Roman" w:eastAsia="宋体" w:cs="Times New Roman"/>
                      <w:b w:val="0"/>
                      <w:bCs/>
                      <w:color w:val="auto"/>
                      <w:sz w:val="21"/>
                      <w:szCs w:val="21"/>
                      <w:highlight w:val="none"/>
                      <w:lang w:val="en-US" w:eastAsia="zh-CN"/>
                    </w:rPr>
                    <w:t>满足</w:t>
                  </w:r>
                  <w:r>
                    <w:rPr>
                      <w:rFonts w:hint="default" w:ascii="Times New Roman" w:hAnsi="Times New Roman" w:eastAsia="宋体" w:cs="Times New Roman"/>
                      <w:b w:val="0"/>
                      <w:bCs/>
                      <w:color w:val="auto"/>
                      <w:sz w:val="21"/>
                      <w:szCs w:val="21"/>
                      <w:highlight w:val="none"/>
                      <w:lang w:val="en-US" w:eastAsia="zh-CN"/>
                    </w:rPr>
                    <w:t>《锅炉大气污染物综合排放标准》（GB 13271-2014 ）表2中</w:t>
                  </w:r>
                  <w:r>
                    <w:rPr>
                      <w:rFonts w:hint="eastAsia" w:ascii="Times New Roman" w:hAnsi="Times New Roman" w:eastAsia="宋体" w:cs="Times New Roman"/>
                      <w:b w:val="0"/>
                      <w:bCs/>
                      <w:color w:val="auto"/>
                      <w:sz w:val="21"/>
                      <w:szCs w:val="21"/>
                      <w:highlight w:val="none"/>
                      <w:lang w:val="en-US" w:eastAsia="zh-CN"/>
                    </w:rPr>
                    <w:t>燃油</w:t>
                  </w:r>
                  <w:r>
                    <w:rPr>
                      <w:rFonts w:hint="default" w:ascii="Times New Roman" w:hAnsi="Times New Roman" w:eastAsia="宋体" w:cs="Times New Roman"/>
                      <w:b w:val="0"/>
                      <w:bCs/>
                      <w:color w:val="auto"/>
                      <w:sz w:val="21"/>
                      <w:szCs w:val="21"/>
                      <w:highlight w:val="none"/>
                      <w:lang w:val="en-US" w:eastAsia="zh-CN"/>
                    </w:rPr>
                    <w:t>锅炉标准；烘干筒配套燃烧器</w:t>
                  </w:r>
                  <w:r>
                    <w:rPr>
                      <w:rFonts w:hint="eastAsia" w:ascii="Times New Roman" w:hAnsi="Times New Roman" w:eastAsia="宋体" w:cs="Times New Roman"/>
                      <w:b w:val="0"/>
                      <w:bCs/>
                      <w:color w:val="auto"/>
                      <w:sz w:val="21"/>
                      <w:szCs w:val="21"/>
                      <w:highlight w:val="none"/>
                      <w:lang w:val="en-US" w:eastAsia="zh-CN"/>
                    </w:rPr>
                    <w:t>满足</w:t>
                  </w:r>
                  <w:r>
                    <w:rPr>
                      <w:rFonts w:hint="default" w:ascii="Times New Roman" w:hAnsi="Times New Roman" w:eastAsia="宋体" w:cs="Times New Roman"/>
                      <w:b w:val="0"/>
                      <w:bCs/>
                      <w:color w:val="auto"/>
                      <w:sz w:val="21"/>
                      <w:szCs w:val="21"/>
                      <w:highlight w:val="none"/>
                      <w:lang w:val="en-US" w:eastAsia="zh-CN"/>
                    </w:rPr>
                    <w:t>《大气污染物综合排放标准》（GB16297-1996）表2 中二级排放标准；</w:t>
                  </w:r>
                  <w:r>
                    <w:rPr>
                      <w:rFonts w:hint="eastAsia" w:ascii="Times New Roman" w:hAnsi="Times New Roman" w:eastAsia="宋体" w:cs="Times New Roman"/>
                      <w:b w:val="0"/>
                      <w:bCs/>
                      <w:color w:val="auto"/>
                      <w:sz w:val="21"/>
                      <w:szCs w:val="21"/>
                      <w:highlight w:val="none"/>
                      <w:lang w:val="en-US" w:eastAsia="zh-CN"/>
                    </w:rPr>
                    <w:t>②无组织：</w:t>
                  </w:r>
                  <w:r>
                    <w:rPr>
                      <w:rFonts w:hint="default" w:ascii="Times New Roman" w:hAnsi="Times New Roman" w:eastAsia="宋体" w:cs="Times New Roman"/>
                      <w:b w:val="0"/>
                      <w:bCs/>
                      <w:color w:val="auto"/>
                      <w:sz w:val="21"/>
                      <w:szCs w:val="21"/>
                      <w:highlight w:val="none"/>
                      <w:lang w:val="en-US" w:eastAsia="zh-CN"/>
                    </w:rPr>
                    <w:t>骨料堆场在装卸过程中注意保持湿度、注意洒水降尘；</w:t>
                  </w:r>
                  <w:r>
                    <w:rPr>
                      <w:rFonts w:hint="eastAsia" w:ascii="Times New Roman" w:hAnsi="Times New Roman" w:eastAsia="宋体" w:cs="Times New Roman"/>
                      <w:b w:val="0"/>
                      <w:bCs/>
                      <w:color w:val="auto"/>
                      <w:sz w:val="21"/>
                      <w:szCs w:val="21"/>
                      <w:highlight w:val="none"/>
                      <w:lang w:val="en-US" w:eastAsia="zh-CN"/>
                    </w:rPr>
                    <w:t>骨料</w:t>
                  </w:r>
                  <w:r>
                    <w:rPr>
                      <w:rFonts w:hint="eastAsia" w:cs="宋体"/>
                      <w:b w:val="0"/>
                      <w:bCs/>
                      <w:color w:val="auto"/>
                      <w:spacing w:val="-4"/>
                      <w:sz w:val="21"/>
                      <w:szCs w:val="21"/>
                      <w:highlight w:val="none"/>
                      <w:lang w:val="en-US" w:eastAsia="zh-CN"/>
                    </w:rPr>
                    <w:t>堆场利用</w:t>
                  </w:r>
                  <w:r>
                    <w:rPr>
                      <w:rFonts w:hint="eastAsia" w:ascii="宋体" w:hAnsi="宋体" w:eastAsia="宋体" w:cs="宋体"/>
                      <w:b w:val="0"/>
                      <w:bCs/>
                      <w:strike w:val="0"/>
                      <w:dstrike w:val="0"/>
                      <w:color w:val="auto"/>
                      <w:sz w:val="21"/>
                      <w:szCs w:val="21"/>
                      <w:highlight w:val="none"/>
                      <w:lang w:val="en-US" w:eastAsia="zh-CN"/>
                    </w:rPr>
                    <w:t>不低于堆放物高度（2.5m）的严密围挡,并采用</w:t>
                  </w:r>
                  <w:r>
                    <w:rPr>
                      <w:rFonts w:hint="eastAsia" w:cs="宋体"/>
                      <w:b w:val="0"/>
                      <w:bCs/>
                      <w:color w:val="auto"/>
                      <w:spacing w:val="-1"/>
                      <w:sz w:val="21"/>
                      <w:szCs w:val="21"/>
                      <w:highlight w:val="none"/>
                      <w:lang w:val="en-US" w:eastAsia="zh-CN"/>
                    </w:rPr>
                    <w:t>定期洒水降尘</w:t>
                  </w:r>
                  <w:r>
                    <w:rPr>
                      <w:rFonts w:hint="default" w:ascii="Times New Roman" w:hAnsi="Times New Roman" w:eastAsia="宋体" w:cs="Times New Roman"/>
                      <w:b w:val="0"/>
                      <w:bCs/>
                      <w:color w:val="auto"/>
                      <w:sz w:val="21"/>
                      <w:szCs w:val="21"/>
                      <w:highlight w:val="none"/>
                      <w:lang w:val="en-US" w:eastAsia="zh-CN"/>
                    </w:rPr>
                    <w:t>；厂区道路采用混凝土硬化处理，定期喷淋洒水。矿粉罐仓顶设置</w:t>
                  </w:r>
                  <w:r>
                    <w:rPr>
                      <w:rFonts w:hint="eastAsia" w:ascii="Times New Roman" w:hAnsi="Times New Roman" w:eastAsia="宋体" w:cs="Times New Roman"/>
                      <w:b w:val="0"/>
                      <w:bCs/>
                      <w:color w:val="auto"/>
                      <w:sz w:val="21"/>
                      <w:szCs w:val="21"/>
                      <w:highlight w:val="none"/>
                      <w:lang w:val="en-US" w:eastAsia="zh-CN"/>
                    </w:rPr>
                    <w:t>脉冲</w:t>
                  </w:r>
                  <w:r>
                    <w:rPr>
                      <w:rFonts w:hint="default" w:ascii="Times New Roman" w:hAnsi="Times New Roman" w:eastAsia="宋体" w:cs="Times New Roman"/>
                      <w:b w:val="0"/>
                      <w:bCs/>
                      <w:color w:val="auto"/>
                      <w:sz w:val="21"/>
                      <w:szCs w:val="21"/>
                      <w:highlight w:val="none"/>
                      <w:lang w:val="en-US" w:eastAsia="zh-CN"/>
                    </w:rPr>
                    <w:t>除尘器</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厂界</w:t>
                  </w:r>
                  <w:r>
                    <w:rPr>
                      <w:rFonts w:hint="eastAsia" w:ascii="Times New Roman" w:hAnsi="Times New Roman" w:eastAsia="宋体" w:cs="Times New Roman"/>
                      <w:b w:val="0"/>
                      <w:bCs/>
                      <w:color w:val="auto"/>
                      <w:sz w:val="21"/>
                      <w:szCs w:val="21"/>
                      <w:highlight w:val="none"/>
                      <w:lang w:val="en-US" w:eastAsia="zh-CN"/>
                    </w:rPr>
                    <w:t>颗粒物、苯并芘、非甲烷总烃</w:t>
                  </w:r>
                  <w:r>
                    <w:rPr>
                      <w:rFonts w:hint="default" w:ascii="Times New Roman" w:hAnsi="Times New Roman" w:eastAsia="宋体" w:cs="Times New Roman"/>
                      <w:b w:val="0"/>
                      <w:bCs/>
                      <w:color w:val="auto"/>
                      <w:sz w:val="21"/>
                      <w:szCs w:val="21"/>
                      <w:highlight w:val="none"/>
                      <w:lang w:val="en-US" w:eastAsia="zh-CN"/>
                    </w:rPr>
                    <w:t>《大气污染物综合排放标准》（GB16297-1996）表2中无组织排放监控浓度限值标准。</w:t>
                  </w:r>
                </w:p>
              </w:tc>
              <w:tc>
                <w:tcPr>
                  <w:tcW w:w="1240"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bl>
          <w:p>
            <w:pPr>
              <w:autoSpaceDE w:val="0"/>
              <w:autoSpaceDN w:val="0"/>
              <w:adjustRightInd w:val="0"/>
              <w:snapToGrid w:val="0"/>
              <w:spacing w:line="360" w:lineRule="auto"/>
              <w:ind w:firstLine="480"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lang w:val="en-US" w:eastAsia="zh-CN"/>
              </w:rPr>
              <w:t>、与《</w:t>
            </w:r>
            <w:r>
              <w:rPr>
                <w:rFonts w:hint="eastAsia" w:ascii="Times New Roman" w:hAnsi="Times New Roman" w:eastAsia="宋体" w:cs="Times New Roman"/>
                <w:b/>
                <w:bCs/>
                <w:color w:val="auto"/>
                <w:sz w:val="24"/>
                <w:lang w:val="en-US" w:eastAsia="zh-CN"/>
              </w:rPr>
              <w:t>伊春市</w:t>
            </w:r>
            <w:r>
              <w:rPr>
                <w:rFonts w:hint="default" w:ascii="Times New Roman" w:hAnsi="Times New Roman" w:eastAsia="宋体" w:cs="Times New Roman"/>
                <w:b/>
                <w:bCs/>
                <w:color w:val="auto"/>
                <w:sz w:val="24"/>
                <w:lang w:val="en-US" w:eastAsia="zh-CN"/>
              </w:rPr>
              <w:t>人民政府关于印发＜</w:t>
            </w:r>
            <w:r>
              <w:rPr>
                <w:rFonts w:hint="eastAsia" w:ascii="Times New Roman" w:hAnsi="Times New Roman" w:eastAsia="宋体" w:cs="Times New Roman"/>
                <w:b/>
                <w:bCs/>
                <w:color w:val="auto"/>
                <w:sz w:val="24"/>
                <w:lang w:val="en-US" w:eastAsia="zh-CN"/>
              </w:rPr>
              <w:t>伊春市</w:t>
            </w:r>
            <w:r>
              <w:rPr>
                <w:rFonts w:hint="default" w:ascii="Times New Roman" w:hAnsi="Times New Roman" w:eastAsia="宋体" w:cs="Times New Roman"/>
                <w:b/>
                <w:bCs/>
                <w:color w:val="auto"/>
                <w:sz w:val="24"/>
                <w:lang w:val="en-US" w:eastAsia="zh-CN"/>
              </w:rPr>
              <w:t>空气质量持续改善行动计划实施方案＞的通知》（</w:t>
            </w:r>
            <w:r>
              <w:rPr>
                <w:rFonts w:hint="eastAsia" w:ascii="Times New Roman" w:hAnsi="Times New Roman" w:eastAsia="宋体" w:cs="Times New Roman"/>
                <w:b/>
                <w:bCs/>
                <w:color w:val="auto"/>
                <w:sz w:val="24"/>
                <w:lang w:val="en-US" w:eastAsia="zh-CN"/>
              </w:rPr>
              <w:t>伊</w:t>
            </w:r>
            <w:r>
              <w:rPr>
                <w:rFonts w:hint="default" w:ascii="Times New Roman" w:hAnsi="Times New Roman" w:eastAsia="宋体" w:cs="Times New Roman"/>
                <w:b/>
                <w:bCs/>
                <w:color w:val="auto"/>
                <w:sz w:val="24"/>
                <w:lang w:val="en-US" w:eastAsia="zh-CN"/>
              </w:rPr>
              <w:t>政发〔202</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lang w:val="en-US" w:eastAsia="zh-CN"/>
              </w:rPr>
              <w:t>号）符合性分析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本项目与</w:t>
            </w:r>
            <w:r>
              <w:rPr>
                <w:rFonts w:hint="default" w:ascii="Times New Roman" w:hAnsi="Times New Roman" w:eastAsia="宋体" w:cs="Times New Roman"/>
                <w:b w:val="0"/>
                <w:bCs w:val="0"/>
                <w:color w:val="auto"/>
                <w:kern w:val="2"/>
                <w:sz w:val="24"/>
                <w:szCs w:val="24"/>
                <w:highlight w:val="none"/>
                <w:lang w:val="en-US" w:eastAsia="zh-CN" w:bidi="ar-SA"/>
              </w:rPr>
              <w:t>《伊春市人民政府关于印发＜伊春市空气质量持续改善行动计划实施方案＞的通知》（伊政发〔2024〕8号）符合性分析</w:t>
            </w:r>
            <w:r>
              <w:rPr>
                <w:rFonts w:hint="default" w:ascii="Times New Roman" w:hAnsi="Times New Roman" w:cs="Times New Roman"/>
                <w:color w:val="auto"/>
                <w:sz w:val="24"/>
                <w:highlight w:val="none"/>
                <w:lang w:val="en-US" w:eastAsia="zh-CN"/>
              </w:rPr>
              <w:t>，详见表1-</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w:t>
            </w:r>
          </w:p>
          <w:p>
            <w:pPr>
              <w:pStyle w:val="139"/>
              <w:keepNext w:val="0"/>
              <w:keepLines w:val="0"/>
              <w:pageBreakBefore w:val="0"/>
              <w:widowControl/>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bCs/>
                <w:color w:val="auto"/>
                <w:highlight w:val="none"/>
                <w:lang w:val="en-US" w:eastAsia="zh-CN"/>
              </w:rPr>
              <w:t>表1-</w:t>
            </w: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 xml:space="preserve"> 与《</w:t>
            </w:r>
            <w:r>
              <w:rPr>
                <w:rFonts w:hint="eastAsia" w:ascii="Times New Roman" w:hAnsi="Times New Roman" w:eastAsia="宋体" w:cs="Times New Roman"/>
                <w:b/>
                <w:bCs/>
                <w:color w:val="auto"/>
                <w:highlight w:val="none"/>
                <w:lang w:val="en-US" w:eastAsia="zh-CN"/>
              </w:rPr>
              <w:t>伊春市</w:t>
            </w:r>
            <w:r>
              <w:rPr>
                <w:rFonts w:hint="default" w:ascii="Times New Roman" w:hAnsi="Times New Roman" w:eastAsia="宋体" w:cs="Times New Roman"/>
                <w:b/>
                <w:bCs/>
                <w:color w:val="auto"/>
                <w:highlight w:val="none"/>
                <w:lang w:val="en-US" w:eastAsia="zh-CN"/>
              </w:rPr>
              <w:t>空气质量持续改善行动计划实施方案》符合性分析</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3713"/>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pPr>
                    <w:pStyle w:val="13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相关要求</w:t>
                  </w:r>
                </w:p>
              </w:tc>
              <w:tc>
                <w:tcPr>
                  <w:tcW w:w="3713" w:type="dxa"/>
                  <w:tcBorders>
                    <w:tl2br w:val="nil"/>
                    <w:tr2bl w:val="nil"/>
                  </w:tcBorders>
                  <w:noWrap w:val="0"/>
                  <w:vAlign w:val="center"/>
                </w:tcPr>
                <w:p>
                  <w:pPr>
                    <w:pStyle w:val="13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本项目设置情况</w:t>
                  </w:r>
                </w:p>
              </w:tc>
              <w:tc>
                <w:tcPr>
                  <w:tcW w:w="1228" w:type="dxa"/>
                  <w:tcBorders>
                    <w:tl2br w:val="nil"/>
                    <w:tr2bl w:val="nil"/>
                  </w:tcBorders>
                  <w:noWrap w:val="0"/>
                  <w:vAlign w:val="center"/>
                </w:tcPr>
                <w:p>
                  <w:pPr>
                    <w:pStyle w:val="13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eastAsia="黑体" w:cs="Times New Roman"/>
                      <w:b w:val="0"/>
                      <w:bCs/>
                      <w:color w:val="auto"/>
                      <w:sz w:val="21"/>
                      <w:szCs w:val="21"/>
                      <w:highlight w:val="none"/>
                      <w:lang w:val="en-US" w:eastAsia="zh-CN"/>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0" w:type="auto"/>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二、持续推进产业结构调整</w:t>
                  </w:r>
                </w:p>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严格环境准入要求。新改扩建项目严格落实产业规划、产业政策、生态环境分区管控、规划环评、项目环评、节能审查,以及产能置换、重点污染物总量控制、污染物排放区域削减、碳达峰等相关要求执行,原则上采用清洁运输方式。涉及产能置换的项目,被置换产能及其配套设施关停后,新建项目方能投产。坚决遏制“两高一低”项目盲目上马。</w:t>
                  </w:r>
                </w:p>
              </w:tc>
              <w:tc>
                <w:tcPr>
                  <w:tcW w:w="3713"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根据该条款要求，并结合本项目实际情况，工程严格</w:t>
                  </w:r>
                  <w:r>
                    <w:rPr>
                      <w:rFonts w:hint="eastAsia" w:ascii="Times New Roman" w:hAnsi="Times New Roman" w:eastAsia="宋体" w:cs="Times New Roman"/>
                      <w:b w:val="0"/>
                      <w:bCs/>
                      <w:color w:val="auto"/>
                      <w:sz w:val="21"/>
                      <w:szCs w:val="21"/>
                      <w:highlight w:val="none"/>
                      <w:lang w:val="en-US" w:eastAsia="zh-CN"/>
                    </w:rPr>
                    <w:t>落实产业政策、生态环境分区管控</w:t>
                  </w:r>
                  <w:r>
                    <w:rPr>
                      <w:rFonts w:hint="default" w:ascii="Times New Roman" w:hAnsi="Times New Roman" w:eastAsia="宋体" w:cs="Times New Roman"/>
                      <w:b w:val="0"/>
                      <w:bCs/>
                      <w:color w:val="auto"/>
                      <w:sz w:val="21"/>
                      <w:szCs w:val="21"/>
                      <w:highlight w:val="none"/>
                      <w:lang w:val="en-US" w:eastAsia="zh-CN"/>
                    </w:rPr>
                    <w:t>要求，积极落实项目环评相关工作；</w:t>
                  </w:r>
                  <w:r>
                    <w:rPr>
                      <w:rFonts w:hint="eastAsia" w:ascii="Times New Roman" w:hAnsi="Times New Roman" w:eastAsia="宋体" w:cs="Times New Roman"/>
                      <w:b w:val="0"/>
                      <w:bCs/>
                      <w:color w:val="auto"/>
                      <w:sz w:val="21"/>
                      <w:szCs w:val="21"/>
                      <w:highlight w:val="none"/>
                      <w:lang w:val="en-US" w:eastAsia="zh-CN"/>
                    </w:rPr>
                    <w:t>且本项目不属于“两高一低”项目</w:t>
                  </w:r>
                  <w:r>
                    <w:rPr>
                      <w:rFonts w:hint="default" w:ascii="Times New Roman" w:hAnsi="Times New Roman" w:eastAsia="宋体" w:cs="Times New Roman"/>
                      <w:b w:val="0"/>
                      <w:bCs/>
                      <w:color w:val="auto"/>
                      <w:sz w:val="21"/>
                      <w:szCs w:val="21"/>
                      <w:highlight w:val="none"/>
                      <w:lang w:val="en-US" w:eastAsia="zh-CN"/>
                    </w:rPr>
                    <w:t>。</w:t>
                  </w:r>
                </w:p>
              </w:tc>
              <w:tc>
                <w:tcPr>
                  <w:tcW w:w="1228"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0" w:type="auto"/>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(二)加快重点行业落后产能淘汰退出。严格执行《产业结构调整指导目录》要求,加快引导将污染物或温室气体排放明显高出行业平均水平、能效以及清洁生产水平低的工艺及装备纳入淘汰类和限制类名单。</w:t>
                  </w:r>
                </w:p>
              </w:tc>
              <w:tc>
                <w:tcPr>
                  <w:tcW w:w="3713"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根据前面的分析可知，本项目不涉及《产业结构调整指导目录》中“鼓励类”、“淘汰类”和“限制类”相关内容，工程属于允许类。</w:t>
                  </w:r>
                  <w:r>
                    <w:rPr>
                      <w:rFonts w:hint="eastAsia" w:ascii="Times New Roman" w:hAnsi="Times New Roman" w:eastAsia="宋体" w:cs="Times New Roman"/>
                      <w:b w:val="0"/>
                      <w:bCs/>
                      <w:color w:val="auto"/>
                      <w:kern w:val="2"/>
                      <w:sz w:val="21"/>
                      <w:szCs w:val="21"/>
                      <w:highlight w:val="none"/>
                      <w:lang w:val="en-US" w:eastAsia="zh-CN" w:bidi="ar-SA"/>
                    </w:rPr>
                    <w:t>本项目所用的工艺技术和装备未纳入淘汰类和限制类名单。</w:t>
                  </w:r>
                </w:p>
              </w:tc>
              <w:tc>
                <w:tcPr>
                  <w:tcW w:w="1228"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五、持续加强面源污染治理</w:t>
                  </w:r>
                </w:p>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深化扬尘污染综合治理。按照国家、省有关要求,全面推进绿色施工,严格执行“六个百分之百”,将防治扬尘污染费用纳入工程造价。到2025年,装配式建筑占新建建筑面积的比例达到20%;市建成区道路机械化清扫率达80%左右,县城达70%左右。对城市公共裸地进行排查建档并采取防尘措施。</w:t>
                  </w:r>
                </w:p>
              </w:tc>
              <w:tc>
                <w:tcPr>
                  <w:tcW w:w="3713"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both"/>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本项目严格执行扬尘污染综合治理工作，</w:t>
                  </w:r>
                  <w:r>
                    <w:rPr>
                      <w:rFonts w:hint="default" w:ascii="Times New Roman" w:hAnsi="Times New Roman" w:cs="Times New Roman"/>
                      <w:b w:val="0"/>
                      <w:bCs/>
                      <w:color w:val="auto"/>
                      <w:sz w:val="21"/>
                      <w:szCs w:val="21"/>
                      <w:highlight w:val="none"/>
                      <w:lang w:val="en-US" w:eastAsia="zh-CN"/>
                    </w:rPr>
                    <w:t>工程</w:t>
                  </w:r>
                  <w:r>
                    <w:rPr>
                      <w:rFonts w:hint="default" w:ascii="Times New Roman" w:hAnsi="Times New Roman" w:eastAsia="宋体" w:cs="Times New Roman"/>
                      <w:b w:val="0"/>
                      <w:bCs/>
                      <w:color w:val="auto"/>
                      <w:sz w:val="21"/>
                      <w:szCs w:val="21"/>
                      <w:highlight w:val="none"/>
                      <w:lang w:eastAsia="zh-CN"/>
                    </w:rPr>
                    <w:t>运营期</w:t>
                  </w:r>
                  <w:r>
                    <w:rPr>
                      <w:rFonts w:hint="eastAsia" w:ascii="Times New Roman" w:hAnsi="Times New Roman" w:eastAsia="宋体" w:cs="Times New Roman"/>
                      <w:b w:val="0"/>
                      <w:bCs/>
                      <w:color w:val="auto"/>
                      <w:sz w:val="21"/>
                      <w:szCs w:val="21"/>
                      <w:highlight w:val="none"/>
                      <w:lang w:val="en-US" w:eastAsia="zh-CN"/>
                    </w:rPr>
                    <w:t>扬尘污染防治理</w:t>
                  </w:r>
                  <w:r>
                    <w:rPr>
                      <w:rFonts w:hint="eastAsia" w:cs="Times New Roman"/>
                      <w:b w:val="0"/>
                      <w:bCs/>
                      <w:color w:val="auto"/>
                      <w:sz w:val="21"/>
                      <w:szCs w:val="21"/>
                      <w:highlight w:val="none"/>
                      <w:lang w:val="en-US" w:eastAsia="zh-CN"/>
                    </w:rPr>
                    <w:t>措施包括</w:t>
                  </w:r>
                  <w:r>
                    <w:rPr>
                      <w:rFonts w:hint="default" w:ascii="Times New Roman" w:hAnsi="Times New Roman" w:eastAsia="宋体" w:cs="Times New Roman"/>
                      <w:b w:val="0"/>
                      <w:bCs/>
                      <w:color w:val="auto"/>
                      <w:sz w:val="21"/>
                      <w:szCs w:val="21"/>
                      <w:highlight w:val="none"/>
                      <w:lang w:val="en-US" w:eastAsia="zh-CN"/>
                    </w:rPr>
                    <w:t>骨料堆场在装卸过程中注意保持湿度、注意洒水降尘；</w:t>
                  </w:r>
                  <w:r>
                    <w:rPr>
                      <w:rFonts w:hint="eastAsia" w:ascii="Times New Roman" w:hAnsi="Times New Roman" w:eastAsia="宋体" w:cs="Times New Roman"/>
                      <w:b w:val="0"/>
                      <w:bCs/>
                      <w:color w:val="auto"/>
                      <w:sz w:val="21"/>
                      <w:szCs w:val="21"/>
                      <w:highlight w:val="none"/>
                      <w:lang w:val="en-US" w:eastAsia="zh-CN"/>
                    </w:rPr>
                    <w:t>骨料</w:t>
                  </w:r>
                  <w:r>
                    <w:rPr>
                      <w:rFonts w:hint="eastAsia" w:cs="宋体"/>
                      <w:b w:val="0"/>
                      <w:bCs/>
                      <w:color w:val="auto"/>
                      <w:spacing w:val="-4"/>
                      <w:sz w:val="21"/>
                      <w:szCs w:val="21"/>
                      <w:highlight w:val="none"/>
                      <w:lang w:val="en-US" w:eastAsia="zh-CN"/>
                    </w:rPr>
                    <w:t>堆场利用</w:t>
                  </w:r>
                  <w:r>
                    <w:rPr>
                      <w:rFonts w:hint="eastAsia" w:ascii="宋体" w:hAnsi="宋体" w:eastAsia="宋体" w:cs="宋体"/>
                      <w:b w:val="0"/>
                      <w:bCs/>
                      <w:strike w:val="0"/>
                      <w:dstrike w:val="0"/>
                      <w:color w:val="auto"/>
                      <w:sz w:val="21"/>
                      <w:szCs w:val="21"/>
                      <w:highlight w:val="none"/>
                      <w:lang w:val="en-US" w:eastAsia="zh-CN"/>
                    </w:rPr>
                    <w:t>不低于堆放物高度（2.5m）的严密围挡,并采用</w:t>
                  </w:r>
                  <w:r>
                    <w:rPr>
                      <w:rFonts w:hint="eastAsia" w:cs="宋体"/>
                      <w:b w:val="0"/>
                      <w:bCs/>
                      <w:color w:val="auto"/>
                      <w:spacing w:val="-1"/>
                      <w:sz w:val="21"/>
                      <w:szCs w:val="21"/>
                      <w:highlight w:val="none"/>
                      <w:lang w:val="en-US" w:eastAsia="zh-CN"/>
                    </w:rPr>
                    <w:t>定期洒水降尘</w:t>
                  </w:r>
                  <w:r>
                    <w:rPr>
                      <w:rFonts w:hint="default" w:ascii="Times New Roman" w:hAnsi="Times New Roman" w:eastAsia="宋体" w:cs="Times New Roman"/>
                      <w:b w:val="0"/>
                      <w:bCs/>
                      <w:color w:val="auto"/>
                      <w:sz w:val="21"/>
                      <w:szCs w:val="21"/>
                      <w:highlight w:val="none"/>
                      <w:lang w:val="en-US" w:eastAsia="zh-CN"/>
                    </w:rPr>
                    <w:t>；厂区道路采用混凝土硬化处理，定期喷淋洒水。矿粉罐仓顶设置除尘器</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厂界</w:t>
                  </w:r>
                  <w:r>
                    <w:rPr>
                      <w:rFonts w:hint="eastAsia" w:ascii="Times New Roman" w:hAnsi="Times New Roman" w:eastAsia="宋体" w:cs="Times New Roman"/>
                      <w:b w:val="0"/>
                      <w:bCs/>
                      <w:color w:val="auto"/>
                      <w:sz w:val="21"/>
                      <w:szCs w:val="21"/>
                      <w:highlight w:val="none"/>
                      <w:lang w:val="en-US" w:eastAsia="zh-CN"/>
                    </w:rPr>
                    <w:t>颗粒物</w:t>
                  </w:r>
                  <w:r>
                    <w:rPr>
                      <w:rFonts w:hint="default" w:ascii="Times New Roman" w:hAnsi="Times New Roman" w:eastAsia="宋体" w:cs="Times New Roman"/>
                      <w:b w:val="0"/>
                      <w:bCs/>
                      <w:color w:val="auto"/>
                      <w:sz w:val="21"/>
                      <w:szCs w:val="21"/>
                      <w:highlight w:val="none"/>
                      <w:lang w:val="en-US" w:eastAsia="zh-CN"/>
                    </w:rPr>
                    <w:t>《大气污染物综合排放标准》（GB16297-1996）表2中无组织排放监控浓度限值标准。</w:t>
                  </w:r>
                </w:p>
              </w:tc>
              <w:tc>
                <w:tcPr>
                  <w:tcW w:w="1228" w:type="dxa"/>
                  <w:tcBorders>
                    <w:tl2br w:val="nil"/>
                    <w:tr2bl w:val="nil"/>
                  </w:tcBorders>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360" w:lineRule="exact"/>
                    <w:jc w:val="center"/>
                    <w:textAlignment w:val="baseline"/>
                    <w:rPr>
                      <w:rFonts w:hint="default" w:ascii="Times New Roman" w:hAnsi="Times New Roman" w:eastAsia="黑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eastAsia="zh-CN"/>
                    </w:rPr>
                    <w:t>符合</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lang w:val="en-US" w:eastAsia="zh-CN"/>
              </w:rPr>
            </w:pPr>
          </w:p>
          <w:p>
            <w:pPr>
              <w:autoSpaceDE w:val="0"/>
              <w:autoSpaceDN w:val="0"/>
              <w:adjustRightInd w:val="0"/>
              <w:snapToGrid w:val="0"/>
              <w:spacing w:line="360" w:lineRule="auto"/>
              <w:ind w:firstLine="480" w:firstLineChars="200"/>
              <w:jc w:val="both"/>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lang w:val="en-US" w:eastAsia="zh-CN"/>
              </w:rPr>
              <w:t>、与《伊春市人民政府关于印发＜伊春市国土空间总体规划</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2021—2035年）＞的通知</w:t>
            </w:r>
            <w:r>
              <w:rPr>
                <w:rFonts w:hint="eastAsia" w:ascii="Times New Roman" w:hAnsi="Times New Roman" w:eastAsia="宋体" w:cs="Times New Roman"/>
                <w:b/>
                <w:bCs/>
                <w:color w:val="auto"/>
                <w:sz w:val="24"/>
                <w:lang w:val="en-US" w:eastAsia="zh-CN"/>
              </w:rPr>
              <w:t>的</w:t>
            </w:r>
            <w:r>
              <w:rPr>
                <w:rFonts w:hint="default" w:ascii="Times New Roman" w:hAnsi="Times New Roman" w:eastAsia="宋体" w:cs="Times New Roman"/>
                <w:b/>
                <w:bCs/>
                <w:color w:val="auto"/>
                <w:sz w:val="24"/>
                <w:lang w:val="en-US" w:eastAsia="zh-CN"/>
              </w:rPr>
              <w:t>符合性分析</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《伊春市国土空间总体规划（2021—2035年）》的通知</w:t>
            </w:r>
            <w:r>
              <w:rPr>
                <w:rFonts w:hint="eastAsia"/>
                <w:color w:val="auto"/>
                <w:sz w:val="24"/>
                <w:lang w:val="en-US" w:eastAsia="zh-CN"/>
              </w:rPr>
              <w:t>中第三章 以“三区三线”为基础，优化总体格局中</w:t>
            </w:r>
            <w:r>
              <w:rPr>
                <w:rFonts w:hint="eastAsia"/>
                <w:color w:val="auto"/>
                <w:sz w:val="24"/>
              </w:rPr>
              <w:t>第四节 优化规划分区和用地结构</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一、推进规划分区管控</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按照底线管控、全域统筹的思路，划分生态保护区、生态控制区、农田保护区、城镇发展区、乡村发展区和矿产能源发展区六大主导功能规划分区。建立各类规划分区的国土用途管控目标、空间布局和管控规则，提升国土空间开发保护质量和效益。</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二、优化土地利用结构</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保障生态安全和粮食安全，稳定农林用地、自然保护和保留用地规模；严格控制建设用地总量，精准配置新增建设用地，加大盘活存量，提升土地利用效率。</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科学利用农林用地。落实最严格的耕地保护制度，切实加强永久基本农田建设；因地制宜发展园地，加强对中低产田和新建园地的改造和管理，支持特色农林产业种植，提升园地效益。</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节约集约利用建设用地。科学控制建设用地总量，推进建设用地由“增量扩张”向“增存并重”转型，推进建设用地在城镇、乡村（林场）内部以及城乡之间合理流转。优化建设用地结构，推进城镇用地集约发展，引导村庄建设用地减量化，保障区域基础设施和其他建设用地。</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稳定自然保护与保留用地。大力保护湿地、陆地水域等自然保护区域，对规划期内不具备开发利用条件的自然保留区域实施开发限制。</w:t>
            </w:r>
          </w:p>
          <w:p>
            <w:pPr>
              <w:spacing w:line="360" w:lineRule="auto"/>
              <w:ind w:firstLine="480" w:firstLineChars="200"/>
              <w:rPr>
                <w:color w:val="auto"/>
                <w:sz w:val="24"/>
              </w:rPr>
            </w:pPr>
            <w:r>
              <w:rPr>
                <w:color w:val="auto"/>
                <w:sz w:val="24"/>
              </w:rPr>
              <w:t>本项目位于</w:t>
            </w:r>
            <w:r>
              <w:rPr>
                <w:rFonts w:hint="eastAsia"/>
                <w:color w:val="auto"/>
                <w:sz w:val="24"/>
              </w:rPr>
              <w:t>伊春市</w:t>
            </w:r>
            <w:r>
              <w:rPr>
                <w:rFonts w:hint="eastAsia"/>
                <w:color w:val="auto"/>
                <w:sz w:val="24"/>
                <w:lang w:val="en-US" w:eastAsia="zh-CN"/>
              </w:rPr>
              <w:t>伊美</w:t>
            </w:r>
            <w:r>
              <w:rPr>
                <w:rFonts w:hint="eastAsia"/>
                <w:color w:val="auto"/>
                <w:sz w:val="24"/>
              </w:rPr>
              <w:t>区</w:t>
            </w:r>
            <w:r>
              <w:rPr>
                <w:rFonts w:hint="eastAsia"/>
                <w:color w:val="auto"/>
                <w:sz w:val="24"/>
                <w:lang w:val="en-US" w:eastAsia="zh-CN"/>
              </w:rPr>
              <w:t>伊敏林场</w:t>
            </w:r>
            <w:r>
              <w:rPr>
                <w:rFonts w:hint="eastAsia"/>
                <w:color w:val="auto"/>
                <w:sz w:val="24"/>
              </w:rPr>
              <w:t>，</w:t>
            </w:r>
            <w:r>
              <w:rPr>
                <w:color w:val="auto"/>
                <w:sz w:val="24"/>
              </w:rPr>
              <w:t>项目选址不</w:t>
            </w:r>
            <w:r>
              <w:rPr>
                <w:rFonts w:hint="eastAsia"/>
                <w:color w:val="auto"/>
                <w:sz w:val="24"/>
              </w:rPr>
              <w:t>在</w:t>
            </w:r>
            <w:r>
              <w:rPr>
                <w:color w:val="auto"/>
                <w:sz w:val="24"/>
              </w:rPr>
              <w:t>风景名胜区、温泉疗养区、水产养殖区、基本农田保护区、自然保护区</w:t>
            </w:r>
            <w:r>
              <w:rPr>
                <w:rFonts w:hint="eastAsia"/>
                <w:color w:val="auto"/>
                <w:sz w:val="24"/>
              </w:rPr>
              <w:t>、</w:t>
            </w:r>
            <w:r>
              <w:rPr>
                <w:color w:val="auto"/>
                <w:sz w:val="24"/>
              </w:rPr>
              <w:t>生活饮用水源地和地下水补给区等需要特殊保护区域。</w:t>
            </w:r>
          </w:p>
          <w:p>
            <w:pPr>
              <w:spacing w:line="360" w:lineRule="auto"/>
              <w:ind w:firstLine="480" w:firstLineChars="200"/>
              <w:rPr>
                <w:rFonts w:hint="default" w:eastAsia="宋体"/>
                <w:color w:val="auto"/>
                <w:lang w:val="en-US" w:eastAsia="zh-CN"/>
              </w:rPr>
            </w:pPr>
            <w:r>
              <w:rPr>
                <w:color w:val="auto"/>
                <w:kern w:val="0"/>
                <w:sz w:val="24"/>
              </w:rPr>
              <w:t>本项目符合</w:t>
            </w:r>
            <w:r>
              <w:rPr>
                <w:rFonts w:hint="eastAsia"/>
                <w:color w:val="auto"/>
                <w:sz w:val="24"/>
                <w:lang w:val="en-US" w:eastAsia="zh-CN"/>
              </w:rPr>
              <w:t>伊美</w:t>
            </w:r>
            <w:r>
              <w:rPr>
                <w:rFonts w:hint="eastAsia"/>
                <w:color w:val="auto"/>
                <w:sz w:val="24"/>
              </w:rPr>
              <w:t>区</w:t>
            </w:r>
            <w:r>
              <w:rPr>
                <w:color w:val="auto"/>
                <w:kern w:val="0"/>
                <w:sz w:val="24"/>
              </w:rPr>
              <w:t>生态环境准入清单相关要求，项目符合伊春市</w:t>
            </w:r>
            <w:r>
              <w:rPr>
                <w:rFonts w:hint="eastAsia"/>
                <w:color w:val="auto"/>
                <w:kern w:val="0"/>
                <w:sz w:val="24"/>
                <w:lang w:val="en-US" w:eastAsia="zh-CN"/>
              </w:rPr>
              <w:t>生态环境分区管控</w:t>
            </w:r>
            <w:r>
              <w:rPr>
                <w:color w:val="auto"/>
                <w:kern w:val="0"/>
                <w:sz w:val="24"/>
              </w:rPr>
              <w:t>相关要求。</w:t>
            </w:r>
            <w:r>
              <w:rPr>
                <w:rFonts w:hint="eastAsia"/>
                <w:color w:val="auto"/>
                <w:kern w:val="0"/>
                <w:sz w:val="24"/>
                <w:lang w:val="en-US" w:eastAsia="zh-CN"/>
              </w:rPr>
              <w:t>与</w:t>
            </w:r>
            <w:r>
              <w:rPr>
                <w:rFonts w:hint="eastAsia"/>
                <w:color w:val="auto"/>
                <w:sz w:val="24"/>
              </w:rPr>
              <w:t>《伊春市国土空间总体规划（2021—2035年）》</w:t>
            </w:r>
            <w:r>
              <w:rPr>
                <w:rFonts w:hint="eastAsia"/>
                <w:color w:val="auto"/>
                <w:sz w:val="24"/>
                <w:lang w:val="en-US" w:eastAsia="zh-CN"/>
              </w:rPr>
              <w:t>要求相符。</w:t>
            </w:r>
          </w:p>
          <w:p>
            <w:pPr>
              <w:autoSpaceDE w:val="0"/>
              <w:autoSpaceDN w:val="0"/>
              <w:adjustRightInd w:val="0"/>
              <w:spacing w:line="360" w:lineRule="auto"/>
              <w:rPr>
                <w:rFonts w:eastAsia="黑体"/>
                <w:bCs/>
                <w:color w:val="auto"/>
                <w:kern w:val="0"/>
                <w:sz w:val="28"/>
                <w:szCs w:val="28"/>
              </w:rPr>
            </w:pPr>
            <w:r>
              <w:rPr>
                <w:rFonts w:hint="eastAsia" w:eastAsia="黑体"/>
                <w:bCs/>
                <w:color w:val="auto"/>
                <w:kern w:val="0"/>
                <w:sz w:val="28"/>
                <w:szCs w:val="28"/>
              </w:rPr>
              <w:t>二</w:t>
            </w:r>
            <w:r>
              <w:rPr>
                <w:rFonts w:eastAsia="黑体"/>
                <w:bCs/>
                <w:color w:val="auto"/>
                <w:kern w:val="0"/>
                <w:sz w:val="28"/>
                <w:szCs w:val="28"/>
              </w:rPr>
              <w:t>、</w:t>
            </w:r>
            <w:r>
              <w:rPr>
                <w:rFonts w:hint="eastAsia" w:eastAsia="黑体"/>
                <w:bCs/>
                <w:color w:val="auto"/>
                <w:kern w:val="0"/>
                <w:sz w:val="28"/>
                <w:szCs w:val="28"/>
                <w:lang w:val="en-US" w:eastAsia="zh-CN"/>
              </w:rPr>
              <w:t>生态环境分区管控</w:t>
            </w:r>
            <w:r>
              <w:rPr>
                <w:rFonts w:eastAsia="黑体"/>
                <w:bCs/>
                <w:color w:val="auto"/>
                <w:kern w:val="0"/>
                <w:sz w:val="28"/>
                <w:szCs w:val="28"/>
              </w:rPr>
              <w:t>符合性分析</w:t>
            </w:r>
          </w:p>
          <w:p>
            <w:pPr>
              <w:pStyle w:val="33"/>
              <w:spacing w:after="0" w:line="360" w:lineRule="auto"/>
              <w:ind w:left="0" w:leftChars="0" w:firstLine="480"/>
              <w:rPr>
                <w:color w:val="auto"/>
                <w:sz w:val="24"/>
              </w:rPr>
            </w:pPr>
            <w:r>
              <w:rPr>
                <w:color w:val="auto"/>
                <w:sz w:val="24"/>
              </w:rPr>
              <w:t>本项目位于伊春市</w:t>
            </w:r>
            <w:r>
              <w:rPr>
                <w:rFonts w:hint="eastAsia"/>
                <w:color w:val="auto"/>
                <w:sz w:val="24"/>
                <w:lang w:val="en-US" w:eastAsia="zh-CN"/>
              </w:rPr>
              <w:t>伊美</w:t>
            </w:r>
            <w:r>
              <w:rPr>
                <w:rFonts w:hint="eastAsia"/>
                <w:color w:val="auto"/>
                <w:sz w:val="24"/>
              </w:rPr>
              <w:t>区</w:t>
            </w:r>
            <w:r>
              <w:rPr>
                <w:color w:val="auto"/>
                <w:sz w:val="24"/>
              </w:rPr>
              <w:t>，根据伊春市人民政府关于实施“三线一单”生态环境分区管控意见及伊春市生态环境准入清单（2023年版），本项目主要占用</w:t>
            </w:r>
            <w:r>
              <w:rPr>
                <w:rFonts w:hint="eastAsia"/>
                <w:color w:val="auto"/>
                <w:sz w:val="24"/>
                <w:lang w:val="en-US" w:eastAsia="zh-CN"/>
              </w:rPr>
              <w:t>伊美</w:t>
            </w:r>
            <w:r>
              <w:rPr>
                <w:rFonts w:hint="eastAsia"/>
                <w:color w:val="auto"/>
                <w:sz w:val="24"/>
              </w:rPr>
              <w:t>区</w:t>
            </w:r>
            <w:r>
              <w:rPr>
                <w:color w:val="auto"/>
                <w:sz w:val="24"/>
              </w:rPr>
              <w:t>重点管控单元</w:t>
            </w:r>
            <w:r>
              <w:rPr>
                <w:rFonts w:hint="eastAsia"/>
                <w:color w:val="auto"/>
                <w:sz w:val="24"/>
                <w:lang w:eastAsia="zh-CN"/>
              </w:rPr>
              <w:t>（</w:t>
            </w:r>
            <w:r>
              <w:rPr>
                <w:rFonts w:hint="eastAsia"/>
                <w:color w:val="auto"/>
                <w:sz w:val="24"/>
                <w:lang w:val="en-US" w:eastAsia="zh-CN"/>
              </w:rPr>
              <w:t>伊美区城镇空间</w:t>
            </w:r>
            <w:r>
              <w:rPr>
                <w:rFonts w:hint="eastAsia"/>
                <w:color w:val="auto"/>
                <w:sz w:val="24"/>
                <w:lang w:eastAsia="zh-CN"/>
              </w:rPr>
              <w:t>）</w:t>
            </w:r>
            <w:r>
              <w:rPr>
                <w:rFonts w:hint="eastAsia"/>
                <w:color w:val="auto"/>
                <w:sz w:val="24"/>
              </w:rPr>
              <w:t>。</w:t>
            </w:r>
          </w:p>
          <w:p>
            <w:pPr>
              <w:spacing w:line="360" w:lineRule="auto"/>
              <w:ind w:firstLine="480" w:firstLineChars="200"/>
              <w:rPr>
                <w:b/>
                <w:bCs/>
                <w:color w:val="auto"/>
                <w:sz w:val="24"/>
                <w:szCs w:val="32"/>
              </w:rPr>
            </w:pPr>
            <w:r>
              <w:rPr>
                <w:b/>
                <w:bCs/>
                <w:color w:val="auto"/>
                <w:sz w:val="24"/>
                <w:szCs w:val="32"/>
              </w:rPr>
              <w:t>（1）生态保护红线</w:t>
            </w:r>
          </w:p>
          <w:p>
            <w:pPr>
              <w:pStyle w:val="33"/>
              <w:spacing w:after="0" w:line="360" w:lineRule="auto"/>
              <w:ind w:left="0" w:leftChars="0" w:firstLine="480"/>
              <w:rPr>
                <w:color w:val="auto"/>
                <w:kern w:val="0"/>
                <w:sz w:val="24"/>
                <w:highlight w:val="none"/>
              </w:rPr>
            </w:pPr>
            <w:r>
              <w:rPr>
                <w:color w:val="auto"/>
                <w:kern w:val="0"/>
                <w:sz w:val="24"/>
              </w:rPr>
              <w:t>根据黑龙江省“三区三线”划定成果及</w:t>
            </w:r>
            <w:r>
              <w:rPr>
                <w:color w:val="auto"/>
                <w:sz w:val="24"/>
              </w:rPr>
              <w:t>伊春市人民政府关于实施“三线一单”生态环境分区管控意见</w:t>
            </w:r>
            <w:r>
              <w:rPr>
                <w:color w:val="auto"/>
                <w:kern w:val="0"/>
                <w:sz w:val="24"/>
              </w:rPr>
              <w:t>，本项目厂址所在区域不属于生态保护红线范围</w:t>
            </w:r>
            <w:r>
              <w:rPr>
                <w:color w:val="auto"/>
                <w:kern w:val="0"/>
                <w:sz w:val="24"/>
                <w:highlight w:val="none"/>
              </w:rPr>
              <w:t>内。</w:t>
            </w:r>
          </w:p>
          <w:p>
            <w:pPr>
              <w:pStyle w:val="33"/>
              <w:spacing w:after="0" w:line="360" w:lineRule="auto"/>
              <w:ind w:left="0" w:leftChars="0" w:firstLine="482"/>
              <w:rPr>
                <w:color w:val="auto"/>
                <w:highlight w:val="none"/>
              </w:rPr>
            </w:pPr>
            <w:r>
              <w:rPr>
                <w:b/>
                <w:bCs/>
                <w:color w:val="auto"/>
                <w:sz w:val="24"/>
                <w:szCs w:val="32"/>
                <w:highlight w:val="none"/>
              </w:rPr>
              <w:t>（2）环境质量底线</w:t>
            </w:r>
          </w:p>
          <w:p>
            <w:pPr>
              <w:pStyle w:val="86"/>
              <w:adjustRightInd w:val="0"/>
              <w:snapToGrid w:val="0"/>
              <w:rPr>
                <w:color w:val="auto"/>
                <w:lang w:val="zh-CN"/>
              </w:rPr>
            </w:pPr>
            <w:r>
              <w:rPr>
                <w:rFonts w:hint="eastAsia"/>
                <w:color w:val="auto"/>
                <w:lang w:val="zh-CN"/>
              </w:rPr>
              <w:t>①大气</w:t>
            </w:r>
          </w:p>
          <w:p>
            <w:pPr>
              <w:autoSpaceDE w:val="0"/>
              <w:autoSpaceDN w:val="0"/>
              <w:spacing w:line="360" w:lineRule="auto"/>
              <w:ind w:firstLine="480" w:firstLineChars="200"/>
              <w:jc w:val="left"/>
              <w:rPr>
                <w:b/>
                <w:color w:val="auto"/>
                <w:sz w:val="24"/>
                <w:highlight w:val="yellow"/>
                <w:lang w:val="zh-CN"/>
              </w:rPr>
            </w:pPr>
            <w:r>
              <w:rPr>
                <w:rFonts w:hint="eastAsia"/>
                <w:color w:val="auto"/>
                <w:sz w:val="24"/>
                <w:lang w:val="en-US" w:eastAsia="zh-CN"/>
              </w:rPr>
              <w:t>根据《伊春市生态环境质量公报（2024年）》，</w:t>
            </w:r>
            <w:r>
              <w:rPr>
                <w:rFonts w:hint="eastAsia"/>
                <w:color w:val="auto"/>
                <w:sz w:val="24"/>
              </w:rPr>
              <w:t>202</w:t>
            </w:r>
            <w:r>
              <w:rPr>
                <w:rFonts w:hint="eastAsia"/>
                <w:color w:val="auto"/>
                <w:sz w:val="24"/>
                <w:lang w:val="en-US" w:eastAsia="zh-CN"/>
              </w:rPr>
              <w:t>4</w:t>
            </w:r>
            <w:r>
              <w:rPr>
                <w:rFonts w:hint="eastAsia"/>
                <w:color w:val="auto"/>
                <w:sz w:val="24"/>
              </w:rPr>
              <w:t>年伊春</w:t>
            </w:r>
            <w:r>
              <w:rPr>
                <w:color w:val="auto"/>
                <w:sz w:val="24"/>
                <w:lang w:val="zh-CN"/>
              </w:rPr>
              <w:t>区域基本污染物均符合《环境空气质量标准》（GB3095-20</w:t>
            </w:r>
            <w:r>
              <w:rPr>
                <w:rFonts w:hint="eastAsia"/>
                <w:color w:val="auto"/>
                <w:sz w:val="24"/>
                <w:lang w:val="en-US" w:eastAsia="zh-CN"/>
              </w:rPr>
              <w:t>26</w:t>
            </w:r>
            <w:r>
              <w:rPr>
                <w:color w:val="auto"/>
                <w:sz w:val="24"/>
                <w:lang w:val="zh-CN"/>
              </w:rPr>
              <w:t>）二级标准，区域属于环境空气质量达标区</w:t>
            </w:r>
            <w:r>
              <w:rPr>
                <w:color w:val="auto"/>
                <w:sz w:val="24"/>
              </w:rPr>
              <w:t>。</w:t>
            </w:r>
            <w:r>
              <w:rPr>
                <w:snapToGrid w:val="0"/>
                <w:color w:val="auto"/>
                <w:sz w:val="24"/>
                <w:lang w:val="en-GB"/>
              </w:rPr>
              <w:t>本项目</w:t>
            </w:r>
            <w:r>
              <w:rPr>
                <w:rFonts w:hint="eastAsia"/>
                <w:snapToGrid w:val="0"/>
                <w:color w:val="auto"/>
                <w:sz w:val="24"/>
                <w:lang w:val="en-GB"/>
              </w:rPr>
              <w:t>所在区域大气环境</w:t>
            </w:r>
            <w:r>
              <w:rPr>
                <w:bCs/>
                <w:snapToGrid w:val="0"/>
                <w:color w:val="auto"/>
                <w:sz w:val="24"/>
              </w:rPr>
              <w:t>苯并[a]芘</w:t>
            </w:r>
            <w:r>
              <w:rPr>
                <w:rFonts w:hint="eastAsia"/>
                <w:snapToGrid w:val="0"/>
                <w:color w:val="auto"/>
                <w:sz w:val="24"/>
                <w:lang w:val="en-GB"/>
              </w:rPr>
              <w:t>均未检出，</w:t>
            </w:r>
            <w:r>
              <w:rPr>
                <w:rFonts w:hAnsi="宋体"/>
                <w:color w:val="auto"/>
                <w:sz w:val="24"/>
              </w:rPr>
              <w:t>满足</w:t>
            </w:r>
            <w:r>
              <w:rPr>
                <w:color w:val="auto"/>
                <w:sz w:val="24"/>
                <w:lang w:val="zh-CN"/>
              </w:rPr>
              <w:t>《环境空气质量标准》（GB3095-20</w:t>
            </w:r>
            <w:r>
              <w:rPr>
                <w:rFonts w:hint="eastAsia"/>
                <w:color w:val="auto"/>
                <w:sz w:val="24"/>
                <w:lang w:val="en-US" w:eastAsia="zh-CN"/>
              </w:rPr>
              <w:t>26</w:t>
            </w:r>
            <w:r>
              <w:rPr>
                <w:color w:val="auto"/>
                <w:sz w:val="24"/>
                <w:lang w:val="zh-CN"/>
              </w:rPr>
              <w:t>）二级标准</w:t>
            </w:r>
            <w:r>
              <w:rPr>
                <w:rFonts w:hAnsi="宋体"/>
                <w:color w:val="auto"/>
                <w:sz w:val="24"/>
              </w:rPr>
              <w:t>。</w:t>
            </w:r>
            <w:r>
              <w:rPr>
                <w:rFonts w:hint="eastAsia"/>
                <w:color w:val="auto"/>
                <w:sz w:val="24"/>
                <w:lang w:val="en-US" w:eastAsia="zh-CN"/>
              </w:rPr>
              <w:t>生产过程产生废气均采用可行的污染防治理措施，</w:t>
            </w:r>
            <w:r>
              <w:rPr>
                <w:rFonts w:hint="eastAsia"/>
                <w:bCs/>
                <w:color w:val="auto"/>
                <w:sz w:val="24"/>
                <w:highlight w:val="none"/>
              </w:rPr>
              <w:t>烘干滚筒及其配套燃气燃烧器、振动筛、提升机、搅拌机等废气：沥青骨料烘干废气设置重力沉降+布袋式除尘器（去除效率99%）二级除尘，上述废气处理后经</w:t>
            </w:r>
            <w:r>
              <w:rPr>
                <w:rFonts w:hint="eastAsia"/>
                <w:bCs/>
                <w:color w:val="auto"/>
                <w:sz w:val="24"/>
                <w:highlight w:val="none"/>
                <w:lang w:val="en-US" w:eastAsia="zh-CN"/>
              </w:rPr>
              <w:t>15</w:t>
            </w:r>
            <w:r>
              <w:rPr>
                <w:rFonts w:hint="eastAsia"/>
                <w:bCs/>
                <w:color w:val="auto"/>
                <w:sz w:val="24"/>
                <w:highlight w:val="none"/>
              </w:rPr>
              <w:t>m排气筒（D</w:t>
            </w:r>
            <w:r>
              <w:rPr>
                <w:rFonts w:hint="eastAsia"/>
                <w:bCs/>
                <w:color w:val="auto"/>
                <w:sz w:val="24"/>
                <w:highlight w:val="none"/>
                <w:lang w:val="en-US" w:eastAsia="zh-CN"/>
              </w:rPr>
              <w:t>A</w:t>
            </w:r>
            <w:r>
              <w:rPr>
                <w:rFonts w:hint="eastAsia"/>
                <w:bCs/>
                <w:color w:val="auto"/>
                <w:sz w:val="24"/>
                <w:highlight w:val="none"/>
              </w:rPr>
              <w:t>002）外排。导热油炉燃烧废气：</w:t>
            </w:r>
            <w:r>
              <w:rPr>
                <w:rFonts w:hint="default" w:ascii="Times New Roman" w:hAnsi="Times New Roman" w:eastAsia="宋体" w:cs="Times New Roman"/>
                <w:b w:val="0"/>
                <w:bCs/>
                <w:color w:val="auto"/>
                <w:sz w:val="24"/>
                <w:szCs w:val="24"/>
                <w:highlight w:val="none"/>
                <w:lang w:val="en-US" w:eastAsia="zh-CN"/>
              </w:rPr>
              <w:t>导热油炉烟气</w:t>
            </w:r>
            <w:r>
              <w:rPr>
                <w:rFonts w:hint="eastAsia" w:ascii="Times New Roman" w:hAnsi="Times New Roman" w:eastAsia="宋体" w:cs="Times New Roman"/>
                <w:b w:val="0"/>
                <w:bCs/>
                <w:color w:val="auto"/>
                <w:sz w:val="24"/>
                <w:szCs w:val="24"/>
                <w:highlight w:val="none"/>
                <w:lang w:val="en-US" w:eastAsia="zh-CN"/>
              </w:rPr>
              <w:t>经低氮燃烧+布袋除尘器</w:t>
            </w:r>
            <w:r>
              <w:rPr>
                <w:rFonts w:hint="default" w:ascii="Times New Roman" w:hAnsi="Times New Roman" w:eastAsia="宋体" w:cs="Times New Roman"/>
                <w:b w:val="0"/>
                <w:bCs/>
                <w:color w:val="auto"/>
                <w:sz w:val="24"/>
                <w:szCs w:val="24"/>
                <w:highlight w:val="none"/>
                <w:lang w:val="en-US" w:eastAsia="zh-CN"/>
              </w:rPr>
              <w:t>通过</w:t>
            </w:r>
            <w:r>
              <w:rPr>
                <w:rFonts w:hint="eastAsia" w:ascii="Times New Roman" w:hAnsi="Times New Roman" w:eastAsia="宋体" w:cs="Times New Roman"/>
                <w:b w:val="0"/>
                <w:bCs/>
                <w:color w:val="auto"/>
                <w:sz w:val="24"/>
                <w:szCs w:val="24"/>
                <w:highlight w:val="none"/>
                <w:lang w:val="en-US" w:eastAsia="zh-CN"/>
              </w:rPr>
              <w:t>15</w:t>
            </w:r>
            <w:r>
              <w:rPr>
                <w:rFonts w:hint="default" w:ascii="Times New Roman" w:hAnsi="Times New Roman" w:eastAsia="宋体" w:cs="Times New Roman"/>
                <w:b w:val="0"/>
                <w:bCs/>
                <w:color w:val="auto"/>
                <w:sz w:val="24"/>
                <w:szCs w:val="24"/>
                <w:highlight w:val="none"/>
                <w:lang w:val="en-US" w:eastAsia="zh-CN"/>
              </w:rPr>
              <w:t>m高排气筒(DA001)</w:t>
            </w:r>
            <w:r>
              <w:rPr>
                <w:rFonts w:hint="eastAsia" w:ascii="Times New Roman" w:hAnsi="Times New Roman" w:eastAsia="宋体" w:cs="Times New Roman"/>
                <w:b w:val="0"/>
                <w:bCs/>
                <w:color w:val="auto"/>
                <w:sz w:val="24"/>
                <w:szCs w:val="24"/>
                <w:highlight w:val="none"/>
                <w:lang w:val="en-US" w:eastAsia="zh-CN"/>
              </w:rPr>
              <w:t>排放</w:t>
            </w:r>
            <w:r>
              <w:rPr>
                <w:rFonts w:hint="eastAsia"/>
                <w:bCs/>
                <w:color w:val="auto"/>
                <w:sz w:val="24"/>
                <w:highlight w:val="none"/>
              </w:rPr>
              <w:t>。沥青烟气：设置一套</w:t>
            </w:r>
            <w:r>
              <w:rPr>
                <w:rFonts w:hint="eastAsia"/>
                <w:bCs/>
                <w:color w:val="auto"/>
                <w:sz w:val="24"/>
                <w:highlight w:val="none"/>
                <w:lang w:eastAsia="zh-CN"/>
              </w:rPr>
              <w:t>活性炭吸附</w:t>
            </w:r>
            <w:r>
              <w:rPr>
                <w:rFonts w:hint="eastAsia"/>
                <w:bCs/>
                <w:color w:val="auto"/>
                <w:sz w:val="24"/>
                <w:highlight w:val="none"/>
              </w:rPr>
              <w:t>（去除效率</w:t>
            </w:r>
            <w:r>
              <w:rPr>
                <w:rFonts w:hint="eastAsia"/>
                <w:bCs/>
                <w:color w:val="auto"/>
                <w:sz w:val="24"/>
                <w:highlight w:val="none"/>
                <w:lang w:val="en-US" w:eastAsia="zh-CN"/>
              </w:rPr>
              <w:t>95</w:t>
            </w:r>
            <w:r>
              <w:rPr>
                <w:rFonts w:hint="eastAsia"/>
                <w:bCs/>
                <w:color w:val="auto"/>
                <w:sz w:val="24"/>
                <w:highlight w:val="none"/>
              </w:rPr>
              <w:t>%），后通过</w:t>
            </w:r>
            <w:r>
              <w:rPr>
                <w:rFonts w:hint="eastAsia"/>
                <w:bCs/>
                <w:color w:val="auto"/>
                <w:sz w:val="24"/>
                <w:highlight w:val="none"/>
                <w:lang w:val="en-US" w:eastAsia="zh-CN"/>
              </w:rPr>
              <w:t>15</w:t>
            </w:r>
            <w:r>
              <w:rPr>
                <w:rFonts w:hint="eastAsia"/>
                <w:bCs/>
                <w:color w:val="auto"/>
                <w:sz w:val="24"/>
                <w:highlight w:val="none"/>
              </w:rPr>
              <w:t>m高排气筒（D</w:t>
            </w:r>
            <w:r>
              <w:rPr>
                <w:rFonts w:hint="eastAsia"/>
                <w:bCs/>
                <w:color w:val="auto"/>
                <w:sz w:val="24"/>
                <w:highlight w:val="none"/>
                <w:lang w:val="en-US" w:eastAsia="zh-CN"/>
              </w:rPr>
              <w:t>A</w:t>
            </w:r>
            <w:r>
              <w:rPr>
                <w:rFonts w:hint="eastAsia"/>
                <w:bCs/>
                <w:color w:val="auto"/>
                <w:sz w:val="24"/>
                <w:highlight w:val="none"/>
              </w:rPr>
              <w:t>00</w:t>
            </w:r>
            <w:r>
              <w:rPr>
                <w:rFonts w:hint="eastAsia"/>
                <w:bCs/>
                <w:color w:val="auto"/>
                <w:sz w:val="24"/>
                <w:highlight w:val="none"/>
                <w:lang w:val="en-US" w:eastAsia="zh-CN"/>
              </w:rPr>
              <w:t>1</w:t>
            </w:r>
            <w:r>
              <w:rPr>
                <w:rFonts w:hint="eastAsia"/>
                <w:bCs/>
                <w:color w:val="auto"/>
                <w:sz w:val="24"/>
                <w:highlight w:val="none"/>
              </w:rPr>
              <w:t>）高空排放，沥青储罐</w:t>
            </w:r>
            <w:r>
              <w:rPr>
                <w:rFonts w:hint="eastAsia"/>
                <w:bCs/>
                <w:color w:val="auto"/>
                <w:sz w:val="24"/>
                <w:highlight w:val="none"/>
                <w:lang w:val="en-US" w:eastAsia="zh-CN"/>
              </w:rPr>
              <w:t>废气</w:t>
            </w:r>
            <w:r>
              <w:rPr>
                <w:rFonts w:hint="eastAsia"/>
                <w:bCs/>
                <w:color w:val="auto"/>
                <w:sz w:val="24"/>
                <w:highlight w:val="none"/>
              </w:rPr>
              <w:t>进入沥青烟处理系统。无组织粉尘：骨料堆场在装卸过程中注意保持湿度、注意洒水降尘；</w:t>
            </w:r>
            <w:r>
              <w:rPr>
                <w:rFonts w:hint="eastAsia"/>
                <w:bCs/>
                <w:color w:val="auto"/>
                <w:sz w:val="24"/>
                <w:highlight w:val="none"/>
                <w:lang w:val="en-US" w:eastAsia="zh-CN"/>
              </w:rPr>
              <w:t>骨料</w:t>
            </w:r>
            <w:r>
              <w:rPr>
                <w:rFonts w:hint="eastAsia" w:cs="宋体"/>
                <w:color w:val="auto"/>
                <w:spacing w:val="-4"/>
                <w:sz w:val="24"/>
                <w:szCs w:val="24"/>
                <w:lang w:val="en-US" w:eastAsia="zh-CN"/>
              </w:rPr>
              <w:t>堆场利用</w:t>
            </w:r>
            <w:r>
              <w:rPr>
                <w:rFonts w:hint="eastAsia" w:ascii="宋体" w:hAnsi="宋体" w:eastAsia="宋体" w:cs="宋体"/>
                <w:strike w:val="0"/>
                <w:dstrike w:val="0"/>
                <w:color w:val="auto"/>
                <w:sz w:val="24"/>
                <w:szCs w:val="24"/>
                <w:lang w:val="en-US" w:eastAsia="zh-CN"/>
              </w:rPr>
              <w:t>不低于堆放物高度（2.5m）的严密围挡,并采用</w:t>
            </w:r>
            <w:r>
              <w:rPr>
                <w:rFonts w:hint="eastAsia" w:cs="宋体"/>
                <w:color w:val="auto"/>
                <w:spacing w:val="-1"/>
                <w:sz w:val="24"/>
                <w:szCs w:val="24"/>
                <w:lang w:val="en-US" w:eastAsia="zh-CN"/>
              </w:rPr>
              <w:t>定期洒水降尘</w:t>
            </w:r>
            <w:r>
              <w:rPr>
                <w:rFonts w:hint="eastAsia"/>
                <w:bCs/>
                <w:color w:val="auto"/>
                <w:sz w:val="24"/>
                <w:highlight w:val="none"/>
              </w:rPr>
              <w:t>；厂区道路采用混凝土硬化处理，定期喷淋洒水。矿粉罐仓顶设置</w:t>
            </w:r>
            <w:r>
              <w:rPr>
                <w:rFonts w:hint="eastAsia"/>
                <w:bCs/>
                <w:color w:val="auto"/>
                <w:sz w:val="24"/>
                <w:highlight w:val="none"/>
                <w:lang w:val="en-US" w:eastAsia="zh-CN"/>
              </w:rPr>
              <w:t>脉冲</w:t>
            </w:r>
            <w:r>
              <w:rPr>
                <w:rFonts w:hint="eastAsia"/>
                <w:bCs/>
                <w:color w:val="auto"/>
                <w:sz w:val="24"/>
                <w:highlight w:val="none"/>
              </w:rPr>
              <w:t>除尘器</w:t>
            </w:r>
            <w:r>
              <w:rPr>
                <w:rFonts w:hint="eastAsia"/>
                <w:bCs/>
                <w:color w:val="auto"/>
                <w:sz w:val="24"/>
                <w:highlight w:val="none"/>
                <w:lang w:eastAsia="zh-CN"/>
              </w:rPr>
              <w:t>，</w:t>
            </w:r>
            <w:r>
              <w:rPr>
                <w:rFonts w:hint="eastAsia"/>
                <w:bCs/>
                <w:color w:val="auto"/>
                <w:sz w:val="24"/>
                <w:highlight w:val="none"/>
                <w:lang w:val="en-US" w:eastAsia="zh-CN"/>
              </w:rPr>
              <w:t>确保</w:t>
            </w:r>
            <w:r>
              <w:rPr>
                <w:rFonts w:hint="eastAsia"/>
                <w:bCs/>
                <w:color w:val="auto"/>
                <w:sz w:val="24"/>
                <w:highlight w:val="none"/>
              </w:rPr>
              <w:t>废气达标排放</w:t>
            </w:r>
            <w:r>
              <w:rPr>
                <w:rFonts w:hint="eastAsia"/>
                <w:bCs/>
                <w:color w:val="auto"/>
                <w:sz w:val="24"/>
                <w:highlight w:val="none"/>
                <w:lang w:eastAsia="zh-CN"/>
              </w:rPr>
              <w:t>，</w:t>
            </w:r>
            <w:r>
              <w:rPr>
                <w:rFonts w:hint="eastAsia" w:eastAsiaTheme="minorEastAsia"/>
                <w:color w:val="auto"/>
                <w:sz w:val="24"/>
                <w:highlight w:val="none"/>
              </w:rPr>
              <w:t>不会对大气环境质量现状造成不良影响，满足</w:t>
            </w:r>
            <w:r>
              <w:rPr>
                <w:rFonts w:hint="eastAsia" w:eastAsiaTheme="minorEastAsia"/>
                <w:color w:val="auto"/>
                <w:sz w:val="24"/>
                <w:highlight w:val="none"/>
                <w:lang w:val="en-US" w:eastAsia="zh-CN"/>
              </w:rPr>
              <w:t>伊春</w:t>
            </w:r>
            <w:r>
              <w:rPr>
                <w:rFonts w:hint="eastAsia" w:eastAsiaTheme="minorEastAsia"/>
                <w:color w:val="auto"/>
                <w:sz w:val="24"/>
                <w:highlight w:val="none"/>
              </w:rPr>
              <w:t>市大气环境质量底线要求。</w:t>
            </w:r>
          </w:p>
          <w:p>
            <w:pPr>
              <w:spacing w:line="360" w:lineRule="auto"/>
              <w:ind w:left="420" w:leftChars="200"/>
              <w:rPr>
                <w:rFonts w:ascii="宋体" w:hAnsi="宋体" w:cs="宋体"/>
                <w:color w:val="auto"/>
                <w:sz w:val="24"/>
              </w:rPr>
            </w:pPr>
            <w:r>
              <w:rPr>
                <w:rFonts w:ascii="宋体" w:hAnsi="宋体" w:cs="宋体"/>
                <w:color w:val="auto"/>
                <w:sz w:val="24"/>
              </w:rPr>
              <w:t>②</w:t>
            </w:r>
            <w:r>
              <w:rPr>
                <w:rFonts w:hint="eastAsia" w:ascii="宋体" w:hAnsi="宋体" w:cs="宋体"/>
                <w:color w:val="auto"/>
                <w:sz w:val="24"/>
              </w:rPr>
              <w:t>水环境</w:t>
            </w:r>
          </w:p>
          <w:p>
            <w:pPr>
              <w:widowControl/>
              <w:spacing w:line="360" w:lineRule="auto"/>
              <w:ind w:firstLine="480" w:firstLineChars="200"/>
              <w:rPr>
                <w:color w:val="auto"/>
                <w:sz w:val="24"/>
              </w:rPr>
            </w:pPr>
            <w:r>
              <w:rPr>
                <w:rFonts w:hint="eastAsia"/>
                <w:color w:val="auto"/>
                <w:sz w:val="24"/>
              </w:rPr>
              <w:t>根据</w:t>
            </w:r>
            <w:r>
              <w:rPr>
                <w:color w:val="auto"/>
                <w:sz w:val="24"/>
              </w:rPr>
              <w:t>202</w:t>
            </w:r>
            <w:r>
              <w:rPr>
                <w:rFonts w:hint="eastAsia"/>
                <w:color w:val="auto"/>
                <w:sz w:val="24"/>
                <w:lang w:val="en-US" w:eastAsia="zh-CN"/>
              </w:rPr>
              <w:t>4</w:t>
            </w:r>
            <w:r>
              <w:rPr>
                <w:color w:val="auto"/>
                <w:sz w:val="24"/>
              </w:rPr>
              <w:t>年伊春市环境质量年报</w:t>
            </w:r>
            <w:r>
              <w:rPr>
                <w:rFonts w:hint="eastAsia"/>
                <w:color w:val="auto"/>
                <w:sz w:val="24"/>
              </w:rPr>
              <w:t>，</w:t>
            </w:r>
            <w:r>
              <w:rPr>
                <w:color w:val="auto"/>
                <w:sz w:val="24"/>
              </w:rPr>
              <w:t>202</w:t>
            </w:r>
            <w:r>
              <w:rPr>
                <w:rFonts w:hint="eastAsia"/>
                <w:color w:val="auto"/>
                <w:sz w:val="24"/>
              </w:rPr>
              <w:t>3</w:t>
            </w:r>
            <w:r>
              <w:rPr>
                <w:color w:val="auto"/>
                <w:sz w:val="24"/>
              </w:rPr>
              <w:t>年，伊春市地表水共设32个监测断面，其中国控考核断面13个、省控断面19个。</w:t>
            </w:r>
          </w:p>
          <w:p>
            <w:pPr>
              <w:widowControl/>
              <w:spacing w:line="360" w:lineRule="auto"/>
              <w:ind w:firstLine="480" w:firstLineChars="200"/>
              <w:rPr>
                <w:b/>
                <w:color w:val="auto"/>
                <w:sz w:val="24"/>
                <w:lang w:val="zh-CN"/>
              </w:rPr>
            </w:pPr>
            <w:r>
              <w:rPr>
                <w:color w:val="auto"/>
                <w:sz w:val="24"/>
              </w:rPr>
              <w:t>202</w:t>
            </w:r>
            <w:r>
              <w:rPr>
                <w:rFonts w:hint="eastAsia"/>
                <w:color w:val="auto"/>
                <w:sz w:val="24"/>
                <w:lang w:val="en-US" w:eastAsia="zh-CN"/>
              </w:rPr>
              <w:t>4</w:t>
            </w:r>
            <w:r>
              <w:rPr>
                <w:color w:val="auto"/>
                <w:sz w:val="24"/>
              </w:rPr>
              <w:t>年，伊春市有国控监测数据的断面为13个，Ⅰ-Ⅲ类水质断面比例为</w:t>
            </w:r>
            <w:r>
              <w:rPr>
                <w:rFonts w:hint="eastAsia"/>
                <w:color w:val="auto"/>
                <w:sz w:val="24"/>
                <w:lang w:val="en-US" w:eastAsia="zh-CN"/>
              </w:rPr>
              <w:t>46.2</w:t>
            </w:r>
            <w:r>
              <w:rPr>
                <w:color w:val="auto"/>
                <w:sz w:val="24"/>
              </w:rPr>
              <w:t>%，劣V类水体比例为</w:t>
            </w:r>
            <w:r>
              <w:rPr>
                <w:rFonts w:hint="eastAsia"/>
                <w:color w:val="auto"/>
                <w:sz w:val="24"/>
                <w:lang w:val="en-US" w:eastAsia="zh-CN"/>
              </w:rPr>
              <w:t>7.7</w:t>
            </w:r>
            <w:r>
              <w:rPr>
                <w:color w:val="auto"/>
                <w:sz w:val="24"/>
              </w:rPr>
              <w:t>，达到年度考核目标要求。202</w:t>
            </w:r>
            <w:r>
              <w:rPr>
                <w:rFonts w:hint="eastAsia"/>
                <w:color w:val="auto"/>
                <w:sz w:val="24"/>
                <w:lang w:val="en-US" w:eastAsia="zh-CN"/>
              </w:rPr>
              <w:t>4</w:t>
            </w:r>
            <w:r>
              <w:rPr>
                <w:color w:val="auto"/>
                <w:sz w:val="24"/>
              </w:rPr>
              <w:t>年伊春市</w:t>
            </w:r>
            <w:r>
              <w:rPr>
                <w:rFonts w:hint="eastAsia"/>
                <w:color w:val="auto"/>
                <w:sz w:val="24"/>
              </w:rPr>
              <w:t>考核</w:t>
            </w:r>
            <w:r>
              <w:rPr>
                <w:color w:val="auto"/>
                <w:sz w:val="24"/>
              </w:rPr>
              <w:t>断面</w:t>
            </w:r>
            <w:r>
              <w:rPr>
                <w:rFonts w:hint="eastAsia"/>
                <w:color w:val="auto"/>
                <w:sz w:val="24"/>
              </w:rPr>
              <w:t>有监测数据的为11</w:t>
            </w:r>
            <w:r>
              <w:rPr>
                <w:color w:val="auto"/>
                <w:sz w:val="24"/>
              </w:rPr>
              <w:t>个</w:t>
            </w:r>
            <w:r>
              <w:rPr>
                <w:rFonts w:hint="eastAsia"/>
                <w:color w:val="auto"/>
                <w:sz w:val="24"/>
              </w:rPr>
              <w:t>，Ⅰ-Ⅲ类水质断面比例为54.5%，劣V类水体比例为0%。</w:t>
            </w:r>
            <w:r>
              <w:rPr>
                <w:rFonts w:hint="eastAsia"/>
                <w:color w:val="auto"/>
                <w:sz w:val="24"/>
                <w:lang w:val="en-US" w:eastAsia="zh-CN"/>
              </w:rPr>
              <w:t>汤旺</w:t>
            </w:r>
            <w:r>
              <w:rPr>
                <w:rFonts w:hint="eastAsia"/>
                <w:color w:val="auto"/>
                <w:sz w:val="24"/>
              </w:rPr>
              <w:t>河</w:t>
            </w:r>
            <w:r>
              <w:rPr>
                <w:rFonts w:hint="eastAsia"/>
                <w:color w:val="auto"/>
                <w:sz w:val="24"/>
                <w:lang w:val="en-US" w:eastAsia="zh-CN"/>
              </w:rPr>
              <w:t>红旗</w:t>
            </w:r>
            <w:r>
              <w:rPr>
                <w:rFonts w:hint="eastAsia"/>
                <w:color w:val="auto"/>
                <w:sz w:val="24"/>
              </w:rPr>
              <w:t>省控断面为</w:t>
            </w:r>
            <w:r>
              <w:rPr>
                <w:rFonts w:hint="eastAsia" w:ascii="宋体" w:hAnsi="宋体"/>
                <w:color w:val="auto"/>
                <w:sz w:val="24"/>
              </w:rPr>
              <w:t>Ⅵ</w:t>
            </w:r>
            <w:r>
              <w:rPr>
                <w:rFonts w:hint="eastAsia"/>
                <w:color w:val="auto"/>
                <w:sz w:val="24"/>
              </w:rPr>
              <w:t>类水体，与上年相比无明显变化。</w:t>
            </w:r>
            <w:r>
              <w:rPr>
                <w:rFonts w:hint="eastAsia" w:hAnsiTheme="minorEastAsia" w:eastAsiaTheme="minorEastAsia"/>
                <w:color w:val="auto"/>
                <w:sz w:val="24"/>
                <w:highlight w:val="none"/>
              </w:rPr>
              <w:t>运营期降尘用水全部蒸发或入渗，</w:t>
            </w:r>
            <w:r>
              <w:rPr>
                <w:rFonts w:hint="eastAsia" w:hAnsiTheme="minorEastAsia" w:eastAsiaTheme="minorEastAsia"/>
                <w:color w:val="auto"/>
                <w:sz w:val="24"/>
                <w:highlight w:val="none"/>
                <w:lang w:val="en-US" w:eastAsia="zh-CN"/>
              </w:rPr>
              <w:t>设备及车辆冲洗废水经收集沉淀后回用，</w:t>
            </w:r>
            <w:r>
              <w:rPr>
                <w:rFonts w:hint="eastAsia" w:hAnsiTheme="minorEastAsia" w:eastAsiaTheme="minorEastAsia"/>
                <w:color w:val="auto"/>
                <w:sz w:val="24"/>
                <w:highlight w:val="none"/>
              </w:rPr>
              <w:t>无</w:t>
            </w:r>
            <w:r>
              <w:rPr>
                <w:rFonts w:hint="eastAsia" w:hAnsiTheme="minorEastAsia" w:eastAsiaTheme="minorEastAsia"/>
                <w:color w:val="auto"/>
                <w:sz w:val="24"/>
                <w:highlight w:val="none"/>
                <w:lang w:val="en-US" w:eastAsia="zh-CN"/>
              </w:rPr>
              <w:t>生产</w:t>
            </w:r>
            <w:r>
              <w:rPr>
                <w:rFonts w:hint="eastAsia" w:hAnsiTheme="minorEastAsia" w:eastAsiaTheme="minorEastAsia"/>
                <w:color w:val="auto"/>
                <w:sz w:val="24"/>
                <w:highlight w:val="none"/>
              </w:rPr>
              <w:t>废水</w:t>
            </w:r>
            <w:r>
              <w:rPr>
                <w:rFonts w:hint="eastAsia" w:hAnsiTheme="minorEastAsia" w:eastAsiaTheme="minorEastAsia"/>
                <w:color w:val="auto"/>
                <w:sz w:val="24"/>
                <w:highlight w:val="none"/>
                <w:lang w:val="en-US" w:eastAsia="zh-CN"/>
              </w:rPr>
              <w:t>外排</w:t>
            </w:r>
            <w:r>
              <w:rPr>
                <w:rFonts w:hint="eastAsia" w:hAnsiTheme="minorEastAsia" w:eastAsiaTheme="minorEastAsia"/>
                <w:color w:val="auto"/>
                <w:sz w:val="24"/>
                <w:highlight w:val="none"/>
              </w:rPr>
              <w:t>；生活污水排入防渗旱厕，定期清掏、外运堆肥，不外排，</w:t>
            </w:r>
            <w:r>
              <w:rPr>
                <w:rFonts w:hint="eastAsia" w:hAnsiTheme="minorEastAsia" w:eastAsiaTheme="minorEastAsia"/>
                <w:color w:val="auto"/>
                <w:sz w:val="24"/>
              </w:rPr>
              <w:t>不会对区域水环境造成影响，因此符合</w:t>
            </w:r>
            <w:r>
              <w:rPr>
                <w:rFonts w:hint="eastAsia" w:hAnsiTheme="minorEastAsia" w:eastAsiaTheme="minorEastAsia"/>
                <w:color w:val="auto"/>
                <w:sz w:val="24"/>
                <w:lang w:val="en-US" w:eastAsia="zh-CN"/>
              </w:rPr>
              <w:t>伊春</w:t>
            </w:r>
            <w:r>
              <w:rPr>
                <w:rFonts w:hint="eastAsia" w:eastAsiaTheme="minorEastAsia"/>
                <w:color w:val="auto"/>
                <w:sz w:val="24"/>
              </w:rPr>
              <w:t>市</w:t>
            </w:r>
            <w:r>
              <w:rPr>
                <w:rFonts w:hint="eastAsia"/>
                <w:color w:val="auto"/>
                <w:sz w:val="24"/>
              </w:rPr>
              <w:t>水环境质量底线要求。</w:t>
            </w:r>
          </w:p>
          <w:p>
            <w:pPr>
              <w:spacing w:line="360" w:lineRule="auto"/>
              <w:ind w:firstLine="480" w:firstLineChars="200"/>
              <w:rPr>
                <w:rFonts w:hint="eastAsia" w:ascii="宋体" w:hAnsi="宋体" w:eastAsia="宋体" w:cs="宋体"/>
                <w:color w:val="auto"/>
                <w:sz w:val="24"/>
                <w:lang w:val="en-US" w:eastAsia="zh-CN"/>
              </w:rPr>
            </w:pPr>
            <w:r>
              <w:rPr>
                <w:rFonts w:ascii="宋体" w:hAnsi="宋体" w:cs="宋体"/>
                <w:color w:val="auto"/>
                <w:sz w:val="24"/>
              </w:rPr>
              <w:t>③</w:t>
            </w:r>
            <w:r>
              <w:rPr>
                <w:rFonts w:hint="eastAsia" w:ascii="宋体" w:hAnsi="宋体" w:cs="宋体"/>
                <w:color w:val="auto"/>
                <w:sz w:val="24"/>
                <w:lang w:val="en-US" w:eastAsia="zh-CN"/>
              </w:rPr>
              <w:t>声环境</w:t>
            </w:r>
          </w:p>
          <w:p>
            <w:pPr>
              <w:spacing w:line="360" w:lineRule="auto"/>
              <w:ind w:firstLine="480" w:firstLineChars="200"/>
              <w:rPr>
                <w:rFonts w:hint="default" w:ascii="Times New Roman" w:hAnsi="Times New Roman" w:cs="Times New Roman"/>
                <w:color w:val="auto"/>
                <w:sz w:val="24"/>
              </w:rPr>
            </w:pPr>
            <w:r>
              <w:rPr>
                <w:rFonts w:hint="eastAsia"/>
                <w:snapToGrid w:val="0"/>
                <w:color w:val="auto"/>
                <w:sz w:val="24"/>
                <w:lang w:val="zh-CN"/>
              </w:rPr>
              <w:t>根据《202</w:t>
            </w:r>
            <w:r>
              <w:rPr>
                <w:rFonts w:hint="eastAsia"/>
                <w:snapToGrid w:val="0"/>
                <w:color w:val="auto"/>
                <w:sz w:val="24"/>
                <w:lang w:val="en-US" w:eastAsia="zh-CN"/>
              </w:rPr>
              <w:t>4</w:t>
            </w:r>
            <w:r>
              <w:rPr>
                <w:rFonts w:hint="eastAsia"/>
                <w:snapToGrid w:val="0"/>
                <w:color w:val="auto"/>
                <w:sz w:val="24"/>
                <w:lang w:val="zh-CN"/>
              </w:rPr>
              <w:t>年伊春市生态环境质量</w:t>
            </w:r>
            <w:r>
              <w:rPr>
                <w:rFonts w:hint="eastAsia"/>
                <w:snapToGrid w:val="0"/>
                <w:color w:val="auto"/>
                <w:sz w:val="24"/>
                <w:lang w:val="en-US" w:eastAsia="zh-CN"/>
              </w:rPr>
              <w:t>年</w:t>
            </w:r>
            <w:r>
              <w:rPr>
                <w:rFonts w:hint="eastAsia"/>
                <w:snapToGrid w:val="0"/>
                <w:color w:val="auto"/>
                <w:sz w:val="24"/>
                <w:lang w:val="zh-CN"/>
              </w:rPr>
              <w:t>报》，202</w:t>
            </w:r>
            <w:r>
              <w:rPr>
                <w:rFonts w:hint="eastAsia"/>
                <w:snapToGrid w:val="0"/>
                <w:color w:val="auto"/>
                <w:sz w:val="24"/>
                <w:lang w:val="en-US" w:eastAsia="zh-CN"/>
              </w:rPr>
              <w:t>4</w:t>
            </w:r>
            <w:r>
              <w:rPr>
                <w:rFonts w:hint="eastAsia"/>
                <w:snapToGrid w:val="0"/>
                <w:color w:val="auto"/>
                <w:sz w:val="24"/>
                <w:lang w:val="zh-CN"/>
              </w:rPr>
              <w:t>年度，伊春市昼间区域环境噪声平均等效声级为50.1分贝，声环境质量为好，同比无变化</w:t>
            </w:r>
            <w:r>
              <w:rPr>
                <w:rFonts w:hint="eastAsia"/>
                <w:snapToGrid w:val="0"/>
                <w:color w:val="auto"/>
                <w:sz w:val="24"/>
                <w:lang w:val="zh-CN" w:eastAsia="zh-CN"/>
              </w:rPr>
              <w:t>。</w:t>
            </w:r>
            <w:r>
              <w:rPr>
                <w:rFonts w:hint="default" w:ascii="Times New Roman" w:hAnsi="Times New Roman" w:cs="Times New Roman"/>
                <w:color w:val="auto"/>
                <w:sz w:val="24"/>
              </w:rPr>
              <w:t>产噪设备采用低噪声设备、基础减振、降噪措施。</w:t>
            </w:r>
            <w:r>
              <w:rPr>
                <w:rFonts w:hint="eastAsia"/>
                <w:snapToGrid w:val="0"/>
                <w:color w:val="auto"/>
                <w:sz w:val="24"/>
                <w:lang w:val="zh-CN"/>
              </w:rPr>
              <w:t>厂界噪声符合《工业企业厂界环境噪声排放标准》（GB12348-2008）2类标准。</w:t>
            </w:r>
          </w:p>
          <w:p>
            <w:pPr>
              <w:spacing w:line="360" w:lineRule="auto"/>
              <w:ind w:firstLine="480" w:firstLineChars="200"/>
              <w:rPr>
                <w:rFonts w:ascii="宋体" w:hAnsi="宋体" w:cs="宋体"/>
                <w:color w:val="auto"/>
                <w:sz w:val="24"/>
              </w:rPr>
            </w:pPr>
            <w:r>
              <w:rPr>
                <w:rFonts w:hint="eastAsia" w:ascii="宋体" w:hAnsi="宋体" w:eastAsia="宋体" w:cs="宋体"/>
                <w:color w:val="auto"/>
                <w:sz w:val="24"/>
              </w:rPr>
              <w:t>④</w:t>
            </w:r>
            <w:r>
              <w:rPr>
                <w:rFonts w:hint="eastAsia" w:ascii="宋体" w:hAnsi="宋体" w:cs="宋体"/>
                <w:color w:val="auto"/>
                <w:sz w:val="24"/>
              </w:rPr>
              <w:t>土壤</w:t>
            </w:r>
          </w:p>
          <w:p>
            <w:pPr>
              <w:spacing w:line="360" w:lineRule="auto"/>
              <w:ind w:firstLine="480" w:firstLineChars="200"/>
              <w:rPr>
                <w:color w:val="auto"/>
              </w:rPr>
            </w:pPr>
            <w:r>
              <w:rPr>
                <w:rFonts w:hint="eastAsia"/>
                <w:color w:val="auto"/>
                <w:sz w:val="24"/>
              </w:rPr>
              <w:t>本项目位于伊春市</w:t>
            </w:r>
            <w:r>
              <w:rPr>
                <w:rFonts w:hint="eastAsia"/>
                <w:color w:val="auto"/>
                <w:sz w:val="24"/>
                <w:lang w:val="en-US" w:eastAsia="zh-CN"/>
              </w:rPr>
              <w:t>伊美</w:t>
            </w:r>
            <w:r>
              <w:rPr>
                <w:rFonts w:hint="eastAsia"/>
                <w:color w:val="auto"/>
                <w:sz w:val="24"/>
              </w:rPr>
              <w:t>区</w:t>
            </w:r>
            <w:r>
              <w:rPr>
                <w:rFonts w:hint="eastAsia"/>
                <w:color w:val="auto"/>
                <w:sz w:val="24"/>
                <w:lang w:val="en-US" w:eastAsia="zh-CN"/>
              </w:rPr>
              <w:t>伊敏林场</w:t>
            </w:r>
            <w:r>
              <w:rPr>
                <w:rFonts w:hint="eastAsia"/>
                <w:color w:val="auto"/>
                <w:sz w:val="24"/>
              </w:rPr>
              <w:t>，</w:t>
            </w:r>
            <w:r>
              <w:rPr>
                <w:color w:val="auto"/>
                <w:sz w:val="24"/>
              </w:rPr>
              <w:t>项目选址不属于污染地块</w:t>
            </w:r>
            <w:r>
              <w:rPr>
                <w:rFonts w:hint="eastAsia"/>
                <w:color w:val="auto"/>
                <w:sz w:val="24"/>
              </w:rPr>
              <w:t>，符合</w:t>
            </w:r>
            <w:r>
              <w:rPr>
                <w:rFonts w:hint="eastAsia" w:eastAsiaTheme="minorEastAsia"/>
                <w:color w:val="auto"/>
                <w:sz w:val="24"/>
                <w:lang w:val="en-US" w:eastAsia="zh-CN"/>
              </w:rPr>
              <w:t>伊春</w:t>
            </w:r>
            <w:r>
              <w:rPr>
                <w:rFonts w:hint="eastAsia" w:eastAsiaTheme="minorEastAsia"/>
                <w:color w:val="auto"/>
                <w:sz w:val="24"/>
              </w:rPr>
              <w:t>市</w:t>
            </w:r>
            <w:r>
              <w:rPr>
                <w:rFonts w:hint="eastAsia"/>
                <w:color w:val="auto"/>
                <w:sz w:val="24"/>
              </w:rPr>
              <w:t>土壤环境管控要求。</w:t>
            </w:r>
          </w:p>
          <w:p>
            <w:pPr>
              <w:pStyle w:val="33"/>
              <w:spacing w:after="0" w:line="360" w:lineRule="auto"/>
              <w:ind w:left="0" w:leftChars="0" w:firstLine="482"/>
              <w:rPr>
                <w:b/>
                <w:bCs/>
                <w:color w:val="auto"/>
                <w:sz w:val="24"/>
              </w:rPr>
            </w:pPr>
            <w:r>
              <w:rPr>
                <w:b/>
                <w:bCs/>
                <w:color w:val="auto"/>
                <w:sz w:val="24"/>
              </w:rPr>
              <w:t>（3）资源利用上线符合性分析</w:t>
            </w:r>
          </w:p>
          <w:p>
            <w:pPr>
              <w:pStyle w:val="86"/>
              <w:rPr>
                <w:rFonts w:hAnsiTheme="minorEastAsia" w:eastAsiaTheme="minorEastAsia"/>
                <w:color w:val="auto"/>
                <w:kern w:val="0"/>
              </w:rPr>
            </w:pPr>
            <w:r>
              <w:rPr>
                <w:rFonts w:hint="eastAsia"/>
                <w:color w:val="auto"/>
              </w:rPr>
              <w:t>本项目用水</w:t>
            </w:r>
            <w:r>
              <w:rPr>
                <w:rFonts w:hint="eastAsia"/>
                <w:color w:val="auto"/>
                <w:lang w:val="en-US" w:eastAsia="zh-CN"/>
              </w:rPr>
              <w:t>水源为地下水</w:t>
            </w:r>
            <w:r>
              <w:rPr>
                <w:rFonts w:hint="eastAsia"/>
                <w:color w:val="auto"/>
              </w:rPr>
              <w:t>，</w:t>
            </w:r>
            <w:r>
              <w:rPr>
                <w:rFonts w:hint="eastAsia"/>
                <w:color w:val="auto"/>
                <w:lang w:val="en-US" w:eastAsia="zh-CN"/>
              </w:rPr>
              <w:t>且生产</w:t>
            </w:r>
            <w:r>
              <w:rPr>
                <w:rFonts w:hint="eastAsia"/>
                <w:color w:val="auto"/>
              </w:rPr>
              <w:t>用水量较少；生产用热由燃油</w:t>
            </w:r>
            <w:r>
              <w:rPr>
                <w:color w:val="auto"/>
              </w:rPr>
              <w:t>导热油炉</w:t>
            </w:r>
            <w:r>
              <w:rPr>
                <w:rFonts w:hint="eastAsia"/>
                <w:color w:val="auto"/>
              </w:rPr>
              <w:t>提供；本项目占地为工业用地。综上，本项目符合</w:t>
            </w:r>
            <w:r>
              <w:rPr>
                <w:rFonts w:hint="eastAsia"/>
                <w:color w:val="auto"/>
                <w:lang w:val="en-US" w:eastAsia="zh-CN"/>
              </w:rPr>
              <w:t>伊春</w:t>
            </w:r>
            <w:r>
              <w:rPr>
                <w:rFonts w:hint="eastAsia" w:eastAsiaTheme="minorEastAsia"/>
                <w:color w:val="auto"/>
              </w:rPr>
              <w:t>市</w:t>
            </w:r>
            <w:r>
              <w:rPr>
                <w:rFonts w:hint="eastAsia"/>
                <w:color w:val="auto"/>
              </w:rPr>
              <w:t>能源、水资源、土地资源等资源利用上线要求。</w:t>
            </w:r>
          </w:p>
          <w:p>
            <w:pPr>
              <w:pStyle w:val="33"/>
              <w:spacing w:after="0" w:line="360" w:lineRule="auto"/>
              <w:ind w:left="0" w:leftChars="0" w:firstLine="482"/>
              <w:rPr>
                <w:color w:val="auto"/>
              </w:rPr>
            </w:pPr>
            <w:r>
              <w:rPr>
                <w:b/>
                <w:bCs/>
                <w:color w:val="auto"/>
                <w:sz w:val="24"/>
              </w:rPr>
              <w:t>（4）生态环境准入清单</w:t>
            </w:r>
          </w:p>
          <w:p>
            <w:pPr>
              <w:wordWrap w:val="0"/>
              <w:topLinePunct/>
              <w:spacing w:line="360" w:lineRule="auto"/>
              <w:ind w:firstLine="480" w:firstLineChars="200"/>
              <w:jc w:val="left"/>
              <w:rPr>
                <w:color w:val="auto"/>
                <w:kern w:val="0"/>
                <w:sz w:val="24"/>
              </w:rPr>
            </w:pPr>
            <w:r>
              <w:rPr>
                <w:color w:val="auto"/>
                <w:kern w:val="0"/>
                <w:sz w:val="24"/>
              </w:rPr>
              <w:t>根据</w:t>
            </w:r>
            <w:r>
              <w:rPr>
                <w:color w:val="auto"/>
                <w:sz w:val="24"/>
              </w:rPr>
              <w:t>伊春市生态环境准入清单（2023年版）</w:t>
            </w:r>
            <w:r>
              <w:rPr>
                <w:color w:val="auto"/>
                <w:kern w:val="0"/>
                <w:sz w:val="24"/>
              </w:rPr>
              <w:t>，本项目所在地属于</w:t>
            </w:r>
            <w:r>
              <w:rPr>
                <w:rFonts w:hint="eastAsia"/>
                <w:color w:val="auto"/>
                <w:kern w:val="0"/>
                <w:sz w:val="24"/>
              </w:rPr>
              <w:t>乌翠</w:t>
            </w:r>
            <w:r>
              <w:rPr>
                <w:color w:val="auto"/>
                <w:kern w:val="0"/>
                <w:sz w:val="24"/>
              </w:rPr>
              <w:t>区城镇空间重点管控单元，环境管控单元编码：</w:t>
            </w:r>
            <w:r>
              <w:rPr>
                <w:rFonts w:hint="eastAsia"/>
                <w:color w:val="auto"/>
                <w:sz w:val="24"/>
                <w:szCs w:val="24"/>
                <w:lang w:val="en-US" w:eastAsia="zh-CN"/>
              </w:rPr>
              <w:t>ZH23071720001</w:t>
            </w:r>
            <w:r>
              <w:rPr>
                <w:rFonts w:hint="eastAsia"/>
                <w:color w:val="auto"/>
                <w:szCs w:val="21"/>
                <w:lang w:val="en-US" w:eastAsia="zh-CN"/>
              </w:rPr>
              <w:t>，</w:t>
            </w:r>
            <w:r>
              <w:rPr>
                <w:color w:val="auto"/>
                <w:kern w:val="0"/>
                <w:sz w:val="24"/>
              </w:rPr>
              <w:t>管控要求见表1-1。</w:t>
            </w:r>
          </w:p>
          <w:p>
            <w:pPr>
              <w:jc w:val="center"/>
              <w:rPr>
                <w:color w:val="auto"/>
                <w:w w:val="99"/>
                <w:sz w:val="24"/>
              </w:rPr>
            </w:pPr>
            <w:r>
              <w:rPr>
                <w:b/>
                <w:color w:val="auto"/>
                <w:sz w:val="24"/>
              </w:rPr>
              <w:t>表1-1    建设项目所在区域环境管控要求</w:t>
            </w:r>
          </w:p>
          <w:tbl>
            <w:tblPr>
              <w:tblStyle w:val="34"/>
              <w:tblW w:w="785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808"/>
              <w:gridCol w:w="736"/>
              <w:gridCol w:w="426"/>
              <w:gridCol w:w="3375"/>
              <w:gridCol w:w="849"/>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443" w:hRule="atLeast"/>
              </w:trPr>
              <w:tc>
                <w:tcPr>
                  <w:tcW w:w="1051" w:type="pct"/>
                  <w:vAlign w:val="center"/>
                </w:tcPr>
                <w:p>
                  <w:pPr>
                    <w:snapToGrid w:val="0"/>
                    <w:spacing w:line="350" w:lineRule="exact"/>
                    <w:jc w:val="center"/>
                    <w:rPr>
                      <w:color w:val="auto"/>
                      <w:szCs w:val="21"/>
                    </w:rPr>
                  </w:pPr>
                  <w:r>
                    <w:rPr>
                      <w:color w:val="auto"/>
                      <w:szCs w:val="21"/>
                    </w:rPr>
                    <w:t>环境管控单元编码</w:t>
                  </w:r>
                </w:p>
              </w:tc>
              <w:tc>
                <w:tcPr>
                  <w:tcW w:w="514" w:type="pct"/>
                  <w:vAlign w:val="center"/>
                </w:tcPr>
                <w:p>
                  <w:pPr>
                    <w:snapToGrid w:val="0"/>
                    <w:spacing w:line="350" w:lineRule="exact"/>
                    <w:jc w:val="center"/>
                    <w:rPr>
                      <w:color w:val="auto"/>
                      <w:szCs w:val="21"/>
                    </w:rPr>
                  </w:pPr>
                  <w:r>
                    <w:rPr>
                      <w:color w:val="auto"/>
                      <w:szCs w:val="21"/>
                    </w:rPr>
                    <w:t>环境管控单元名称</w:t>
                  </w:r>
                </w:p>
              </w:tc>
              <w:tc>
                <w:tcPr>
                  <w:tcW w:w="468" w:type="pct"/>
                  <w:vAlign w:val="center"/>
                </w:tcPr>
                <w:p>
                  <w:pPr>
                    <w:snapToGrid w:val="0"/>
                    <w:spacing w:line="350" w:lineRule="exact"/>
                    <w:jc w:val="center"/>
                    <w:rPr>
                      <w:color w:val="auto"/>
                      <w:szCs w:val="21"/>
                    </w:rPr>
                  </w:pPr>
                  <w:r>
                    <w:rPr>
                      <w:color w:val="auto"/>
                      <w:szCs w:val="21"/>
                    </w:rPr>
                    <w:t>环境管控单元类别</w:t>
                  </w:r>
                </w:p>
              </w:tc>
              <w:tc>
                <w:tcPr>
                  <w:tcW w:w="2418" w:type="pct"/>
                  <w:gridSpan w:val="2"/>
                  <w:vAlign w:val="center"/>
                </w:tcPr>
                <w:p>
                  <w:pPr>
                    <w:snapToGrid w:val="0"/>
                    <w:spacing w:line="350" w:lineRule="exact"/>
                    <w:jc w:val="center"/>
                    <w:rPr>
                      <w:color w:val="auto"/>
                      <w:szCs w:val="21"/>
                    </w:rPr>
                  </w:pPr>
                  <w:r>
                    <w:rPr>
                      <w:color w:val="auto"/>
                      <w:szCs w:val="21"/>
                    </w:rPr>
                    <w:t>管控要求</w:t>
                  </w:r>
                </w:p>
              </w:tc>
              <w:tc>
                <w:tcPr>
                  <w:tcW w:w="540" w:type="pct"/>
                  <w:vAlign w:val="center"/>
                </w:tcPr>
                <w:p>
                  <w:pPr>
                    <w:snapToGrid w:val="0"/>
                    <w:spacing w:line="350" w:lineRule="exact"/>
                    <w:jc w:val="center"/>
                    <w:rPr>
                      <w:color w:val="auto"/>
                      <w:szCs w:val="21"/>
                    </w:rPr>
                  </w:pPr>
                  <w:r>
                    <w:rPr>
                      <w:color w:val="auto"/>
                      <w:szCs w:val="21"/>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51" w:type="pct"/>
                  <w:vMerge w:val="restart"/>
                  <w:vAlign w:val="center"/>
                </w:tcPr>
                <w:p>
                  <w:pPr>
                    <w:snapToGrid w:val="0"/>
                    <w:spacing w:line="350" w:lineRule="exact"/>
                    <w:jc w:val="center"/>
                    <w:rPr>
                      <w:color w:val="auto"/>
                      <w:szCs w:val="21"/>
                    </w:rPr>
                  </w:pPr>
                  <w:r>
                    <w:rPr>
                      <w:rFonts w:hint="eastAsia"/>
                      <w:color w:val="auto"/>
                      <w:szCs w:val="21"/>
                      <w:lang w:val="en-US" w:eastAsia="zh-CN"/>
                    </w:rPr>
                    <w:t>ZH23071720001</w:t>
                  </w:r>
                </w:p>
              </w:tc>
              <w:tc>
                <w:tcPr>
                  <w:tcW w:w="514" w:type="pct"/>
                  <w:vMerge w:val="restart"/>
                  <w:vAlign w:val="center"/>
                </w:tcPr>
                <w:p>
                  <w:pPr>
                    <w:snapToGrid w:val="0"/>
                    <w:spacing w:line="350" w:lineRule="exact"/>
                    <w:jc w:val="center"/>
                    <w:rPr>
                      <w:color w:val="auto"/>
                      <w:szCs w:val="21"/>
                    </w:rPr>
                  </w:pPr>
                  <w:r>
                    <w:rPr>
                      <w:rFonts w:hint="eastAsia"/>
                      <w:color w:val="auto"/>
                      <w:szCs w:val="21"/>
                      <w:lang w:val="en-US" w:eastAsia="zh-CN"/>
                    </w:rPr>
                    <w:t>伊美</w:t>
                  </w:r>
                  <w:r>
                    <w:rPr>
                      <w:color w:val="auto"/>
                      <w:szCs w:val="21"/>
                    </w:rPr>
                    <w:t>区城镇空间</w:t>
                  </w:r>
                </w:p>
              </w:tc>
              <w:tc>
                <w:tcPr>
                  <w:tcW w:w="468" w:type="pct"/>
                  <w:vMerge w:val="restart"/>
                  <w:vAlign w:val="center"/>
                </w:tcPr>
                <w:p>
                  <w:pPr>
                    <w:snapToGrid w:val="0"/>
                    <w:spacing w:line="350" w:lineRule="exact"/>
                    <w:jc w:val="center"/>
                    <w:rPr>
                      <w:color w:val="auto"/>
                      <w:szCs w:val="21"/>
                    </w:rPr>
                  </w:pPr>
                  <w:r>
                    <w:rPr>
                      <w:color w:val="auto"/>
                      <w:szCs w:val="21"/>
                    </w:rPr>
                    <w:t>重点管控单元</w:t>
                  </w:r>
                </w:p>
              </w:tc>
              <w:tc>
                <w:tcPr>
                  <w:tcW w:w="271" w:type="pct"/>
                  <w:vAlign w:val="center"/>
                </w:tcPr>
                <w:p>
                  <w:pPr>
                    <w:snapToGrid w:val="0"/>
                    <w:spacing w:line="350" w:lineRule="exact"/>
                    <w:jc w:val="center"/>
                    <w:rPr>
                      <w:color w:val="auto"/>
                      <w:szCs w:val="21"/>
                    </w:rPr>
                  </w:pPr>
                  <w:r>
                    <w:rPr>
                      <w:color w:val="auto"/>
                      <w:szCs w:val="21"/>
                    </w:rPr>
                    <w:t>空间布局约束</w:t>
                  </w:r>
                </w:p>
              </w:tc>
              <w:tc>
                <w:tcPr>
                  <w:tcW w:w="2147" w:type="pct"/>
                  <w:vAlign w:val="center"/>
                </w:tcPr>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1.严禁在人口密集区新建危险化学品生产项目，城镇人口密集区危险化学品生产企业应搬迁改造。</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2.禁止在城镇居民区、文化教育科学研究区等人口集中区域建设畜禽养殖场、养殖小区。</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3.严控“两高”行业产能。严格执行钢铁、水泥、平板玻璃等行业产能置换实施办法。</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4..利用水泥窑协同处置城市生活垃圾、危险废弃物、电石渣等固废伴生水泥项目，必须依托现有新型干法水泥熟料生产线进行不扩产能改造。</w:t>
                  </w:r>
                </w:p>
              </w:tc>
              <w:tc>
                <w:tcPr>
                  <w:tcW w:w="548" w:type="pct"/>
                  <w:gridSpan w:val="2"/>
                  <w:vAlign w:val="center"/>
                </w:tcPr>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本项目为沥青混凝土制造项目，不属于上述约束项目。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051" w:type="pct"/>
                  <w:vMerge w:val="continue"/>
                  <w:vAlign w:val="center"/>
                </w:tcPr>
                <w:p>
                  <w:pPr>
                    <w:snapToGrid w:val="0"/>
                    <w:spacing w:line="350" w:lineRule="exact"/>
                    <w:jc w:val="center"/>
                    <w:rPr>
                      <w:color w:val="auto"/>
                      <w:szCs w:val="21"/>
                    </w:rPr>
                  </w:pPr>
                </w:p>
              </w:tc>
              <w:tc>
                <w:tcPr>
                  <w:tcW w:w="514" w:type="pct"/>
                  <w:vMerge w:val="continue"/>
                  <w:vAlign w:val="center"/>
                </w:tcPr>
                <w:p>
                  <w:pPr>
                    <w:snapToGrid w:val="0"/>
                    <w:spacing w:line="350" w:lineRule="exact"/>
                    <w:jc w:val="center"/>
                    <w:rPr>
                      <w:color w:val="auto"/>
                      <w:szCs w:val="21"/>
                    </w:rPr>
                  </w:pPr>
                </w:p>
              </w:tc>
              <w:tc>
                <w:tcPr>
                  <w:tcW w:w="468" w:type="pct"/>
                  <w:vMerge w:val="continue"/>
                  <w:vAlign w:val="center"/>
                </w:tcPr>
                <w:p>
                  <w:pPr>
                    <w:snapToGrid w:val="0"/>
                    <w:spacing w:line="350" w:lineRule="exact"/>
                    <w:jc w:val="center"/>
                    <w:rPr>
                      <w:color w:val="auto"/>
                      <w:szCs w:val="21"/>
                    </w:rPr>
                  </w:pPr>
                </w:p>
              </w:tc>
              <w:tc>
                <w:tcPr>
                  <w:tcW w:w="271" w:type="pct"/>
                  <w:vAlign w:val="center"/>
                </w:tcPr>
                <w:p>
                  <w:pPr>
                    <w:snapToGrid w:val="0"/>
                    <w:spacing w:line="350" w:lineRule="exact"/>
                    <w:jc w:val="center"/>
                    <w:rPr>
                      <w:color w:val="auto"/>
                      <w:szCs w:val="21"/>
                    </w:rPr>
                  </w:pPr>
                  <w:r>
                    <w:rPr>
                      <w:color w:val="auto"/>
                      <w:szCs w:val="21"/>
                    </w:rPr>
                    <w:t>污染物排放管控</w:t>
                  </w:r>
                </w:p>
              </w:tc>
              <w:tc>
                <w:tcPr>
                  <w:tcW w:w="2147" w:type="pct"/>
                  <w:vAlign w:val="center"/>
                </w:tcPr>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1.加快65t／h以上燃煤锅炉（含电力）超低排放改造。</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2.对以煤、石焦油、渣油、重油等为燃料的锅炉和工业炉窑，加快使用清洁低碳能源以及工厂余热、电力热力等进行替代。</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3.到2025年，在用65蒸吨/小时以上的燃煤锅炉（含电力）实现超低排放，钢铁企业基本实现超低排放。</w:t>
                  </w:r>
                </w:p>
              </w:tc>
              <w:tc>
                <w:tcPr>
                  <w:tcW w:w="548" w:type="pct"/>
                  <w:gridSpan w:val="2"/>
                  <w:vAlign w:val="center"/>
                </w:tcPr>
                <w:p>
                  <w:pPr>
                    <w:snapToGrid w:val="0"/>
                    <w:spacing w:line="350" w:lineRule="exact"/>
                    <w:jc w:val="center"/>
                    <w:rPr>
                      <w:color w:val="auto"/>
                      <w:szCs w:val="21"/>
                    </w:rPr>
                  </w:pPr>
                  <w:r>
                    <w:rPr>
                      <w:color w:val="auto"/>
                      <w:szCs w:val="21"/>
                    </w:rPr>
                    <w:t>本项目为</w:t>
                  </w:r>
                  <w:r>
                    <w:rPr>
                      <w:rFonts w:hint="eastAsia"/>
                      <w:color w:val="auto"/>
                      <w:szCs w:val="21"/>
                    </w:rPr>
                    <w:t>沥青混凝土</w:t>
                  </w:r>
                  <w:r>
                    <w:rPr>
                      <w:color w:val="auto"/>
                      <w:szCs w:val="21"/>
                    </w:rPr>
                    <w:t>制造</w:t>
                  </w:r>
                  <w:r>
                    <w:rPr>
                      <w:rFonts w:hint="eastAsia"/>
                      <w:color w:val="auto"/>
                      <w:szCs w:val="21"/>
                    </w:rPr>
                    <w:t>项目</w:t>
                  </w:r>
                  <w:r>
                    <w:rPr>
                      <w:color w:val="auto"/>
                      <w:szCs w:val="21"/>
                    </w:rPr>
                    <w:t>，</w:t>
                  </w:r>
                  <w:r>
                    <w:rPr>
                      <w:rFonts w:hint="eastAsia"/>
                      <w:color w:val="auto"/>
                      <w:szCs w:val="21"/>
                    </w:rPr>
                    <w:t>生产用</w:t>
                  </w:r>
                  <w:r>
                    <w:rPr>
                      <w:rFonts w:hint="eastAsia"/>
                      <w:color w:val="auto"/>
                      <w:szCs w:val="21"/>
                      <w:lang w:val="en-US" w:eastAsia="zh-CN"/>
                    </w:rPr>
                    <w:t>柴油</w:t>
                  </w:r>
                  <w:r>
                    <w:rPr>
                      <w:color w:val="auto"/>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51" w:type="pct"/>
                  <w:vMerge w:val="continue"/>
                  <w:vAlign w:val="center"/>
                </w:tcPr>
                <w:p>
                  <w:pPr>
                    <w:snapToGrid w:val="0"/>
                    <w:spacing w:line="350" w:lineRule="exact"/>
                    <w:jc w:val="center"/>
                    <w:rPr>
                      <w:color w:val="auto"/>
                      <w:szCs w:val="21"/>
                    </w:rPr>
                  </w:pPr>
                </w:p>
              </w:tc>
              <w:tc>
                <w:tcPr>
                  <w:tcW w:w="514" w:type="pct"/>
                  <w:vMerge w:val="continue"/>
                  <w:vAlign w:val="center"/>
                </w:tcPr>
                <w:p>
                  <w:pPr>
                    <w:snapToGrid w:val="0"/>
                    <w:spacing w:line="350" w:lineRule="exact"/>
                    <w:jc w:val="center"/>
                    <w:rPr>
                      <w:color w:val="auto"/>
                      <w:szCs w:val="21"/>
                    </w:rPr>
                  </w:pPr>
                </w:p>
              </w:tc>
              <w:tc>
                <w:tcPr>
                  <w:tcW w:w="468" w:type="pct"/>
                  <w:vMerge w:val="continue"/>
                  <w:vAlign w:val="center"/>
                </w:tcPr>
                <w:p>
                  <w:pPr>
                    <w:snapToGrid w:val="0"/>
                    <w:spacing w:line="350" w:lineRule="exact"/>
                    <w:jc w:val="center"/>
                    <w:rPr>
                      <w:color w:val="auto"/>
                      <w:szCs w:val="21"/>
                    </w:rPr>
                  </w:pPr>
                </w:p>
              </w:tc>
              <w:tc>
                <w:tcPr>
                  <w:tcW w:w="271" w:type="pct"/>
                  <w:vAlign w:val="center"/>
                </w:tcPr>
                <w:p>
                  <w:pPr>
                    <w:snapToGrid w:val="0"/>
                    <w:spacing w:line="350" w:lineRule="exact"/>
                    <w:jc w:val="center"/>
                    <w:rPr>
                      <w:color w:val="auto"/>
                      <w:szCs w:val="21"/>
                    </w:rPr>
                  </w:pPr>
                  <w:r>
                    <w:rPr>
                      <w:color w:val="auto"/>
                      <w:szCs w:val="21"/>
                    </w:rPr>
                    <w:t>环境风险防控</w:t>
                  </w:r>
                </w:p>
              </w:tc>
              <w:tc>
                <w:tcPr>
                  <w:tcW w:w="2147" w:type="pct"/>
                  <w:vAlign w:val="center"/>
                </w:tcPr>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化工园区与城市建成区、人员密集场所、重要设施、敏感目标等应当保持规定的安全距离，相对封闭，不应保留常住居民，非关联企业和产业要逐步搬迁或退出，妥善防范化解“邻避”问题。严禁在松花江干流及一级支流沿岸1公里范围内布局化工园区。</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2.禁止在居民区、学校、医疗和养老机构等周边新建有色金属冶炼、焦化等行业企业。</w:t>
                  </w:r>
                </w:p>
              </w:tc>
              <w:tc>
                <w:tcPr>
                  <w:tcW w:w="548" w:type="pct"/>
                  <w:gridSpan w:val="2"/>
                  <w:vAlign w:val="center"/>
                </w:tcPr>
                <w:p>
                  <w:pPr>
                    <w:snapToGrid w:val="0"/>
                    <w:spacing w:line="350" w:lineRule="exact"/>
                    <w:jc w:val="center"/>
                    <w:rPr>
                      <w:color w:val="auto"/>
                      <w:szCs w:val="21"/>
                    </w:rPr>
                  </w:pPr>
                  <w:r>
                    <w:rPr>
                      <w:color w:val="auto"/>
                      <w:szCs w:val="21"/>
                    </w:rPr>
                    <w:t>本项目为</w:t>
                  </w:r>
                  <w:r>
                    <w:rPr>
                      <w:rFonts w:hint="eastAsia"/>
                      <w:color w:val="auto"/>
                      <w:szCs w:val="21"/>
                    </w:rPr>
                    <w:t>沥青混凝土</w:t>
                  </w:r>
                  <w:r>
                    <w:rPr>
                      <w:color w:val="auto"/>
                      <w:szCs w:val="21"/>
                    </w:rPr>
                    <w:t>制造</w:t>
                  </w:r>
                  <w:r>
                    <w:rPr>
                      <w:rFonts w:hint="eastAsia"/>
                      <w:color w:val="auto"/>
                      <w:szCs w:val="21"/>
                    </w:rPr>
                    <w:t>项目</w:t>
                  </w:r>
                  <w:r>
                    <w:rPr>
                      <w:color w:val="auto"/>
                      <w:szCs w:val="21"/>
                    </w:rPr>
                    <w:t>，不属于上述风险防控项目。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1051" w:type="pct"/>
                  <w:vMerge w:val="continue"/>
                  <w:vAlign w:val="center"/>
                </w:tcPr>
                <w:p>
                  <w:pPr>
                    <w:snapToGrid w:val="0"/>
                    <w:spacing w:line="350" w:lineRule="exact"/>
                    <w:jc w:val="center"/>
                    <w:rPr>
                      <w:color w:val="auto"/>
                      <w:szCs w:val="21"/>
                    </w:rPr>
                  </w:pPr>
                </w:p>
              </w:tc>
              <w:tc>
                <w:tcPr>
                  <w:tcW w:w="514" w:type="pct"/>
                  <w:vMerge w:val="continue"/>
                  <w:vAlign w:val="center"/>
                </w:tcPr>
                <w:p>
                  <w:pPr>
                    <w:snapToGrid w:val="0"/>
                    <w:spacing w:line="350" w:lineRule="exact"/>
                    <w:jc w:val="center"/>
                    <w:rPr>
                      <w:color w:val="auto"/>
                      <w:szCs w:val="21"/>
                    </w:rPr>
                  </w:pPr>
                </w:p>
              </w:tc>
              <w:tc>
                <w:tcPr>
                  <w:tcW w:w="468" w:type="pct"/>
                  <w:vMerge w:val="continue"/>
                  <w:vAlign w:val="center"/>
                </w:tcPr>
                <w:p>
                  <w:pPr>
                    <w:snapToGrid w:val="0"/>
                    <w:spacing w:line="350" w:lineRule="exact"/>
                    <w:jc w:val="center"/>
                    <w:rPr>
                      <w:color w:val="auto"/>
                      <w:szCs w:val="21"/>
                    </w:rPr>
                  </w:pPr>
                </w:p>
              </w:tc>
              <w:tc>
                <w:tcPr>
                  <w:tcW w:w="271" w:type="pct"/>
                  <w:vAlign w:val="center"/>
                </w:tcPr>
                <w:p>
                  <w:pPr>
                    <w:snapToGrid w:val="0"/>
                    <w:spacing w:line="350" w:lineRule="exact"/>
                    <w:jc w:val="center"/>
                    <w:rPr>
                      <w:color w:val="auto"/>
                      <w:szCs w:val="21"/>
                    </w:rPr>
                  </w:pPr>
                  <w:r>
                    <w:rPr>
                      <w:color w:val="auto"/>
                      <w:szCs w:val="21"/>
                    </w:rPr>
                    <w:t>资源利用效率要求</w:t>
                  </w:r>
                </w:p>
              </w:tc>
              <w:tc>
                <w:tcPr>
                  <w:tcW w:w="2147" w:type="pct"/>
                  <w:vAlign w:val="center"/>
                </w:tcPr>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1.推进污水再生利用设施建设。</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2.公共建筑必须采用节水器具，限期淘汰公共建筑中不符合节水标准的水嘴、便器水箱等生活用水器具。</w:t>
                  </w:r>
                </w:p>
                <w:p>
                  <w:pPr>
                    <w:snapToGrid w:val="0"/>
                    <w:spacing w:line="350" w:lineRule="exact"/>
                    <w:jc w:val="center"/>
                    <w:rPr>
                      <w:rFonts w:hint="default" w:ascii="Times New Roman" w:hAnsi="Times New Roman" w:cs="Times New Roman"/>
                      <w:color w:val="auto"/>
                      <w:szCs w:val="21"/>
                      <w:lang w:val="zh-CN"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val="zh-CN" w:eastAsia="zh-CN"/>
                    </w:rPr>
                    <w:t>在禁燃区内，禁止销售、燃用高污染燃料；禁止新建、扩建燃用高污染燃料的设施，已建成的，应当在城市人民政府规定的期限内改用天然气、页岩气、液化石油气、电或者其他清洁能源。</w:t>
                  </w:r>
                </w:p>
                <w:p>
                  <w:pPr>
                    <w:snapToGrid w:val="0"/>
                    <w:spacing w:line="35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zh-CN" w:eastAsia="zh-CN"/>
                    </w:rPr>
                    <w:t>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548" w:type="pct"/>
                  <w:gridSpan w:val="2"/>
                  <w:vAlign w:val="center"/>
                </w:tcPr>
                <w:p>
                  <w:pPr>
                    <w:snapToGrid w:val="0"/>
                    <w:spacing w:line="350" w:lineRule="exact"/>
                    <w:jc w:val="center"/>
                    <w:rPr>
                      <w:color w:val="auto"/>
                      <w:szCs w:val="21"/>
                    </w:rPr>
                  </w:pPr>
                  <w:r>
                    <w:rPr>
                      <w:rFonts w:hint="eastAsia"/>
                      <w:color w:val="auto"/>
                      <w:szCs w:val="21"/>
                    </w:rPr>
                    <w:t>本项目不向处环境排放废水</w:t>
                  </w:r>
                </w:p>
              </w:tc>
            </w:tr>
          </w:tbl>
          <w:p>
            <w:pPr>
              <w:spacing w:line="360" w:lineRule="auto"/>
              <w:ind w:firstLine="480" w:firstLineChars="200"/>
              <w:rPr>
                <w:color w:val="auto"/>
              </w:rPr>
            </w:pPr>
            <w:r>
              <w:rPr>
                <w:color w:val="auto"/>
                <w:kern w:val="0"/>
                <w:sz w:val="24"/>
              </w:rPr>
              <w:t>综上所述，本项目符合</w:t>
            </w:r>
            <w:r>
              <w:rPr>
                <w:rFonts w:hint="eastAsia"/>
                <w:color w:val="auto"/>
                <w:sz w:val="24"/>
                <w:lang w:val="en-US" w:eastAsia="zh-CN"/>
              </w:rPr>
              <w:t>伊美</w:t>
            </w:r>
            <w:r>
              <w:rPr>
                <w:rFonts w:hint="eastAsia"/>
                <w:color w:val="auto"/>
                <w:sz w:val="24"/>
              </w:rPr>
              <w:t>区</w:t>
            </w:r>
            <w:r>
              <w:rPr>
                <w:color w:val="auto"/>
                <w:kern w:val="0"/>
                <w:sz w:val="24"/>
              </w:rPr>
              <w:t>生态环境准入清单相关要求，项目符合伊春市 “三线一单”相关要求。</w:t>
            </w:r>
          </w:p>
          <w:p>
            <w:pPr>
              <w:spacing w:line="360" w:lineRule="auto"/>
              <w:ind w:firstLine="480" w:firstLineChars="200"/>
              <w:rPr>
                <w:color w:val="auto"/>
                <w:sz w:val="24"/>
              </w:rPr>
            </w:pPr>
            <w:r>
              <w:rPr>
                <w:color w:val="auto"/>
                <w:sz w:val="24"/>
              </w:rPr>
              <w:t>综上，</w:t>
            </w:r>
            <w:r>
              <w:rPr>
                <w:rFonts w:hint="eastAsia"/>
                <w:color w:val="auto"/>
                <w:sz w:val="24"/>
              </w:rPr>
              <w:t>本</w:t>
            </w:r>
            <w:r>
              <w:rPr>
                <w:color w:val="auto"/>
                <w:sz w:val="24"/>
              </w:rPr>
              <w:t>项目建设符合“三线一单”相关要求。</w:t>
            </w:r>
          </w:p>
          <w:p>
            <w:pPr>
              <w:autoSpaceDE w:val="0"/>
              <w:autoSpaceDN w:val="0"/>
              <w:adjustRightInd w:val="0"/>
              <w:spacing w:line="360" w:lineRule="auto"/>
              <w:rPr>
                <w:rFonts w:eastAsia="黑体"/>
                <w:bCs/>
                <w:color w:val="auto"/>
                <w:kern w:val="0"/>
                <w:sz w:val="28"/>
                <w:szCs w:val="28"/>
              </w:rPr>
            </w:pPr>
            <w:r>
              <w:rPr>
                <w:rFonts w:hint="eastAsia" w:eastAsia="黑体"/>
                <w:bCs/>
                <w:color w:val="auto"/>
                <w:kern w:val="0"/>
                <w:sz w:val="28"/>
                <w:szCs w:val="28"/>
              </w:rPr>
              <w:t>三</w:t>
            </w:r>
            <w:r>
              <w:rPr>
                <w:rFonts w:eastAsia="黑体"/>
                <w:bCs/>
                <w:color w:val="auto"/>
                <w:kern w:val="0"/>
                <w:sz w:val="28"/>
                <w:szCs w:val="28"/>
              </w:rPr>
              <w:t>、选址合理性分析</w:t>
            </w:r>
          </w:p>
          <w:p>
            <w:pPr>
              <w:spacing w:line="360" w:lineRule="auto"/>
              <w:ind w:firstLine="480" w:firstLineChars="200"/>
              <w:rPr>
                <w:color w:val="auto"/>
                <w:sz w:val="24"/>
              </w:rPr>
            </w:pPr>
            <w:r>
              <w:rPr>
                <w:color w:val="auto"/>
                <w:sz w:val="24"/>
              </w:rPr>
              <w:t>（1）</w:t>
            </w:r>
            <w:r>
              <w:rPr>
                <w:rFonts w:hint="eastAsia"/>
                <w:color w:val="auto"/>
                <w:sz w:val="24"/>
                <w:lang w:val="en-US" w:eastAsia="zh-CN"/>
              </w:rPr>
              <w:t>相关规范、通知的</w:t>
            </w:r>
            <w:r>
              <w:rPr>
                <w:color w:val="auto"/>
                <w:sz w:val="24"/>
              </w:rPr>
              <w:t>相符性分析</w:t>
            </w:r>
          </w:p>
          <w:p>
            <w:pPr>
              <w:spacing w:line="360" w:lineRule="auto"/>
              <w:ind w:firstLine="480" w:firstLineChars="200"/>
              <w:rPr>
                <w:color w:val="auto"/>
                <w:sz w:val="24"/>
              </w:rPr>
            </w:pPr>
            <w:r>
              <w:rPr>
                <w:color w:val="auto"/>
                <w:sz w:val="24"/>
              </w:rPr>
              <w:t>本项目位于</w:t>
            </w:r>
            <w:r>
              <w:rPr>
                <w:rFonts w:hint="eastAsia"/>
                <w:color w:val="auto"/>
                <w:sz w:val="24"/>
              </w:rPr>
              <w:t>伊春市</w:t>
            </w:r>
            <w:r>
              <w:rPr>
                <w:rFonts w:hint="eastAsia"/>
                <w:color w:val="auto"/>
                <w:sz w:val="24"/>
                <w:lang w:val="en-US" w:eastAsia="zh-CN"/>
              </w:rPr>
              <w:t>伊美</w:t>
            </w:r>
            <w:r>
              <w:rPr>
                <w:rFonts w:hint="eastAsia"/>
                <w:color w:val="auto"/>
                <w:sz w:val="24"/>
              </w:rPr>
              <w:t>区</w:t>
            </w:r>
            <w:r>
              <w:rPr>
                <w:rFonts w:hint="eastAsia"/>
                <w:color w:val="auto"/>
                <w:sz w:val="24"/>
                <w:lang w:val="en-US" w:eastAsia="zh-CN"/>
              </w:rPr>
              <w:t>伊敏林场</w:t>
            </w:r>
            <w:r>
              <w:rPr>
                <w:rFonts w:hint="eastAsia"/>
                <w:color w:val="auto"/>
                <w:sz w:val="24"/>
              </w:rPr>
              <w:t>，现为工业用地，厂址东侧</w:t>
            </w:r>
            <w:r>
              <w:rPr>
                <w:rFonts w:hint="eastAsia"/>
                <w:color w:val="auto"/>
                <w:sz w:val="24"/>
                <w:lang w:val="en-US" w:eastAsia="zh-CN"/>
              </w:rPr>
              <w:t>为荒地</w:t>
            </w:r>
            <w:r>
              <w:rPr>
                <w:rFonts w:hint="eastAsia"/>
                <w:color w:val="auto"/>
                <w:sz w:val="24"/>
                <w:lang w:eastAsia="zh-CN"/>
              </w:rPr>
              <w:t>，</w:t>
            </w:r>
            <w:r>
              <w:rPr>
                <w:rFonts w:hint="eastAsia"/>
                <w:color w:val="auto"/>
                <w:sz w:val="24"/>
                <w:lang w:val="en-US" w:eastAsia="zh-CN"/>
              </w:rPr>
              <w:t>南</w:t>
            </w:r>
            <w:r>
              <w:rPr>
                <w:rFonts w:hint="eastAsia"/>
                <w:color w:val="auto"/>
                <w:sz w:val="24"/>
              </w:rPr>
              <w:t>侧</w:t>
            </w:r>
            <w:r>
              <w:rPr>
                <w:rFonts w:hint="eastAsia"/>
                <w:color w:val="auto"/>
                <w:sz w:val="24"/>
                <w:lang w:val="en-US" w:eastAsia="zh-CN"/>
              </w:rPr>
              <w:t>为烘干塔，西侧为厂房，北侧</w:t>
            </w:r>
            <w:r>
              <w:rPr>
                <w:rFonts w:hint="eastAsia"/>
                <w:color w:val="auto"/>
                <w:sz w:val="24"/>
              </w:rPr>
              <w:t>为空地。</w:t>
            </w:r>
            <w:r>
              <w:rPr>
                <w:color w:val="auto"/>
                <w:sz w:val="24"/>
              </w:rPr>
              <w:t>项目选址不</w:t>
            </w:r>
            <w:r>
              <w:rPr>
                <w:rFonts w:hint="eastAsia"/>
                <w:color w:val="auto"/>
                <w:sz w:val="24"/>
              </w:rPr>
              <w:t>在</w:t>
            </w:r>
            <w:r>
              <w:rPr>
                <w:color w:val="auto"/>
                <w:sz w:val="24"/>
              </w:rPr>
              <w:t>风景名胜区、温泉疗养区、水产养殖区、基本农田保护区、自然保护区</w:t>
            </w:r>
            <w:r>
              <w:rPr>
                <w:rFonts w:hint="eastAsia"/>
                <w:color w:val="auto"/>
                <w:sz w:val="24"/>
              </w:rPr>
              <w:t>、</w:t>
            </w:r>
            <w:r>
              <w:rPr>
                <w:color w:val="auto"/>
                <w:sz w:val="24"/>
              </w:rPr>
              <w:t>生活饮用水源地和地下水补给区等需要特殊保护区域。</w:t>
            </w:r>
          </w:p>
          <w:p>
            <w:pPr>
              <w:autoSpaceDE w:val="0"/>
              <w:autoSpaceDN w:val="0"/>
              <w:spacing w:line="360" w:lineRule="auto"/>
              <w:ind w:firstLine="480" w:firstLineChars="200"/>
              <w:rPr>
                <w:color w:val="auto"/>
                <w:sz w:val="24"/>
              </w:rPr>
            </w:pPr>
            <w:r>
              <w:rPr>
                <w:color w:val="auto"/>
                <w:sz w:val="24"/>
              </w:rPr>
              <w:t>（2）外环境相容性分析</w:t>
            </w:r>
          </w:p>
          <w:p>
            <w:pPr>
              <w:spacing w:line="360" w:lineRule="auto"/>
              <w:ind w:firstLine="480" w:firstLineChars="200"/>
              <w:rPr>
                <w:color w:val="auto"/>
                <w:sz w:val="24"/>
              </w:rPr>
            </w:pPr>
            <w:r>
              <w:rPr>
                <w:color w:val="auto"/>
                <w:sz w:val="24"/>
              </w:rPr>
              <w:t>①项目所在地具有方便的交通运输和水电条件，便于项目的建设。</w:t>
            </w:r>
          </w:p>
          <w:p>
            <w:pPr>
              <w:spacing w:line="360" w:lineRule="auto"/>
              <w:ind w:firstLine="480" w:firstLineChars="200"/>
              <w:rPr>
                <w:color w:val="auto"/>
                <w:sz w:val="24"/>
              </w:rPr>
            </w:pPr>
            <w:r>
              <w:rPr>
                <w:color w:val="auto"/>
                <w:sz w:val="24"/>
              </w:rPr>
              <w:t>②项目建设过程中产生的废气、噪声、废水、固废对周围环境将产生一定影响，但通过采取相应的环保措施可使该项目的环境影响降低。项目建成后对周边环境的影响主要是废气、生活污水，固体废物以及设备产生的噪声，经过处理后对周边环境影响较小。</w:t>
            </w:r>
          </w:p>
          <w:p>
            <w:pPr>
              <w:spacing w:line="360" w:lineRule="auto"/>
              <w:ind w:firstLine="480" w:firstLineChars="200"/>
              <w:rPr>
                <w:color w:val="auto"/>
                <w:sz w:val="24"/>
              </w:rPr>
            </w:pPr>
            <w:r>
              <w:rPr>
                <w:color w:val="auto"/>
                <w:sz w:val="24"/>
              </w:rPr>
              <w:t>（3）环境功能一致性分析</w:t>
            </w:r>
          </w:p>
          <w:p>
            <w:pPr>
              <w:spacing w:line="360" w:lineRule="auto"/>
              <w:ind w:firstLine="480" w:firstLineChars="200"/>
              <w:rPr>
                <w:color w:val="auto"/>
                <w:sz w:val="24"/>
              </w:rPr>
            </w:pPr>
            <w:r>
              <w:rPr>
                <w:color w:val="auto"/>
                <w:sz w:val="24"/>
              </w:rPr>
              <w:t>根据工程分析确定的污染物源强，通过大气环境、水环境、声环境影响分析，说明项目建成后污染物达标排放对区域环境空气、水环境、声环境影响较小。项目建设不会使得环境功能发生改变。</w:t>
            </w:r>
          </w:p>
          <w:p>
            <w:pPr>
              <w:spacing w:line="360" w:lineRule="auto"/>
              <w:ind w:firstLine="480" w:firstLineChars="200"/>
              <w:rPr>
                <w:color w:val="auto"/>
                <w:sz w:val="24"/>
              </w:rPr>
            </w:pPr>
            <w:r>
              <w:rPr>
                <w:color w:val="auto"/>
                <w:sz w:val="24"/>
              </w:rPr>
              <w:t>综上所述，本项目</w:t>
            </w:r>
            <w:r>
              <w:rPr>
                <w:rFonts w:hint="eastAsia"/>
                <w:color w:val="auto"/>
                <w:sz w:val="24"/>
              </w:rPr>
              <w:t>从环境角度</w:t>
            </w:r>
            <w:r>
              <w:rPr>
                <w:color w:val="auto"/>
                <w:sz w:val="24"/>
              </w:rPr>
              <w:t>选址可行。</w:t>
            </w:r>
          </w:p>
          <w:p>
            <w:pPr>
              <w:autoSpaceDE w:val="0"/>
              <w:autoSpaceDN w:val="0"/>
              <w:adjustRightInd w:val="0"/>
              <w:spacing w:line="360" w:lineRule="auto"/>
              <w:rPr>
                <w:rFonts w:eastAsia="黑体"/>
                <w:color w:val="auto"/>
                <w:sz w:val="28"/>
                <w:szCs w:val="28"/>
              </w:rPr>
            </w:pPr>
            <w:r>
              <w:rPr>
                <w:rFonts w:hint="eastAsia" w:eastAsia="黑体"/>
                <w:color w:val="auto"/>
                <w:sz w:val="28"/>
                <w:szCs w:val="28"/>
              </w:rPr>
              <w:t>四</w:t>
            </w:r>
            <w:r>
              <w:rPr>
                <w:rFonts w:eastAsia="黑体"/>
                <w:color w:val="auto"/>
                <w:sz w:val="28"/>
                <w:szCs w:val="28"/>
              </w:rPr>
              <w:t>、排污许可证制度衔接</w:t>
            </w:r>
          </w:p>
          <w:p>
            <w:pPr>
              <w:pStyle w:val="86"/>
              <w:rPr>
                <w:color w:val="auto"/>
              </w:rPr>
            </w:pPr>
            <w:r>
              <w:rPr>
                <w:rFonts w:ascii="Times New Roman" w:hAnsi="Times New Roman" w:eastAsia="宋体" w:cs="Times New Roman"/>
                <w:color w:val="auto"/>
                <w:kern w:val="0"/>
              </w:rPr>
              <w:t>根据《关于做好环境影响评价制度与排污许可制衔接相关工作的通知》(环办环评[2017]84 号)，建设项目发生实际排污行为之前，排污单位应当按照国家环境保护相关法律法规以及排污许可证申请与核发技术规范要求申请排污许可证，不得无证排污或不按证排污。企业在设计，建设和运营过程中，需按照许可证管理要求进行监测和申报，自证守法；许可证内容发生变更应进行申报，重大变更应重新环评和申请许可证变更。环保管理部门对许可证内容进行定期和不定期的监督核查。</w:t>
            </w:r>
            <w:r>
              <w:rPr>
                <w:rFonts w:hint="eastAsia" w:cs="Times New Roman"/>
                <w:color w:val="auto"/>
                <w:kern w:val="0"/>
              </w:rPr>
              <w:t>根据《固定污染源排污许可分类管理名录》（2019年版），本项目属于简化管理。</w:t>
            </w:r>
          </w:p>
        </w:tc>
      </w:tr>
    </w:tbl>
    <w:p>
      <w:pPr>
        <w:spacing w:line="360" w:lineRule="auto"/>
        <w:outlineLvl w:val="0"/>
        <w:rPr>
          <w:rFonts w:eastAsia="黑体"/>
          <w:color w:val="auto"/>
          <w:sz w:val="30"/>
        </w:rPr>
        <w:sectPr>
          <w:footerReference r:id="rId5" w:type="default"/>
          <w:pgSz w:w="11905" w:h="16838"/>
          <w:pgMar w:top="1134" w:right="1134" w:bottom="1134" w:left="1134" w:header="851" w:footer="1077" w:gutter="0"/>
          <w:pgNumType w:start="1"/>
          <w:cols w:space="720" w:num="1"/>
          <w:docGrid w:type="linesAndChars" w:linePitch="323" w:charSpace="0"/>
        </w:sectPr>
      </w:pPr>
    </w:p>
    <w:p>
      <w:pPr>
        <w:pStyle w:val="2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8" w:name="_Toc26115"/>
      <w:bookmarkStart w:id="9" w:name="_Toc237"/>
      <w:r>
        <w:rPr>
          <w:rFonts w:ascii="Times New Roman" w:hAnsi="Times New Roman" w:eastAsia="黑体"/>
          <w:snapToGrid w:val="0"/>
          <w:color w:val="auto"/>
          <w:sz w:val="30"/>
          <w:szCs w:val="30"/>
        </w:rPr>
        <w:t>二、建设项目工程分析</w:t>
      </w:r>
      <w:bookmarkEnd w:id="8"/>
      <w:bookmarkEnd w:id="9"/>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9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678" w:hRule="atLeast"/>
          <w:jc w:val="center"/>
        </w:trPr>
        <w:tc>
          <w:tcPr>
            <w:tcW w:w="467" w:type="pct"/>
            <w:vAlign w:val="center"/>
          </w:tcPr>
          <w:p>
            <w:pPr>
              <w:pStyle w:val="29"/>
              <w:adjustRightInd w:val="0"/>
              <w:snapToGrid w:val="0"/>
              <w:spacing w:before="0" w:beforeAutospacing="0" w:after="0" w:afterAutospacing="0"/>
              <w:jc w:val="center"/>
              <w:rPr>
                <w:rFonts w:ascii="Times New Roman" w:hAnsi="Times New Roman"/>
                <w:color w:val="auto"/>
                <w:szCs w:val="21"/>
              </w:rPr>
            </w:pPr>
            <w:r>
              <w:rPr>
                <w:rFonts w:ascii="Times New Roman" w:hAnsi="Times New Roman"/>
                <w:color w:val="auto"/>
                <w:szCs w:val="21"/>
              </w:rPr>
              <w:t>建设内容</w:t>
            </w:r>
          </w:p>
        </w:tc>
        <w:tc>
          <w:tcPr>
            <w:tcW w:w="4532" w:type="pct"/>
          </w:tcPr>
          <w:p>
            <w:pPr>
              <w:adjustRightInd w:val="0"/>
              <w:snapToGrid w:val="0"/>
              <w:spacing w:line="440" w:lineRule="exact"/>
              <w:rPr>
                <w:b w:val="0"/>
                <w:bCs/>
                <w:color w:val="auto"/>
                <w:sz w:val="24"/>
              </w:rPr>
            </w:pPr>
            <w:r>
              <w:rPr>
                <w:b w:val="0"/>
                <w:bCs/>
                <w:color w:val="auto"/>
                <w:sz w:val="24"/>
              </w:rPr>
              <w:t>1、建设项目基本情况</w:t>
            </w:r>
          </w:p>
          <w:p>
            <w:pPr>
              <w:pStyle w:val="117"/>
              <w:spacing w:line="360" w:lineRule="auto"/>
              <w:ind w:left="0" w:firstLine="480" w:firstLineChars="200"/>
              <w:rPr>
                <w:rFonts w:hint="eastAsia" w:eastAsia="宋体" w:cs="仿宋"/>
                <w:b w:val="0"/>
                <w:bCs/>
                <w:color w:val="auto"/>
                <w:kern w:val="2"/>
                <w:szCs w:val="24"/>
                <w:lang w:eastAsia="zh-CN"/>
              </w:rPr>
            </w:pPr>
            <w:r>
              <w:rPr>
                <w:rFonts w:cs="仿宋"/>
                <w:b w:val="0"/>
                <w:bCs/>
                <w:color w:val="auto"/>
                <w:kern w:val="2"/>
                <w:szCs w:val="24"/>
              </w:rPr>
              <w:t>项目名称：</w:t>
            </w:r>
            <w:r>
              <w:rPr>
                <w:rFonts w:hint="eastAsia"/>
                <w:b w:val="0"/>
                <w:bCs/>
                <w:color w:val="auto"/>
                <w:szCs w:val="24"/>
                <w:lang w:eastAsia="zh-CN"/>
              </w:rPr>
              <w:t>伊春市交通路桥建筑有限责任公司建设项目</w:t>
            </w:r>
          </w:p>
          <w:p>
            <w:pPr>
              <w:pStyle w:val="117"/>
              <w:spacing w:line="360" w:lineRule="auto"/>
              <w:ind w:left="0" w:firstLine="480" w:firstLineChars="200"/>
              <w:rPr>
                <w:rFonts w:hint="eastAsia" w:eastAsia="宋体" w:cs="仿宋"/>
                <w:b w:val="0"/>
                <w:bCs/>
                <w:color w:val="auto"/>
                <w:kern w:val="2"/>
                <w:szCs w:val="24"/>
                <w:lang w:eastAsia="zh-CN"/>
              </w:rPr>
            </w:pPr>
            <w:r>
              <w:rPr>
                <w:rFonts w:cs="仿宋"/>
                <w:b w:val="0"/>
                <w:bCs/>
                <w:color w:val="auto"/>
                <w:kern w:val="2"/>
                <w:szCs w:val="24"/>
              </w:rPr>
              <w:t>建设单位：</w:t>
            </w:r>
            <w:r>
              <w:rPr>
                <w:rFonts w:hint="eastAsia"/>
                <w:b w:val="0"/>
                <w:bCs/>
                <w:color w:val="auto"/>
                <w:szCs w:val="24"/>
                <w:lang w:eastAsia="zh-CN"/>
              </w:rPr>
              <w:t>伊春市交通路桥建筑有限责任公司</w:t>
            </w:r>
          </w:p>
          <w:p>
            <w:pPr>
              <w:pStyle w:val="117"/>
              <w:spacing w:line="360" w:lineRule="auto"/>
              <w:ind w:left="0" w:firstLine="480" w:firstLineChars="200"/>
              <w:rPr>
                <w:rFonts w:cs="仿宋"/>
                <w:b w:val="0"/>
                <w:bCs/>
                <w:color w:val="auto"/>
                <w:kern w:val="2"/>
                <w:szCs w:val="24"/>
              </w:rPr>
            </w:pPr>
            <w:r>
              <w:rPr>
                <w:rFonts w:cs="仿宋"/>
                <w:b w:val="0"/>
                <w:bCs/>
                <w:color w:val="auto"/>
                <w:kern w:val="2"/>
                <w:szCs w:val="24"/>
              </w:rPr>
              <w:t>项目性质：</w:t>
            </w:r>
            <w:r>
              <w:rPr>
                <w:rFonts w:hint="eastAsia" w:cs="仿宋"/>
                <w:b w:val="0"/>
                <w:bCs/>
                <w:color w:val="auto"/>
                <w:kern w:val="2"/>
                <w:szCs w:val="24"/>
                <w:lang w:val="en-US" w:eastAsia="zh-CN"/>
              </w:rPr>
              <w:t>改扩</w:t>
            </w:r>
            <w:r>
              <w:rPr>
                <w:rFonts w:hint="eastAsia" w:cs="仿宋"/>
                <w:b w:val="0"/>
                <w:bCs/>
                <w:color w:val="auto"/>
                <w:kern w:val="2"/>
                <w:szCs w:val="24"/>
              </w:rPr>
              <w:t>建。</w:t>
            </w:r>
          </w:p>
          <w:p>
            <w:pPr>
              <w:pStyle w:val="117"/>
              <w:spacing w:line="360" w:lineRule="auto"/>
              <w:ind w:left="0" w:firstLine="480" w:firstLineChars="200"/>
              <w:rPr>
                <w:rFonts w:cs="仿宋"/>
                <w:b w:val="0"/>
                <w:bCs/>
                <w:color w:val="auto"/>
                <w:kern w:val="2"/>
                <w:szCs w:val="24"/>
              </w:rPr>
            </w:pPr>
            <w:r>
              <w:rPr>
                <w:rFonts w:cs="仿宋"/>
                <w:b w:val="0"/>
                <w:bCs/>
                <w:color w:val="auto"/>
                <w:kern w:val="2"/>
                <w:szCs w:val="24"/>
              </w:rPr>
              <w:t>投资总额：</w:t>
            </w:r>
            <w:r>
              <w:rPr>
                <w:rFonts w:hint="eastAsia"/>
                <w:b w:val="0"/>
                <w:bCs/>
                <w:color w:val="auto"/>
                <w:sz w:val="24"/>
                <w:lang w:val="en-US" w:eastAsia="zh-CN"/>
              </w:rPr>
              <w:t>650</w:t>
            </w:r>
            <w:r>
              <w:rPr>
                <w:rFonts w:hint="eastAsia" w:cs="仿宋"/>
                <w:b w:val="0"/>
                <w:bCs/>
                <w:color w:val="auto"/>
                <w:kern w:val="2"/>
                <w:szCs w:val="24"/>
              </w:rPr>
              <w:t>万元。</w:t>
            </w:r>
          </w:p>
          <w:p>
            <w:pPr>
              <w:pStyle w:val="117"/>
              <w:spacing w:line="360" w:lineRule="auto"/>
              <w:ind w:left="0" w:firstLine="480" w:firstLineChars="200"/>
              <w:rPr>
                <w:rFonts w:eastAsia="仿宋" w:cs="仿宋"/>
                <w:b w:val="0"/>
                <w:bCs/>
                <w:color w:val="auto"/>
                <w:kern w:val="2"/>
                <w:szCs w:val="24"/>
              </w:rPr>
            </w:pPr>
            <w:r>
              <w:rPr>
                <w:rFonts w:hint="eastAsia" w:cs="仿宋"/>
                <w:b w:val="0"/>
                <w:bCs/>
                <w:color w:val="auto"/>
                <w:kern w:val="2"/>
                <w:szCs w:val="24"/>
              </w:rPr>
              <w:t>建设</w:t>
            </w:r>
            <w:r>
              <w:rPr>
                <w:rFonts w:cs="仿宋"/>
                <w:b w:val="0"/>
                <w:bCs/>
                <w:color w:val="auto"/>
                <w:kern w:val="2"/>
                <w:szCs w:val="24"/>
              </w:rPr>
              <w:t>地点：</w:t>
            </w:r>
            <w:r>
              <w:rPr>
                <w:rFonts w:hint="eastAsia"/>
                <w:b w:val="0"/>
                <w:bCs/>
                <w:color w:val="auto"/>
                <w:sz w:val="24"/>
              </w:rPr>
              <w:t>伊春市</w:t>
            </w:r>
            <w:r>
              <w:rPr>
                <w:rFonts w:hint="eastAsia"/>
                <w:b w:val="0"/>
                <w:bCs/>
                <w:color w:val="auto"/>
                <w:sz w:val="24"/>
                <w:lang w:val="en-US" w:eastAsia="zh-CN"/>
              </w:rPr>
              <w:t>伊美</w:t>
            </w:r>
            <w:r>
              <w:rPr>
                <w:rFonts w:hint="eastAsia"/>
                <w:b w:val="0"/>
                <w:bCs/>
                <w:color w:val="auto"/>
                <w:sz w:val="24"/>
              </w:rPr>
              <w:t>区</w:t>
            </w:r>
            <w:r>
              <w:rPr>
                <w:rFonts w:hint="eastAsia"/>
                <w:b w:val="0"/>
                <w:bCs/>
                <w:color w:val="auto"/>
                <w:sz w:val="24"/>
                <w:lang w:val="en-US" w:eastAsia="zh-CN"/>
              </w:rPr>
              <w:t>伊敏林场</w:t>
            </w:r>
          </w:p>
          <w:p>
            <w:pPr>
              <w:pStyle w:val="117"/>
              <w:spacing w:line="360" w:lineRule="auto"/>
              <w:ind w:left="0" w:firstLine="480" w:firstLineChars="200"/>
              <w:rPr>
                <w:rFonts w:hint="default" w:ascii="Times New Roman" w:hAnsi="Times New Roman" w:eastAsia="宋体" w:cs="Times New Roman"/>
                <w:b w:val="0"/>
                <w:bCs/>
                <w:color w:val="auto"/>
                <w:szCs w:val="24"/>
                <w:lang w:val="en-US" w:eastAsia="zh-CN"/>
              </w:rPr>
            </w:pPr>
            <w:r>
              <w:rPr>
                <w:rFonts w:hint="eastAsia" w:ascii="Times New Roman" w:hAnsi="Times New Roman" w:eastAsia="宋体" w:cs="Times New Roman"/>
                <w:b w:val="0"/>
                <w:bCs/>
                <w:color w:val="auto"/>
                <w:szCs w:val="24"/>
              </w:rPr>
              <w:t>项目建设内容：</w:t>
            </w:r>
            <w:r>
              <w:rPr>
                <w:rFonts w:hint="eastAsia"/>
                <w:b w:val="0"/>
                <w:bCs/>
                <w:color w:val="auto"/>
                <w:szCs w:val="21"/>
                <w:lang w:val="en-US" w:eastAsia="zh-CN"/>
              </w:rPr>
              <w:t>新设</w:t>
            </w:r>
            <w:r>
              <w:rPr>
                <w:rFonts w:hint="eastAsia"/>
                <w:b w:val="0"/>
                <w:bCs/>
                <w:color w:val="auto"/>
                <w:szCs w:val="21"/>
              </w:rPr>
              <w:t>1条沥青混凝土生产线，设备型号为</w:t>
            </w:r>
            <w:r>
              <w:rPr>
                <w:rFonts w:hint="eastAsia"/>
                <w:b w:val="0"/>
                <w:bCs/>
                <w:color w:val="auto"/>
                <w:szCs w:val="21"/>
                <w:highlight w:val="none"/>
                <w:lang w:val="en-US" w:eastAsia="zh-CN"/>
              </w:rPr>
              <w:t>LR3015型沥青混合料厂拌热再生组合设备</w:t>
            </w:r>
            <w:r>
              <w:rPr>
                <w:rFonts w:hint="eastAsia" w:hAnsi="宋体"/>
                <w:b w:val="0"/>
                <w:bCs/>
                <w:color w:val="auto"/>
                <w:szCs w:val="21"/>
              </w:rPr>
              <w:t>，年产</w:t>
            </w:r>
            <w:r>
              <w:rPr>
                <w:rFonts w:hint="eastAsia"/>
                <w:b w:val="0"/>
                <w:bCs/>
                <w:color w:val="auto"/>
                <w:szCs w:val="21"/>
              </w:rPr>
              <w:t>沥青混凝土</w:t>
            </w:r>
            <w:r>
              <w:rPr>
                <w:rFonts w:hint="eastAsia"/>
                <w:b w:val="0"/>
                <w:bCs/>
                <w:color w:val="auto"/>
                <w:szCs w:val="21"/>
                <w:lang w:val="en-US" w:eastAsia="zh-CN"/>
              </w:rPr>
              <w:t>5</w:t>
            </w:r>
            <w:r>
              <w:rPr>
                <w:rFonts w:hint="eastAsia"/>
                <w:b w:val="0"/>
                <w:bCs/>
                <w:color w:val="auto"/>
                <w:szCs w:val="21"/>
              </w:rPr>
              <w:t>万t/a</w:t>
            </w:r>
            <w:r>
              <w:rPr>
                <w:rFonts w:hint="eastAsia" w:hAnsi="宋体"/>
                <w:b w:val="0"/>
                <w:bCs/>
                <w:color w:val="auto"/>
                <w:szCs w:val="21"/>
              </w:rPr>
              <w:t>。</w:t>
            </w:r>
            <w:r>
              <w:rPr>
                <w:rFonts w:hint="eastAsia" w:hAnsi="宋体"/>
                <w:b w:val="0"/>
                <w:bCs/>
                <w:color w:val="auto"/>
                <w:szCs w:val="21"/>
                <w:lang w:val="en-US" w:eastAsia="zh-CN"/>
              </w:rPr>
              <w:t>拆除现有厂区的设备，保留利旧的设备有导热油炉、沥青罐6座、40t油罐1座，利用现有6000</w:t>
            </w:r>
            <w:r>
              <w:rPr>
                <w:rFonts w:ascii="Times New Roman" w:hAnsi="Times New Roman" w:eastAsia="Times New Roman"/>
                <w:b w:val="0"/>
                <w:bCs/>
                <w:color w:val="auto"/>
                <w:spacing w:val="-4"/>
                <w:sz w:val="21"/>
                <w:szCs w:val="21"/>
                <w:highlight w:val="none"/>
              </w:rPr>
              <w:t>m</w:t>
            </w:r>
            <w:r>
              <w:rPr>
                <w:rFonts w:ascii="Times New Roman" w:hAnsi="Times New Roman" w:eastAsia="Times New Roman"/>
                <w:b w:val="0"/>
                <w:bCs/>
                <w:color w:val="auto"/>
                <w:spacing w:val="-4"/>
                <w:position w:val="7"/>
                <w:sz w:val="14"/>
                <w:szCs w:val="14"/>
                <w:highlight w:val="none"/>
              </w:rPr>
              <w:t>2</w:t>
            </w:r>
            <w:r>
              <w:rPr>
                <w:rFonts w:hint="eastAsia" w:hAnsi="宋体"/>
                <w:b w:val="0"/>
                <w:bCs/>
                <w:color w:val="auto"/>
                <w:szCs w:val="21"/>
                <w:lang w:val="en-US" w:eastAsia="zh-CN"/>
              </w:rPr>
              <w:t>堆料场</w:t>
            </w:r>
            <w:r>
              <w:rPr>
                <w:rFonts w:hint="eastAsia" w:ascii="Times New Roman" w:hAnsi="Times New Roman" w:eastAsia="宋体" w:cs="Times New Roman"/>
                <w:b w:val="0"/>
                <w:bCs/>
                <w:color w:val="auto"/>
                <w:szCs w:val="24"/>
              </w:rPr>
              <w:t>。</w:t>
            </w:r>
            <w:r>
              <w:rPr>
                <w:rFonts w:hint="eastAsia" w:cs="Times New Roman"/>
                <w:b w:val="0"/>
                <w:bCs/>
                <w:color w:val="auto"/>
                <w:szCs w:val="24"/>
                <w:lang w:val="en-US" w:eastAsia="zh-CN"/>
              </w:rPr>
              <w:t>新建初期雨水池1座。</w:t>
            </w:r>
          </w:p>
          <w:p>
            <w:pPr>
              <w:spacing w:line="360" w:lineRule="auto"/>
              <w:ind w:firstLine="480" w:firstLineChars="200"/>
              <w:contextualSpacing/>
              <w:rPr>
                <w:rFonts w:hAnsi="宋体"/>
                <w:b w:val="0"/>
                <w:bCs/>
                <w:color w:val="auto"/>
                <w:sz w:val="24"/>
              </w:rPr>
            </w:pPr>
            <w:r>
              <w:rPr>
                <w:rFonts w:cs="仿宋"/>
                <w:b w:val="0"/>
                <w:bCs/>
                <w:color w:val="auto"/>
                <w:sz w:val="24"/>
              </w:rPr>
              <w:t>职工定员及工作制度：</w:t>
            </w:r>
            <w:r>
              <w:rPr>
                <w:rFonts w:hint="eastAsia" w:cs="仿宋"/>
                <w:b w:val="0"/>
                <w:bCs/>
                <w:color w:val="auto"/>
                <w:sz w:val="24"/>
                <w:lang w:val="en-US" w:eastAsia="zh-CN"/>
              </w:rPr>
              <w:t>现有</w:t>
            </w:r>
            <w:r>
              <w:rPr>
                <w:rFonts w:hint="eastAsia" w:cs="仿宋"/>
                <w:b w:val="0"/>
                <w:bCs/>
                <w:color w:val="auto"/>
                <w:sz w:val="24"/>
              </w:rPr>
              <w:t>定员</w:t>
            </w:r>
            <w:r>
              <w:rPr>
                <w:rFonts w:hint="eastAsia" w:cs="仿宋"/>
                <w:b w:val="0"/>
                <w:bCs/>
                <w:color w:val="auto"/>
                <w:sz w:val="24"/>
                <w:lang w:val="en-US" w:eastAsia="zh-CN"/>
              </w:rPr>
              <w:t>1</w:t>
            </w:r>
            <w:r>
              <w:rPr>
                <w:rFonts w:hint="eastAsia" w:cs="仿宋"/>
                <w:b w:val="0"/>
                <w:bCs/>
                <w:color w:val="auto"/>
                <w:sz w:val="24"/>
              </w:rPr>
              <w:t>0人，</w:t>
            </w:r>
            <w:r>
              <w:rPr>
                <w:rFonts w:hint="eastAsia" w:cs="仿宋"/>
                <w:b w:val="0"/>
                <w:bCs/>
                <w:color w:val="auto"/>
                <w:sz w:val="24"/>
                <w:lang w:val="en-US" w:eastAsia="zh-CN"/>
              </w:rPr>
              <w:t>本次不新增。</w:t>
            </w:r>
            <w:r>
              <w:rPr>
                <w:rFonts w:hint="eastAsia" w:cs="仿宋"/>
                <w:b w:val="0"/>
                <w:bCs/>
                <w:color w:val="auto"/>
                <w:sz w:val="24"/>
              </w:rPr>
              <w:t>一天工作1</w:t>
            </w:r>
            <w:r>
              <w:rPr>
                <w:rFonts w:hint="eastAsia" w:cs="仿宋"/>
                <w:b w:val="0"/>
                <w:bCs/>
                <w:color w:val="auto"/>
                <w:sz w:val="24"/>
                <w:lang w:val="en-US" w:eastAsia="zh-CN"/>
              </w:rPr>
              <w:t>0</w:t>
            </w:r>
            <w:r>
              <w:rPr>
                <w:rFonts w:hint="eastAsia" w:cs="仿宋"/>
                <w:b w:val="0"/>
                <w:bCs/>
                <w:color w:val="auto"/>
                <w:sz w:val="24"/>
              </w:rPr>
              <w:t>小时，</w:t>
            </w:r>
            <w:r>
              <w:rPr>
                <w:rFonts w:hint="eastAsia" w:cs="仿宋"/>
                <w:b w:val="0"/>
                <w:bCs/>
                <w:color w:val="auto"/>
                <w:sz w:val="24"/>
                <w:lang w:val="en-US" w:eastAsia="zh-CN"/>
              </w:rPr>
              <w:t>一</w:t>
            </w:r>
            <w:r>
              <w:rPr>
                <w:rFonts w:hint="eastAsia" w:cs="仿宋"/>
                <w:b w:val="0"/>
                <w:bCs/>
                <w:color w:val="auto"/>
                <w:sz w:val="24"/>
              </w:rPr>
              <w:t>班制，年工作</w:t>
            </w:r>
            <w:r>
              <w:rPr>
                <w:rFonts w:hint="eastAsia" w:cs="仿宋"/>
                <w:b w:val="0"/>
                <w:bCs/>
                <w:color w:val="auto"/>
                <w:sz w:val="24"/>
                <w:lang w:val="en-US" w:eastAsia="zh-CN"/>
              </w:rPr>
              <w:t>120</w:t>
            </w:r>
            <w:r>
              <w:rPr>
                <w:rFonts w:hint="eastAsia" w:cs="仿宋"/>
                <w:b w:val="0"/>
                <w:bCs/>
                <w:color w:val="auto"/>
                <w:sz w:val="24"/>
              </w:rPr>
              <w:t>天</w:t>
            </w:r>
            <w:r>
              <w:rPr>
                <w:rFonts w:hint="eastAsia" w:cs="仿宋"/>
                <w:b w:val="0"/>
                <w:bCs/>
                <w:color w:val="auto"/>
                <w:sz w:val="24"/>
                <w:lang w:eastAsia="zh-CN"/>
              </w:rPr>
              <w:t>（</w:t>
            </w:r>
            <w:r>
              <w:rPr>
                <w:rFonts w:hint="eastAsia" w:cs="仿宋"/>
                <w:b w:val="0"/>
                <w:bCs/>
                <w:color w:val="auto"/>
                <w:sz w:val="24"/>
                <w:lang w:val="en-US" w:eastAsia="zh-CN"/>
              </w:rPr>
              <w:t>6-9月）</w:t>
            </w:r>
            <w:r>
              <w:rPr>
                <w:rFonts w:hint="eastAsia" w:cs="仿宋"/>
                <w:b w:val="0"/>
                <w:bCs/>
                <w:color w:val="auto"/>
                <w:sz w:val="24"/>
              </w:rPr>
              <w:t>。</w:t>
            </w:r>
          </w:p>
          <w:p>
            <w:pPr>
              <w:adjustRightInd w:val="0"/>
              <w:snapToGrid w:val="0"/>
              <w:spacing w:line="440" w:lineRule="atLeast"/>
              <w:rPr>
                <w:b w:val="0"/>
                <w:bCs/>
                <w:color w:val="auto"/>
                <w:sz w:val="24"/>
              </w:rPr>
            </w:pPr>
            <w:r>
              <w:rPr>
                <w:b w:val="0"/>
                <w:bCs/>
                <w:color w:val="auto"/>
                <w:sz w:val="24"/>
              </w:rPr>
              <w:t>2、项目组成</w:t>
            </w:r>
          </w:p>
          <w:p>
            <w:pPr>
              <w:pStyle w:val="86"/>
              <w:spacing w:line="480" w:lineRule="exact"/>
              <w:rPr>
                <w:b w:val="0"/>
                <w:bCs/>
                <w:color w:val="auto"/>
              </w:rPr>
            </w:pPr>
            <w:r>
              <w:rPr>
                <w:rFonts w:ascii="Times New Roman" w:hAnsi="Times New Roman" w:cs="Times New Roman"/>
                <w:b w:val="0"/>
                <w:bCs/>
                <w:color w:val="auto"/>
              </w:rPr>
              <w:t>本工程建设的主要内容为主体工程、辅助工程、公用工程和环保工程等，工程基本构成见表2-1。</w:t>
            </w:r>
          </w:p>
          <w:p>
            <w:pPr>
              <w:adjustRightInd w:val="0"/>
              <w:jc w:val="center"/>
              <w:rPr>
                <w:b w:val="0"/>
                <w:bCs/>
                <w:color w:val="auto"/>
              </w:rPr>
            </w:pPr>
            <w:r>
              <w:rPr>
                <w:rFonts w:eastAsia="黑体"/>
                <w:b w:val="0"/>
                <w:bCs/>
                <w:color w:val="auto"/>
                <w:sz w:val="24"/>
              </w:rPr>
              <w:t>表2-1 本项目建设内容一览表</w:t>
            </w:r>
          </w:p>
          <w:tbl>
            <w:tblPr>
              <w:tblStyle w:val="34"/>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582"/>
              <w:gridCol w:w="4862"/>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5"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项目名称</w:t>
                  </w:r>
                </w:p>
              </w:tc>
              <w:tc>
                <w:tcPr>
                  <w:tcW w:w="892"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建设情况</w:t>
                  </w:r>
                </w:p>
              </w:tc>
              <w:tc>
                <w:tcPr>
                  <w:tcW w:w="2741" w:type="pct"/>
                  <w:shd w:val="clear" w:color="auto" w:fill="FFFFFF"/>
                  <w:vAlign w:val="center"/>
                </w:tcPr>
                <w:p>
                  <w:pPr>
                    <w:adjustRightInd w:val="0"/>
                    <w:snapToGrid w:val="0"/>
                    <w:jc w:val="center"/>
                    <w:rPr>
                      <w:b w:val="0"/>
                      <w:bCs/>
                      <w:color w:val="auto"/>
                      <w:szCs w:val="21"/>
                    </w:rPr>
                  </w:pPr>
                  <w:r>
                    <w:rPr>
                      <w:b w:val="0"/>
                      <w:bCs/>
                      <w:color w:val="auto"/>
                      <w:szCs w:val="21"/>
                    </w:rPr>
                    <w:t>本工程建设内容</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45"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主体工程</w:t>
                  </w:r>
                </w:p>
              </w:tc>
              <w:tc>
                <w:tcPr>
                  <w:tcW w:w="892" w:type="pct"/>
                  <w:shd w:val="clear" w:color="auto" w:fill="FFFFFF"/>
                  <w:vAlign w:val="center"/>
                </w:tcPr>
                <w:p>
                  <w:pPr>
                    <w:adjustRightInd w:val="0"/>
                    <w:snapToGrid w:val="0"/>
                    <w:jc w:val="center"/>
                    <w:textAlignment w:val="center"/>
                    <w:rPr>
                      <w:b w:val="0"/>
                      <w:bCs/>
                      <w:color w:val="auto"/>
                      <w:kern w:val="0"/>
                      <w:szCs w:val="21"/>
                    </w:rPr>
                  </w:pPr>
                  <w:r>
                    <w:rPr>
                      <w:rFonts w:hint="eastAsia"/>
                      <w:b w:val="0"/>
                      <w:bCs/>
                      <w:color w:val="auto"/>
                      <w:kern w:val="0"/>
                      <w:szCs w:val="21"/>
                    </w:rPr>
                    <w:t>沥青混凝土生产线</w:t>
                  </w:r>
                </w:p>
              </w:tc>
              <w:tc>
                <w:tcPr>
                  <w:tcW w:w="2741" w:type="pct"/>
                  <w:shd w:val="clear" w:color="auto" w:fill="FFFFFF"/>
                  <w:vAlign w:val="center"/>
                </w:tcPr>
                <w:p>
                  <w:pPr>
                    <w:widowControl/>
                    <w:rPr>
                      <w:rFonts w:hint="default" w:eastAsia="仿宋"/>
                      <w:b w:val="0"/>
                      <w:bCs/>
                      <w:color w:val="auto"/>
                      <w:szCs w:val="21"/>
                      <w:lang w:val="en-US" w:eastAsia="zh-CN"/>
                    </w:rPr>
                  </w:pPr>
                  <w:r>
                    <w:rPr>
                      <w:rFonts w:hint="eastAsia"/>
                      <w:b w:val="0"/>
                      <w:bCs/>
                      <w:color w:val="auto"/>
                      <w:szCs w:val="21"/>
                    </w:rPr>
                    <w:t>建设1条沥青混凝土生产线，设备型号为</w:t>
                  </w:r>
                  <w:r>
                    <w:rPr>
                      <w:rFonts w:hint="eastAsia"/>
                      <w:b w:val="0"/>
                      <w:bCs/>
                      <w:color w:val="auto"/>
                      <w:szCs w:val="21"/>
                      <w:highlight w:val="none"/>
                      <w:lang w:val="en-US" w:eastAsia="zh-CN"/>
                    </w:rPr>
                    <w:t>LR3015型沥青混合料厂拌热再生组合设备</w:t>
                  </w:r>
                  <w:r>
                    <w:rPr>
                      <w:rFonts w:hint="eastAsia" w:hAnsi="宋体"/>
                      <w:b w:val="0"/>
                      <w:bCs/>
                      <w:color w:val="auto"/>
                      <w:szCs w:val="21"/>
                    </w:rPr>
                    <w:t>，年产</w:t>
                  </w:r>
                  <w:r>
                    <w:rPr>
                      <w:rFonts w:hint="eastAsia"/>
                      <w:b w:val="0"/>
                      <w:bCs/>
                      <w:color w:val="auto"/>
                      <w:szCs w:val="21"/>
                    </w:rPr>
                    <w:t>沥青混凝土</w:t>
                  </w:r>
                  <w:r>
                    <w:rPr>
                      <w:rFonts w:hint="eastAsia"/>
                      <w:b w:val="0"/>
                      <w:bCs/>
                      <w:color w:val="auto"/>
                      <w:szCs w:val="21"/>
                      <w:lang w:val="en-US" w:eastAsia="zh-CN"/>
                    </w:rPr>
                    <w:t>5</w:t>
                  </w:r>
                  <w:r>
                    <w:rPr>
                      <w:rFonts w:hint="eastAsia"/>
                      <w:b w:val="0"/>
                      <w:bCs/>
                      <w:color w:val="auto"/>
                      <w:szCs w:val="21"/>
                    </w:rPr>
                    <w:t>万t/a</w:t>
                  </w:r>
                  <w:r>
                    <w:rPr>
                      <w:rFonts w:hint="eastAsia" w:hAnsi="宋体"/>
                      <w:b w:val="0"/>
                      <w:bCs/>
                      <w:color w:val="auto"/>
                      <w:szCs w:val="21"/>
                    </w:rPr>
                    <w:t>。</w:t>
                  </w:r>
                  <w:r>
                    <w:rPr>
                      <w:rFonts w:eastAsiaTheme="minorEastAsia"/>
                      <w:b w:val="0"/>
                      <w:bCs/>
                      <w:color w:val="auto"/>
                      <w:szCs w:val="21"/>
                    </w:rPr>
                    <w:t>包括上料口、传送带、搅拌设施，设置</w:t>
                  </w:r>
                  <w:r>
                    <w:rPr>
                      <w:rFonts w:hint="eastAsia" w:eastAsiaTheme="minorEastAsia"/>
                      <w:b w:val="0"/>
                      <w:bCs/>
                      <w:color w:val="auto"/>
                      <w:szCs w:val="21"/>
                      <w:lang w:val="en-US" w:eastAsia="zh-CN"/>
                    </w:rPr>
                    <w:t>2</w:t>
                  </w:r>
                  <w:r>
                    <w:rPr>
                      <w:rFonts w:eastAsiaTheme="minorEastAsia"/>
                      <w:b w:val="0"/>
                      <w:bCs/>
                      <w:color w:val="auto"/>
                      <w:szCs w:val="21"/>
                    </w:rPr>
                    <w:t>个</w:t>
                  </w:r>
                  <w:r>
                    <w:rPr>
                      <w:rFonts w:hint="eastAsia" w:eastAsiaTheme="minorEastAsia"/>
                      <w:b w:val="0"/>
                      <w:bCs/>
                      <w:color w:val="auto"/>
                      <w:szCs w:val="21"/>
                      <w:lang w:val="en-US" w:eastAsia="zh-CN"/>
                    </w:rPr>
                    <w:t>烘干</w:t>
                  </w:r>
                  <w:r>
                    <w:rPr>
                      <w:rFonts w:eastAsiaTheme="minorEastAsia"/>
                      <w:b w:val="0"/>
                      <w:bCs/>
                      <w:color w:val="auto"/>
                      <w:szCs w:val="21"/>
                    </w:rPr>
                    <w:t>筒，</w:t>
                  </w:r>
                  <w:r>
                    <w:rPr>
                      <w:rFonts w:hint="eastAsia" w:eastAsiaTheme="minorEastAsia"/>
                      <w:b w:val="0"/>
                      <w:bCs/>
                      <w:color w:val="auto"/>
                      <w:szCs w:val="21"/>
                      <w:lang w:val="en-US" w:eastAsia="zh-CN"/>
                    </w:rPr>
                    <w:t>骨料烘干</w:t>
                  </w:r>
                  <w:r>
                    <w:rPr>
                      <w:rFonts w:eastAsiaTheme="minorEastAsia"/>
                      <w:b w:val="0"/>
                      <w:bCs/>
                      <w:color w:val="auto"/>
                      <w:szCs w:val="21"/>
                    </w:rPr>
                    <w:t>热量由</w:t>
                  </w:r>
                  <w:r>
                    <w:rPr>
                      <w:rFonts w:hint="eastAsia" w:eastAsiaTheme="minorEastAsia"/>
                      <w:b w:val="0"/>
                      <w:bCs/>
                      <w:color w:val="auto"/>
                      <w:szCs w:val="21"/>
                      <w:lang w:val="en-US" w:eastAsia="zh-CN"/>
                    </w:rPr>
                    <w:t>2</w:t>
                  </w:r>
                  <w:r>
                    <w:rPr>
                      <w:rFonts w:eastAsiaTheme="minorEastAsia"/>
                      <w:b w:val="0"/>
                      <w:bCs/>
                      <w:color w:val="auto"/>
                      <w:szCs w:val="21"/>
                    </w:rPr>
                    <w:t>台</w:t>
                  </w:r>
                  <w:r>
                    <w:rPr>
                      <w:rFonts w:hint="eastAsia" w:eastAsiaTheme="minorEastAsia"/>
                      <w:b w:val="0"/>
                      <w:bCs/>
                      <w:color w:val="auto"/>
                      <w:szCs w:val="21"/>
                      <w:lang w:val="en-US" w:eastAsia="zh-CN"/>
                    </w:rPr>
                    <w:t>主</w:t>
                  </w:r>
                  <w:r>
                    <w:rPr>
                      <w:rFonts w:eastAsiaTheme="minorEastAsia"/>
                      <w:b w:val="0"/>
                      <w:bCs/>
                      <w:color w:val="auto"/>
                      <w:szCs w:val="21"/>
                    </w:rPr>
                    <w:t>燃烧器提供，</w:t>
                  </w:r>
                  <w:r>
                    <w:rPr>
                      <w:rFonts w:hint="eastAsia" w:eastAsiaTheme="minorEastAsia"/>
                      <w:b w:val="0"/>
                      <w:bCs/>
                      <w:color w:val="auto"/>
                      <w:szCs w:val="21"/>
                      <w:lang w:val="en-US" w:eastAsia="zh-CN"/>
                    </w:rPr>
                    <w:t>燃料为</w:t>
                  </w:r>
                  <w:r>
                    <w:rPr>
                      <w:rFonts w:hint="eastAsia"/>
                      <w:b w:val="0"/>
                      <w:bCs/>
                      <w:color w:val="auto"/>
                      <w:sz w:val="21"/>
                      <w:szCs w:val="21"/>
                      <w:highlight w:val="none"/>
                      <w:lang w:val="en-US" w:eastAsia="zh-CN"/>
                    </w:rPr>
                    <w:t>柴油，年用量150t</w:t>
                  </w:r>
                  <w:r>
                    <w:rPr>
                      <w:rFonts w:eastAsiaTheme="minorEastAsia"/>
                      <w:b w:val="0"/>
                      <w:bCs/>
                      <w:color w:val="auto"/>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5" w:type="pct"/>
                  <w:vMerge w:val="restar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rPr>
                    <w:t>储运工程</w:t>
                  </w:r>
                </w:p>
              </w:tc>
              <w:tc>
                <w:tcPr>
                  <w:tcW w:w="892" w:type="pct"/>
                  <w:shd w:val="clear" w:color="auto" w:fill="FFFFFF"/>
                  <w:vAlign w:val="center"/>
                </w:tcPr>
                <w:p>
                  <w:pPr>
                    <w:adjustRightInd w:val="0"/>
                    <w:snapToGrid w:val="0"/>
                    <w:jc w:val="center"/>
                    <w:textAlignment w:val="center"/>
                    <w:rPr>
                      <w:b w:val="0"/>
                      <w:bCs/>
                      <w:color w:val="auto"/>
                      <w:kern w:val="0"/>
                      <w:szCs w:val="21"/>
                    </w:rPr>
                  </w:pPr>
                  <w:r>
                    <w:rPr>
                      <w:rFonts w:hint="eastAsia"/>
                      <w:b w:val="0"/>
                      <w:bCs/>
                      <w:color w:val="auto"/>
                      <w:kern w:val="0"/>
                      <w:szCs w:val="21"/>
                    </w:rPr>
                    <w:t>原料堆场</w:t>
                  </w:r>
                </w:p>
              </w:tc>
              <w:tc>
                <w:tcPr>
                  <w:tcW w:w="2741" w:type="pct"/>
                  <w:shd w:val="clear" w:color="auto" w:fill="FFFFFF"/>
                  <w:vAlign w:val="center"/>
                </w:tcPr>
                <w:p>
                  <w:pPr>
                    <w:pStyle w:val="173"/>
                    <w:adjustRightInd w:val="0"/>
                    <w:snapToGrid w:val="0"/>
                    <w:spacing w:line="240" w:lineRule="auto"/>
                    <w:jc w:val="both"/>
                    <w:textAlignment w:val="center"/>
                    <w:rPr>
                      <w:rFonts w:ascii="Times New Roman" w:hAnsi="Times New Roman"/>
                      <w:b w:val="0"/>
                      <w:bCs/>
                      <w:color w:val="auto"/>
                      <w:sz w:val="21"/>
                      <w:szCs w:val="21"/>
                    </w:rPr>
                  </w:pPr>
                  <w:r>
                    <w:rPr>
                      <w:rFonts w:cs="宋体"/>
                      <w:b w:val="0"/>
                      <w:bCs/>
                      <w:color w:val="auto"/>
                      <w:spacing w:val="-8"/>
                      <w:sz w:val="21"/>
                      <w:szCs w:val="21"/>
                    </w:rPr>
                    <w:t>建</w:t>
                  </w:r>
                  <w:r>
                    <w:rPr>
                      <w:rFonts w:cs="宋体"/>
                      <w:b w:val="0"/>
                      <w:bCs/>
                      <w:color w:val="auto"/>
                      <w:spacing w:val="-4"/>
                      <w:sz w:val="21"/>
                      <w:szCs w:val="21"/>
                    </w:rPr>
                    <w:t>筑面积</w:t>
                  </w:r>
                  <w:r>
                    <w:rPr>
                      <w:rFonts w:hint="eastAsia" w:ascii="Times New Roman" w:hAnsi="Times New Roman"/>
                      <w:b w:val="0"/>
                      <w:bCs/>
                      <w:color w:val="auto"/>
                      <w:spacing w:val="-4"/>
                      <w:sz w:val="21"/>
                      <w:szCs w:val="21"/>
                      <w:highlight w:val="none"/>
                      <w:lang w:val="en-US" w:eastAsia="zh-CN"/>
                    </w:rPr>
                    <w:t>6</w:t>
                  </w:r>
                  <w:r>
                    <w:rPr>
                      <w:rFonts w:hint="eastAsia" w:ascii="Times New Roman" w:hAnsi="Times New Roman"/>
                      <w:b w:val="0"/>
                      <w:bCs/>
                      <w:color w:val="auto"/>
                      <w:spacing w:val="-4"/>
                      <w:sz w:val="21"/>
                      <w:szCs w:val="21"/>
                      <w:highlight w:val="none"/>
                    </w:rPr>
                    <w:t>0</w:t>
                  </w:r>
                  <w:r>
                    <w:rPr>
                      <w:rFonts w:ascii="Times New Roman" w:hAnsi="Times New Roman" w:eastAsia="Times New Roman"/>
                      <w:b w:val="0"/>
                      <w:bCs/>
                      <w:color w:val="auto"/>
                      <w:spacing w:val="-4"/>
                      <w:sz w:val="21"/>
                      <w:szCs w:val="21"/>
                      <w:highlight w:val="none"/>
                    </w:rPr>
                    <w:t>00m</w:t>
                  </w:r>
                  <w:r>
                    <w:rPr>
                      <w:rFonts w:ascii="Times New Roman" w:hAnsi="Times New Roman" w:eastAsia="Times New Roman"/>
                      <w:b w:val="0"/>
                      <w:bCs/>
                      <w:color w:val="auto"/>
                      <w:spacing w:val="-4"/>
                      <w:position w:val="7"/>
                      <w:sz w:val="14"/>
                      <w:szCs w:val="14"/>
                      <w:highlight w:val="none"/>
                    </w:rPr>
                    <w:t>2</w:t>
                  </w:r>
                  <w:r>
                    <w:rPr>
                      <w:rFonts w:cs="宋体"/>
                      <w:b w:val="0"/>
                      <w:bCs/>
                      <w:color w:val="auto"/>
                      <w:spacing w:val="-4"/>
                      <w:sz w:val="21"/>
                      <w:szCs w:val="21"/>
                    </w:rPr>
                    <w:t>，主要用于原料碎石</w:t>
                  </w:r>
                  <w:r>
                    <w:rPr>
                      <w:rFonts w:hint="eastAsia" w:cs="宋体"/>
                      <w:b w:val="0"/>
                      <w:bCs/>
                      <w:color w:val="auto"/>
                      <w:spacing w:val="-4"/>
                      <w:sz w:val="21"/>
                      <w:szCs w:val="21"/>
                      <w:lang w:eastAsia="zh-CN"/>
                    </w:rPr>
                    <w:t>、</w:t>
                  </w:r>
                  <w:r>
                    <w:rPr>
                      <w:rFonts w:hint="eastAsia" w:cs="宋体"/>
                      <w:b w:val="0"/>
                      <w:bCs/>
                      <w:color w:val="auto"/>
                      <w:spacing w:val="-4"/>
                      <w:sz w:val="21"/>
                      <w:szCs w:val="21"/>
                      <w:lang w:val="en-US" w:eastAsia="zh-CN"/>
                    </w:rPr>
                    <w:t>机制砂</w:t>
                  </w:r>
                  <w:r>
                    <w:rPr>
                      <w:rFonts w:cs="宋体"/>
                      <w:b w:val="0"/>
                      <w:bCs/>
                      <w:color w:val="auto"/>
                      <w:spacing w:val="-4"/>
                      <w:sz w:val="21"/>
                      <w:szCs w:val="21"/>
                    </w:rPr>
                    <w:t>存储，露天堆放，</w:t>
                  </w:r>
                  <w:r>
                    <w:rPr>
                      <w:rFonts w:hint="eastAsia" w:cs="宋体"/>
                      <w:b w:val="0"/>
                      <w:bCs/>
                      <w:color w:val="auto"/>
                      <w:spacing w:val="-4"/>
                      <w:sz w:val="21"/>
                      <w:szCs w:val="21"/>
                      <w:lang w:val="en-US" w:eastAsia="zh-CN"/>
                    </w:rPr>
                    <w:t>堆场利用</w:t>
                  </w:r>
                  <w:r>
                    <w:rPr>
                      <w:rFonts w:hint="eastAsia" w:cs="宋体"/>
                      <w:b w:val="0"/>
                      <w:bCs/>
                      <w:strike w:val="0"/>
                      <w:dstrike w:val="0"/>
                      <w:color w:val="auto"/>
                      <w:sz w:val="21"/>
                      <w:szCs w:val="21"/>
                      <w:highlight w:val="none"/>
                      <w:lang w:val="en-US" w:eastAsia="zh-CN"/>
                    </w:rPr>
                    <w:t>8米高雨棚</w:t>
                  </w:r>
                  <w:r>
                    <w:rPr>
                      <w:rFonts w:hint="eastAsia" w:ascii="宋体" w:hAnsi="宋体" w:eastAsia="宋体" w:cs="宋体"/>
                      <w:b w:val="0"/>
                      <w:bCs/>
                      <w:strike w:val="0"/>
                      <w:dstrike w:val="0"/>
                      <w:color w:val="auto"/>
                      <w:sz w:val="21"/>
                      <w:szCs w:val="21"/>
                      <w:lang w:val="en-US" w:eastAsia="zh-CN"/>
                    </w:rPr>
                    <w:t>,并采用</w:t>
                  </w:r>
                  <w:r>
                    <w:rPr>
                      <w:rFonts w:hint="eastAsia" w:cs="宋体"/>
                      <w:b w:val="0"/>
                      <w:bCs/>
                      <w:color w:val="auto"/>
                      <w:spacing w:val="-1"/>
                      <w:sz w:val="21"/>
                      <w:szCs w:val="21"/>
                      <w:lang w:val="en-US" w:eastAsia="zh-CN"/>
                    </w:rPr>
                    <w:t>定期洒水降尘</w:t>
                  </w:r>
                  <w:r>
                    <w:rPr>
                      <w:rFonts w:cs="宋体"/>
                      <w:b w:val="0"/>
                      <w:bCs/>
                      <w:color w:val="auto"/>
                      <w:sz w:val="21"/>
                      <w:szCs w:val="21"/>
                    </w:rPr>
                    <w:t>。</w:t>
                  </w:r>
                  <w:r>
                    <w:rPr>
                      <w:rFonts w:hint="eastAsia" w:cs="宋体"/>
                      <w:b w:val="0"/>
                      <w:bCs/>
                      <w:color w:val="auto"/>
                      <w:spacing w:val="-4"/>
                      <w:sz w:val="21"/>
                      <w:szCs w:val="21"/>
                      <w:lang w:val="en-US" w:eastAsia="zh-CN"/>
                    </w:rPr>
                    <w:t>堆场增设</w:t>
                  </w:r>
                  <w:r>
                    <w:rPr>
                      <w:rFonts w:hint="eastAsia" w:ascii="宋体" w:hAnsi="宋体" w:eastAsia="宋体" w:cs="宋体"/>
                      <w:b w:val="0"/>
                      <w:bCs/>
                      <w:strike w:val="0"/>
                      <w:dstrike w:val="0"/>
                      <w:color w:val="auto"/>
                      <w:sz w:val="21"/>
                      <w:szCs w:val="21"/>
                      <w:lang w:val="en-US" w:eastAsia="zh-CN"/>
                    </w:rPr>
                    <w:t>不低于堆放物高度（2.5m）的严密围挡,并采用</w:t>
                  </w:r>
                  <w:r>
                    <w:rPr>
                      <w:rFonts w:hint="eastAsia" w:cs="宋体"/>
                      <w:b w:val="0"/>
                      <w:bCs/>
                      <w:color w:val="auto"/>
                      <w:spacing w:val="-1"/>
                      <w:sz w:val="21"/>
                      <w:szCs w:val="21"/>
                      <w:lang w:val="en-US" w:eastAsia="zh-CN"/>
                    </w:rPr>
                    <w:t>定期洒水降尘</w:t>
                  </w:r>
                  <w:r>
                    <w:rPr>
                      <w:rFonts w:cs="宋体"/>
                      <w:b w:val="0"/>
                      <w:bCs/>
                      <w:color w:val="auto"/>
                      <w:sz w:val="21"/>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eastAsia="宋体"/>
                      <w:b w:val="0"/>
                      <w:bCs/>
                      <w:color w:val="auto"/>
                      <w:szCs w:val="21"/>
                      <w:lang w:val="en-US" w:eastAsia="zh-CN"/>
                    </w:rPr>
                  </w:pPr>
                  <w:r>
                    <w:rPr>
                      <w:rFonts w:hint="eastAsia"/>
                      <w:b w:val="0"/>
                      <w:bCs/>
                      <w:color w:val="auto"/>
                      <w:szCs w:val="21"/>
                    </w:rPr>
                    <w:t>依托</w:t>
                  </w:r>
                  <w:r>
                    <w:rPr>
                      <w:rFonts w:hint="eastAsia"/>
                      <w:b w:val="0"/>
                      <w:bCs/>
                      <w:color w:val="auto"/>
                      <w:szCs w:val="21"/>
                      <w:lang w:val="en-US" w:eastAsia="zh-CN"/>
                    </w:rPr>
                    <w:t>现有并改造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rFonts w:hint="eastAsia"/>
                      <w:b w:val="0"/>
                      <w:bCs/>
                      <w:color w:val="auto"/>
                      <w:szCs w:val="21"/>
                    </w:rPr>
                  </w:pPr>
                </w:p>
              </w:tc>
              <w:tc>
                <w:tcPr>
                  <w:tcW w:w="892" w:type="pct"/>
                  <w:shd w:val="clear" w:color="auto" w:fill="FFFFFF"/>
                  <w:vAlign w:val="center"/>
                </w:tcPr>
                <w:p>
                  <w:pPr>
                    <w:adjustRightInd w:val="0"/>
                    <w:snapToGrid w:val="0"/>
                    <w:jc w:val="center"/>
                    <w:textAlignment w:val="center"/>
                    <w:rPr>
                      <w:rFonts w:hint="default" w:eastAsia="宋体"/>
                      <w:b w:val="0"/>
                      <w:bCs/>
                      <w:color w:val="auto"/>
                      <w:kern w:val="0"/>
                      <w:szCs w:val="21"/>
                      <w:lang w:val="en-US" w:eastAsia="zh-CN"/>
                    </w:rPr>
                  </w:pPr>
                  <w:r>
                    <w:rPr>
                      <w:rFonts w:hint="eastAsia"/>
                      <w:b w:val="0"/>
                      <w:bCs/>
                      <w:color w:val="auto"/>
                      <w:kern w:val="0"/>
                      <w:szCs w:val="21"/>
                      <w:lang w:val="en-US" w:eastAsia="zh-CN"/>
                    </w:rPr>
                    <w:t>危废贮存点</w:t>
                  </w:r>
                </w:p>
              </w:tc>
              <w:tc>
                <w:tcPr>
                  <w:tcW w:w="2741" w:type="pct"/>
                  <w:shd w:val="clear" w:color="auto" w:fill="FFFFFF"/>
                  <w:vAlign w:val="center"/>
                </w:tcPr>
                <w:p>
                  <w:pPr>
                    <w:pStyle w:val="173"/>
                    <w:adjustRightInd w:val="0"/>
                    <w:snapToGrid w:val="0"/>
                    <w:spacing w:line="240" w:lineRule="auto"/>
                    <w:jc w:val="both"/>
                    <w:textAlignment w:val="center"/>
                    <w:rPr>
                      <w:rFonts w:hint="eastAsia" w:eastAsia="宋体" w:cs="宋体"/>
                      <w:b w:val="0"/>
                      <w:bCs/>
                      <w:color w:val="auto"/>
                      <w:spacing w:val="-8"/>
                      <w:sz w:val="21"/>
                      <w:szCs w:val="21"/>
                      <w:lang w:eastAsia="zh-CN"/>
                    </w:rPr>
                  </w:pPr>
                  <w:r>
                    <w:rPr>
                      <w:rFonts w:hint="eastAsia"/>
                      <w:b w:val="0"/>
                      <w:bCs/>
                      <w:color w:val="auto"/>
                      <w:sz w:val="21"/>
                      <w:szCs w:val="21"/>
                    </w:rPr>
                    <w:t>建设危废</w:t>
                  </w:r>
                  <w:r>
                    <w:rPr>
                      <w:rFonts w:hint="eastAsia"/>
                      <w:b w:val="0"/>
                      <w:bCs/>
                      <w:color w:val="auto"/>
                      <w:sz w:val="21"/>
                      <w:szCs w:val="21"/>
                      <w:lang w:val="en-US" w:eastAsia="zh-CN"/>
                    </w:rPr>
                    <w:t>贮存点</w:t>
                  </w:r>
                  <w:r>
                    <w:rPr>
                      <w:rFonts w:hint="eastAsia"/>
                      <w:b w:val="0"/>
                      <w:bCs/>
                      <w:color w:val="auto"/>
                      <w:sz w:val="21"/>
                      <w:szCs w:val="21"/>
                    </w:rPr>
                    <w:t>建筑面积为</w:t>
                  </w:r>
                  <w:r>
                    <w:rPr>
                      <w:rFonts w:hint="eastAsia"/>
                      <w:b w:val="0"/>
                      <w:bCs/>
                      <w:color w:val="auto"/>
                      <w:sz w:val="21"/>
                      <w:szCs w:val="21"/>
                      <w:lang w:val="en-US" w:eastAsia="zh-CN"/>
                    </w:rPr>
                    <w:t>2</w:t>
                  </w:r>
                  <w:r>
                    <w:rPr>
                      <w:rFonts w:hint="eastAsia"/>
                      <w:b w:val="0"/>
                      <w:bCs/>
                      <w:color w:val="auto"/>
                      <w:sz w:val="21"/>
                      <w:szCs w:val="21"/>
                    </w:rPr>
                    <w:t>5m</w:t>
                  </w:r>
                  <w:r>
                    <w:rPr>
                      <w:rFonts w:hint="eastAsia"/>
                      <w:b w:val="0"/>
                      <w:bCs/>
                      <w:color w:val="auto"/>
                      <w:sz w:val="21"/>
                      <w:szCs w:val="21"/>
                      <w:vertAlign w:val="superscript"/>
                    </w:rPr>
                    <w:t>2</w:t>
                  </w:r>
                  <w:r>
                    <w:rPr>
                      <w:rFonts w:hint="eastAsia"/>
                      <w:b w:val="0"/>
                      <w:bCs/>
                      <w:color w:val="auto"/>
                      <w:sz w:val="21"/>
                      <w:szCs w:val="21"/>
                    </w:rPr>
                    <w:t>，设置在</w:t>
                  </w:r>
                  <w:r>
                    <w:rPr>
                      <w:rFonts w:hint="eastAsia"/>
                      <w:b w:val="0"/>
                      <w:bCs/>
                      <w:color w:val="auto"/>
                      <w:sz w:val="21"/>
                      <w:szCs w:val="21"/>
                      <w:highlight w:val="none"/>
                    </w:rPr>
                    <w:t>办公</w:t>
                  </w:r>
                  <w:r>
                    <w:rPr>
                      <w:rFonts w:hint="eastAsia"/>
                      <w:b w:val="0"/>
                      <w:bCs/>
                      <w:color w:val="auto"/>
                      <w:sz w:val="21"/>
                      <w:szCs w:val="21"/>
                      <w:highlight w:val="none"/>
                      <w:lang w:val="en-US" w:eastAsia="zh-CN"/>
                    </w:rPr>
                    <w:t>楼中独立区域</w:t>
                  </w:r>
                  <w:r>
                    <w:rPr>
                      <w:rFonts w:hint="eastAsia"/>
                      <w:b w:val="0"/>
                      <w:bCs/>
                      <w:color w:val="auto"/>
                      <w:sz w:val="21"/>
                      <w:szCs w:val="21"/>
                      <w:lang w:eastAsia="zh-CN"/>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eastAsia="宋体"/>
                      <w:b w:val="0"/>
                      <w:bCs/>
                      <w:color w:val="auto"/>
                      <w:szCs w:val="21"/>
                      <w:lang w:val="en-US" w:eastAsia="zh-CN"/>
                    </w:rPr>
                  </w:pPr>
                  <w:r>
                    <w:rPr>
                      <w:rFonts w:hint="eastAsia"/>
                      <w:b w:val="0"/>
                      <w:bCs/>
                      <w:color w:val="auto"/>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892" w:type="pct"/>
                  <w:shd w:val="clear" w:color="auto" w:fill="FFFFFF"/>
                  <w:vAlign w:val="center"/>
                </w:tcPr>
                <w:p>
                  <w:pPr>
                    <w:adjustRightInd w:val="0"/>
                    <w:snapToGrid w:val="0"/>
                    <w:jc w:val="center"/>
                    <w:textAlignment w:val="center"/>
                    <w:rPr>
                      <w:b w:val="0"/>
                      <w:bCs/>
                      <w:color w:val="auto"/>
                      <w:kern w:val="0"/>
                      <w:szCs w:val="21"/>
                    </w:rPr>
                  </w:pPr>
                  <w:r>
                    <w:rPr>
                      <w:rFonts w:hint="eastAsia"/>
                      <w:b w:val="0"/>
                      <w:bCs/>
                      <w:color w:val="auto"/>
                      <w:kern w:val="0"/>
                      <w:szCs w:val="21"/>
                    </w:rPr>
                    <w:t>矿粉筒仓</w:t>
                  </w:r>
                </w:p>
              </w:tc>
              <w:tc>
                <w:tcPr>
                  <w:tcW w:w="2741" w:type="pct"/>
                  <w:shd w:val="clear" w:color="auto" w:fill="FFFFFF"/>
                  <w:vAlign w:val="center"/>
                </w:tcPr>
                <w:p>
                  <w:pPr>
                    <w:pStyle w:val="173"/>
                    <w:adjustRightInd w:val="0"/>
                    <w:snapToGrid w:val="0"/>
                    <w:spacing w:line="240" w:lineRule="auto"/>
                    <w:jc w:val="both"/>
                    <w:textAlignment w:val="center"/>
                    <w:rPr>
                      <w:rFonts w:ascii="Times New Roman" w:hAnsi="Times New Roman"/>
                      <w:b w:val="0"/>
                      <w:bCs/>
                      <w:color w:val="auto"/>
                      <w:sz w:val="21"/>
                      <w:szCs w:val="21"/>
                    </w:rPr>
                  </w:pPr>
                  <w:r>
                    <w:rPr>
                      <w:rFonts w:hint="eastAsia" w:ascii="Times New Roman" w:hAnsi="Times New Roman"/>
                      <w:b w:val="0"/>
                      <w:bCs/>
                      <w:color w:val="auto"/>
                      <w:kern w:val="0"/>
                      <w:sz w:val="21"/>
                      <w:szCs w:val="21"/>
                    </w:rPr>
                    <w:t>本项目建设</w:t>
                  </w:r>
                  <w:r>
                    <w:rPr>
                      <w:rFonts w:hint="eastAsia" w:ascii="Times New Roman" w:hAnsi="Times New Roman"/>
                      <w:b w:val="0"/>
                      <w:bCs/>
                      <w:color w:val="auto"/>
                      <w:kern w:val="0"/>
                      <w:sz w:val="21"/>
                      <w:szCs w:val="21"/>
                      <w:lang w:val="en-US" w:eastAsia="zh-CN"/>
                    </w:rPr>
                    <w:t>2</w:t>
                  </w:r>
                  <w:r>
                    <w:rPr>
                      <w:rFonts w:hint="eastAsia" w:ascii="Times New Roman" w:hAnsi="Times New Roman"/>
                      <w:b w:val="0"/>
                      <w:bCs/>
                      <w:color w:val="auto"/>
                      <w:kern w:val="0"/>
                      <w:sz w:val="21"/>
                      <w:szCs w:val="21"/>
                    </w:rPr>
                    <w:t>座矿粉储罐，</w:t>
                  </w:r>
                  <w:r>
                    <w:rPr>
                      <w:rFonts w:hint="eastAsia" w:ascii="宋体" w:hAnsi="宋体" w:eastAsia="宋体" w:cs="宋体"/>
                      <w:b w:val="0"/>
                      <w:bCs/>
                      <w:color w:val="auto"/>
                      <w:spacing w:val="11"/>
                      <w:sz w:val="21"/>
                      <w:szCs w:val="21"/>
                    </w:rPr>
                    <w:t>上仓矿粉仓60m³,下仓回收粉仓46m³</w:t>
                  </w:r>
                  <w:r>
                    <w:rPr>
                      <w:rFonts w:hint="eastAsia" w:ascii="Times New Roman" w:hAnsi="Times New Roman"/>
                      <w:b w:val="0"/>
                      <w:bCs/>
                      <w:color w:val="auto"/>
                      <w:kern w:val="0"/>
                      <w:sz w:val="21"/>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892" w:type="pct"/>
                  <w:shd w:val="clear" w:color="auto" w:fill="FFFFFF"/>
                  <w:vAlign w:val="center"/>
                </w:tcPr>
                <w:p>
                  <w:pPr>
                    <w:adjustRightInd w:val="0"/>
                    <w:snapToGrid w:val="0"/>
                    <w:jc w:val="center"/>
                    <w:textAlignment w:val="center"/>
                    <w:rPr>
                      <w:b w:val="0"/>
                      <w:bCs/>
                      <w:color w:val="auto"/>
                      <w:kern w:val="0"/>
                      <w:szCs w:val="21"/>
                    </w:rPr>
                  </w:pPr>
                  <w:r>
                    <w:rPr>
                      <w:rFonts w:hint="eastAsia"/>
                      <w:b w:val="0"/>
                      <w:bCs/>
                      <w:color w:val="auto"/>
                      <w:kern w:val="0"/>
                      <w:szCs w:val="21"/>
                    </w:rPr>
                    <w:t>沥青储罐</w:t>
                  </w:r>
                </w:p>
              </w:tc>
              <w:tc>
                <w:tcPr>
                  <w:tcW w:w="2741" w:type="pct"/>
                  <w:shd w:val="clear" w:color="auto" w:fill="FFFFFF"/>
                  <w:vAlign w:val="center"/>
                </w:tcPr>
                <w:p>
                  <w:pPr>
                    <w:pStyle w:val="173"/>
                    <w:adjustRightInd w:val="0"/>
                    <w:snapToGrid w:val="0"/>
                    <w:spacing w:line="240" w:lineRule="auto"/>
                    <w:jc w:val="both"/>
                    <w:textAlignment w:val="center"/>
                    <w:rPr>
                      <w:rFonts w:ascii="Times New Roman" w:hAnsi="Times New Roman"/>
                      <w:b w:val="0"/>
                      <w:bCs/>
                      <w:color w:val="auto"/>
                      <w:kern w:val="0"/>
                      <w:sz w:val="21"/>
                      <w:szCs w:val="21"/>
                    </w:rPr>
                  </w:pPr>
                  <w:r>
                    <w:rPr>
                      <w:rFonts w:hint="eastAsia"/>
                      <w:b w:val="0"/>
                      <w:bCs/>
                      <w:color w:val="auto"/>
                      <w:sz w:val="21"/>
                      <w:szCs w:val="21"/>
                      <w:lang w:val="en-US" w:eastAsia="zh-CN"/>
                    </w:rPr>
                    <w:t>利用现有6</w:t>
                  </w:r>
                  <w:r>
                    <w:rPr>
                      <w:rFonts w:hint="eastAsia"/>
                      <w:b w:val="0"/>
                      <w:bCs/>
                      <w:color w:val="auto"/>
                      <w:sz w:val="21"/>
                      <w:szCs w:val="21"/>
                    </w:rPr>
                    <w:t>座沥青储罐，</w:t>
                  </w:r>
                  <w:r>
                    <w:rPr>
                      <w:rFonts w:hint="eastAsia"/>
                      <w:b w:val="0"/>
                      <w:bCs/>
                      <w:color w:val="auto"/>
                      <w:sz w:val="21"/>
                      <w:szCs w:val="21"/>
                      <w:lang w:val="en-US" w:eastAsia="zh-CN"/>
                    </w:rPr>
                    <w:t>5</w:t>
                  </w:r>
                  <w:r>
                    <w:rPr>
                      <w:rFonts w:hint="eastAsia"/>
                      <w:b w:val="0"/>
                      <w:bCs/>
                      <w:color w:val="auto"/>
                      <w:sz w:val="21"/>
                      <w:szCs w:val="21"/>
                    </w:rPr>
                    <w:t>个</w:t>
                  </w:r>
                  <w:r>
                    <w:rPr>
                      <w:rFonts w:hint="eastAsia"/>
                      <w:b w:val="0"/>
                      <w:bCs/>
                      <w:color w:val="auto"/>
                      <w:sz w:val="21"/>
                      <w:szCs w:val="21"/>
                      <w:lang w:val="en-US" w:eastAsia="zh-CN"/>
                    </w:rPr>
                    <w:t>单个容积35t转存储存罐</w:t>
                  </w:r>
                  <w:r>
                    <w:rPr>
                      <w:rFonts w:hint="eastAsia"/>
                      <w:b w:val="0"/>
                      <w:bCs/>
                      <w:color w:val="auto"/>
                      <w:sz w:val="21"/>
                      <w:szCs w:val="21"/>
                    </w:rPr>
                    <w:t>，1个</w:t>
                  </w:r>
                  <w:r>
                    <w:rPr>
                      <w:rFonts w:hint="eastAsia"/>
                      <w:b w:val="0"/>
                      <w:bCs/>
                      <w:color w:val="auto"/>
                      <w:sz w:val="21"/>
                      <w:szCs w:val="21"/>
                      <w:lang w:val="en-US" w:eastAsia="zh-CN"/>
                    </w:rPr>
                    <w:t>2000t低温储存罐</w:t>
                  </w:r>
                  <w:r>
                    <w:rPr>
                      <w:rFonts w:hint="eastAsia"/>
                      <w:b w:val="0"/>
                      <w:bCs/>
                      <w:color w:val="auto"/>
                      <w:sz w:val="21"/>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1584" w:type="dxa"/>
                  <w:shd w:val="clear" w:color="auto" w:fill="FFFFFF"/>
                  <w:vAlign w:val="center"/>
                </w:tcPr>
                <w:p>
                  <w:pPr>
                    <w:spacing w:line="0" w:lineRule="atLeast"/>
                    <w:contextualSpacing/>
                    <w:jc w:val="center"/>
                    <w:rPr>
                      <w:rFonts w:hint="eastAsia"/>
                      <w:b w:val="0"/>
                      <w:bCs/>
                      <w:color w:val="auto"/>
                      <w:kern w:val="0"/>
                      <w:szCs w:val="21"/>
                    </w:rPr>
                  </w:pPr>
                  <w:r>
                    <w:rPr>
                      <w:rFonts w:hint="eastAsia" w:eastAsiaTheme="minorEastAsia"/>
                      <w:b w:val="0"/>
                      <w:bCs/>
                      <w:color w:val="auto"/>
                      <w:szCs w:val="21"/>
                      <w:highlight w:val="none"/>
                      <w:lang w:val="en-US" w:eastAsia="zh-CN"/>
                    </w:rPr>
                    <w:t>油储罐</w:t>
                  </w:r>
                </w:p>
              </w:tc>
              <w:tc>
                <w:tcPr>
                  <w:tcW w:w="4867" w:type="dxa"/>
                  <w:shd w:val="clear" w:color="auto" w:fill="FFFFFF"/>
                  <w:vAlign w:val="center"/>
                </w:tcPr>
                <w:p>
                  <w:pPr>
                    <w:spacing w:line="0" w:lineRule="atLeast"/>
                    <w:ind w:left="105" w:leftChars="0" w:hanging="105" w:hangingChars="50"/>
                    <w:contextualSpacing/>
                    <w:rPr>
                      <w:rFonts w:hint="eastAsia" w:ascii="Times New Roman" w:hAnsi="Times New Roman" w:eastAsiaTheme="minorEastAsia"/>
                      <w:b w:val="0"/>
                      <w:bCs/>
                      <w:color w:val="auto"/>
                      <w:kern w:val="0"/>
                      <w:sz w:val="21"/>
                      <w:szCs w:val="21"/>
                      <w:lang w:eastAsia="zh-CN"/>
                    </w:rPr>
                  </w:pPr>
                  <w:r>
                    <w:rPr>
                      <w:rFonts w:hint="eastAsia" w:eastAsiaTheme="minorEastAsia"/>
                      <w:b w:val="0"/>
                      <w:bCs/>
                      <w:color w:val="auto"/>
                      <w:kern w:val="0"/>
                      <w:sz w:val="21"/>
                      <w:szCs w:val="21"/>
                      <w:highlight w:val="none"/>
                      <w:lang w:val="en-US" w:eastAsia="zh-CN"/>
                    </w:rPr>
                    <w:t>利用现有1台40t油罐。</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eastAsia="宋体"/>
                      <w:b w:val="0"/>
                      <w:bCs/>
                      <w:color w:val="auto"/>
                      <w:szCs w:val="21"/>
                      <w:lang w:val="en-US" w:eastAsia="zh-CN"/>
                    </w:rPr>
                  </w:pPr>
                  <w:r>
                    <w:rPr>
                      <w:rFonts w:hint="eastAsia"/>
                      <w:b w:val="0"/>
                      <w:bCs/>
                      <w:color w:val="auto"/>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892" w:type="pct"/>
                  <w:shd w:val="clear" w:color="auto" w:fill="FFFFFF"/>
                  <w:vAlign w:val="center"/>
                </w:tcPr>
                <w:p>
                  <w:pPr>
                    <w:spacing w:line="0" w:lineRule="atLeast"/>
                    <w:contextualSpacing/>
                    <w:jc w:val="center"/>
                    <w:rPr>
                      <w:rFonts w:hint="eastAsia" w:eastAsiaTheme="minorEastAsia"/>
                      <w:b w:val="0"/>
                      <w:bCs/>
                      <w:color w:val="auto"/>
                      <w:szCs w:val="21"/>
                    </w:rPr>
                  </w:pPr>
                  <w:r>
                    <w:rPr>
                      <w:rFonts w:hint="eastAsia" w:eastAsiaTheme="minorEastAsia"/>
                      <w:b w:val="0"/>
                      <w:bCs/>
                      <w:color w:val="auto"/>
                      <w:kern w:val="0"/>
                      <w:szCs w:val="21"/>
                    </w:rPr>
                    <w:t>初期雨水池</w:t>
                  </w:r>
                </w:p>
              </w:tc>
              <w:tc>
                <w:tcPr>
                  <w:tcW w:w="2741" w:type="pct"/>
                  <w:shd w:val="clear" w:color="auto" w:fill="FFFFFF"/>
                  <w:vAlign w:val="center"/>
                </w:tcPr>
                <w:p>
                  <w:pPr>
                    <w:spacing w:line="0" w:lineRule="atLeast"/>
                    <w:ind w:left="105" w:leftChars="0" w:hanging="105" w:hangingChars="50"/>
                    <w:contextualSpacing/>
                    <w:rPr>
                      <w:rFonts w:eastAsiaTheme="minorEastAsia"/>
                      <w:b w:val="0"/>
                      <w:bCs/>
                      <w:color w:val="auto"/>
                      <w:szCs w:val="21"/>
                    </w:rPr>
                  </w:pPr>
                  <w:r>
                    <w:rPr>
                      <w:rFonts w:hint="eastAsia" w:eastAsiaTheme="minorEastAsia"/>
                      <w:b w:val="0"/>
                      <w:bCs/>
                      <w:color w:val="auto"/>
                      <w:kern w:val="0"/>
                      <w:szCs w:val="21"/>
                    </w:rPr>
                    <w:t>沥青搅拌站生产装置区域设置1座</w:t>
                  </w:r>
                  <w:r>
                    <w:rPr>
                      <w:rFonts w:hint="eastAsia" w:eastAsiaTheme="minorEastAsia"/>
                      <w:b w:val="0"/>
                      <w:bCs/>
                      <w:color w:val="auto"/>
                      <w:kern w:val="0"/>
                      <w:szCs w:val="21"/>
                      <w:highlight w:val="none"/>
                      <w:lang w:val="en-US" w:eastAsia="zh-CN"/>
                    </w:rPr>
                    <w:t>100</w:t>
                  </w:r>
                  <w:r>
                    <w:rPr>
                      <w:rFonts w:hint="eastAsia" w:eastAsiaTheme="minorEastAsia"/>
                      <w:b w:val="0"/>
                      <w:bCs/>
                      <w:color w:val="auto"/>
                      <w:kern w:val="0"/>
                      <w:szCs w:val="21"/>
                      <w:highlight w:val="none"/>
                    </w:rPr>
                    <w:t>m</w:t>
                  </w:r>
                  <w:r>
                    <w:rPr>
                      <w:rFonts w:hint="eastAsia" w:eastAsiaTheme="minorEastAsia"/>
                      <w:b w:val="0"/>
                      <w:bCs/>
                      <w:color w:val="auto"/>
                      <w:kern w:val="0"/>
                      <w:szCs w:val="21"/>
                      <w:highlight w:val="none"/>
                      <w:vertAlign w:val="superscript"/>
                    </w:rPr>
                    <w:t>3</w:t>
                  </w:r>
                  <w:r>
                    <w:rPr>
                      <w:rFonts w:hint="eastAsia" w:eastAsiaTheme="minorEastAsia"/>
                      <w:b w:val="0"/>
                      <w:bCs/>
                      <w:color w:val="auto"/>
                      <w:kern w:val="0"/>
                      <w:szCs w:val="21"/>
                      <w:lang w:val="en-US" w:eastAsia="zh-CN"/>
                    </w:rPr>
                    <w:t>隔油沉淀</w:t>
                  </w:r>
                  <w:r>
                    <w:rPr>
                      <w:rFonts w:hint="eastAsia" w:eastAsiaTheme="minorEastAsia"/>
                      <w:b w:val="0"/>
                      <w:bCs/>
                      <w:color w:val="auto"/>
                      <w:kern w:val="0"/>
                      <w:szCs w:val="21"/>
                    </w:rPr>
                    <w:t>池，</w:t>
                  </w:r>
                  <w:r>
                    <w:rPr>
                      <w:rFonts w:hAnsiTheme="minorEastAsia" w:eastAsiaTheme="minorEastAsia"/>
                      <w:b w:val="0"/>
                      <w:bCs/>
                      <w:color w:val="auto"/>
                      <w:szCs w:val="21"/>
                    </w:rPr>
                    <w:t>初期雨水经厂区四周排水沟汇入</w:t>
                  </w:r>
                  <w:r>
                    <w:rPr>
                      <w:rFonts w:hint="eastAsia" w:hAnsiTheme="minorEastAsia" w:eastAsiaTheme="minorEastAsia"/>
                      <w:b w:val="0"/>
                      <w:bCs/>
                      <w:color w:val="auto"/>
                      <w:szCs w:val="21"/>
                    </w:rPr>
                    <w:t>厂区</w:t>
                  </w:r>
                  <w:r>
                    <w:rPr>
                      <w:rFonts w:hint="eastAsia" w:eastAsiaTheme="minorEastAsia"/>
                      <w:b w:val="0"/>
                      <w:bCs/>
                      <w:color w:val="auto"/>
                      <w:kern w:val="0"/>
                      <w:szCs w:val="21"/>
                    </w:rPr>
                    <w:t>隔油沉淀处理后</w:t>
                  </w:r>
                  <w:r>
                    <w:rPr>
                      <w:rFonts w:hAnsiTheme="minorEastAsia" w:eastAsiaTheme="minorEastAsia"/>
                      <w:b w:val="0"/>
                      <w:bCs/>
                      <w:color w:val="auto"/>
                      <w:szCs w:val="21"/>
                    </w:rPr>
                    <w:t>，用于</w:t>
                  </w:r>
                  <w:r>
                    <w:rPr>
                      <w:rFonts w:hint="eastAsia" w:hAnsiTheme="minorEastAsia" w:eastAsiaTheme="minorEastAsia"/>
                      <w:b w:val="0"/>
                      <w:bCs/>
                      <w:color w:val="auto"/>
                      <w:szCs w:val="21"/>
                    </w:rPr>
                    <w:t>洒水</w:t>
                  </w:r>
                  <w:r>
                    <w:rPr>
                      <w:rFonts w:hAnsiTheme="minorEastAsia" w:eastAsiaTheme="minorEastAsia"/>
                      <w:b w:val="0"/>
                      <w:bCs/>
                      <w:color w:val="auto"/>
                      <w:szCs w:val="21"/>
                    </w:rPr>
                    <w:t>降尘，不外排。</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b w:val="0"/>
                      <w:bCs/>
                      <w:color w:val="auto"/>
                      <w:szCs w:val="21"/>
                      <w:lang w:val="en-US" w:eastAsia="zh-CN"/>
                    </w:rPr>
                  </w:pPr>
                  <w:r>
                    <w:rPr>
                      <w:rFonts w:hint="eastAsia"/>
                      <w:b w:val="0"/>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45" w:type="pct"/>
                  <w:vMerge w:val="restar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公用工程</w:t>
                  </w:r>
                </w:p>
              </w:tc>
              <w:tc>
                <w:tcPr>
                  <w:tcW w:w="1582" w:type="dxa"/>
                  <w:shd w:val="clear" w:color="auto" w:fill="FFFFFF"/>
                  <w:vAlign w:val="center"/>
                </w:tcPr>
                <w:p>
                  <w:pPr>
                    <w:pStyle w:val="112"/>
                    <w:widowControl w:val="0"/>
                    <w:tabs>
                      <w:tab w:val="left" w:pos="6480"/>
                    </w:tabs>
                    <w:adjustRightInd w:val="0"/>
                    <w:snapToGrid w:val="0"/>
                    <w:jc w:val="center"/>
                    <w:textAlignment w:val="center"/>
                    <w:rPr>
                      <w:rFonts w:hint="eastAsia" w:eastAsia="宋体"/>
                      <w:b w:val="0"/>
                      <w:bCs/>
                      <w:color w:val="auto"/>
                      <w:kern w:val="0"/>
                      <w:szCs w:val="21"/>
                      <w:lang w:val="en-US" w:eastAsia="zh-CN"/>
                    </w:rPr>
                  </w:pPr>
                  <w:r>
                    <w:rPr>
                      <w:rFonts w:hint="eastAsia"/>
                      <w:b w:val="0"/>
                      <w:bCs/>
                      <w:color w:val="auto"/>
                      <w:kern w:val="0"/>
                      <w:szCs w:val="21"/>
                      <w:highlight w:val="none"/>
                      <w:lang w:val="en-US" w:eastAsia="zh-CN"/>
                    </w:rPr>
                    <w:t>办公室</w:t>
                  </w:r>
                </w:p>
              </w:tc>
              <w:tc>
                <w:tcPr>
                  <w:tcW w:w="4862" w:type="dxa"/>
                  <w:shd w:val="clear" w:color="auto" w:fill="FFFFFF"/>
                  <w:vAlign w:val="center"/>
                </w:tcPr>
                <w:p>
                  <w:pPr>
                    <w:adjustRightInd w:val="0"/>
                    <w:snapToGrid w:val="0"/>
                    <w:textAlignment w:val="center"/>
                    <w:rPr>
                      <w:b w:val="0"/>
                      <w:bCs/>
                      <w:color w:val="auto"/>
                      <w:szCs w:val="21"/>
                    </w:rPr>
                  </w:pPr>
                  <w:r>
                    <w:rPr>
                      <w:rFonts w:hint="eastAsia"/>
                      <w:b w:val="0"/>
                      <w:bCs/>
                      <w:color w:val="auto"/>
                      <w:szCs w:val="21"/>
                      <w:highlight w:val="none"/>
                      <w:lang w:val="en-US" w:eastAsia="zh-CN"/>
                    </w:rPr>
                    <w:t>建筑面积1890平方米</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eastAsia" w:eastAsia="宋体"/>
                      <w:b w:val="0"/>
                      <w:bCs/>
                      <w:color w:val="auto"/>
                      <w:szCs w:val="21"/>
                      <w:lang w:val="en-US" w:eastAsia="zh-CN"/>
                    </w:rPr>
                  </w:pPr>
                  <w:r>
                    <w:rPr>
                      <w:rFonts w:hint="eastAsia"/>
                      <w:b w:val="0"/>
                      <w:bCs/>
                      <w:color w:val="auto"/>
                      <w:szCs w:val="21"/>
                    </w:rPr>
                    <w:t>依托</w:t>
                  </w:r>
                  <w:r>
                    <w:rPr>
                      <w:rFonts w:hint="eastAsia"/>
                      <w:b w:val="0"/>
                      <w:bCs/>
                      <w:color w:val="auto"/>
                      <w:szCs w:val="21"/>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892" w:type="pct"/>
                  <w:shd w:val="clear" w:color="auto" w:fill="FFFFFF"/>
                  <w:vAlign w:val="center"/>
                </w:tcPr>
                <w:p>
                  <w:pPr>
                    <w:pStyle w:val="112"/>
                    <w:widowControl w:val="0"/>
                    <w:tabs>
                      <w:tab w:val="left" w:pos="6480"/>
                    </w:tabs>
                    <w:adjustRightInd w:val="0"/>
                    <w:snapToGrid w:val="0"/>
                    <w:jc w:val="center"/>
                    <w:textAlignment w:val="center"/>
                    <w:rPr>
                      <w:rFonts w:ascii="Times New Roman" w:hAnsi="Times New Roman" w:eastAsia="宋体" w:cs="Times New Roman"/>
                      <w:b w:val="0"/>
                      <w:bCs/>
                      <w:color w:val="auto"/>
                      <w:kern w:val="0"/>
                      <w:sz w:val="21"/>
                      <w:szCs w:val="21"/>
                      <w:lang w:val="en-US" w:eastAsia="zh-CN" w:bidi="ar-SA"/>
                    </w:rPr>
                  </w:pPr>
                  <w:r>
                    <w:rPr>
                      <w:b w:val="0"/>
                      <w:bCs/>
                      <w:color w:val="auto"/>
                      <w:szCs w:val="21"/>
                    </w:rPr>
                    <w:t>供水</w:t>
                  </w:r>
                </w:p>
              </w:tc>
              <w:tc>
                <w:tcPr>
                  <w:tcW w:w="2741" w:type="pct"/>
                  <w:shd w:val="clear" w:color="auto" w:fill="FFFFFF"/>
                  <w:vAlign w:val="center"/>
                </w:tcPr>
                <w:p>
                  <w:pPr>
                    <w:adjustRightInd w:val="0"/>
                    <w:snapToGrid w:val="0"/>
                    <w:textAlignment w:val="center"/>
                    <w:rPr>
                      <w:rFonts w:ascii="Times New Roman" w:hAnsi="Times New Roman" w:eastAsia="宋体" w:cs="Times New Roman"/>
                      <w:b w:val="0"/>
                      <w:bCs/>
                      <w:color w:val="auto"/>
                      <w:kern w:val="2"/>
                      <w:sz w:val="21"/>
                      <w:szCs w:val="21"/>
                      <w:lang w:val="en-US" w:eastAsia="zh-CN" w:bidi="ar-SA"/>
                    </w:rPr>
                  </w:pPr>
                  <w:r>
                    <w:rPr>
                      <w:b w:val="0"/>
                      <w:bCs/>
                      <w:color w:val="auto"/>
                      <w:szCs w:val="21"/>
                      <w:highlight w:val="none"/>
                    </w:rPr>
                    <w:t>本项目</w:t>
                  </w:r>
                  <w:r>
                    <w:rPr>
                      <w:rFonts w:hint="eastAsia"/>
                      <w:b w:val="0"/>
                      <w:bCs/>
                      <w:color w:val="auto"/>
                      <w:szCs w:val="21"/>
                      <w:highlight w:val="none"/>
                    </w:rPr>
                    <w:t>供水采用</w:t>
                  </w:r>
                  <w:r>
                    <w:rPr>
                      <w:rFonts w:hint="eastAsia"/>
                      <w:b w:val="0"/>
                      <w:bCs/>
                      <w:color w:val="auto"/>
                      <w:szCs w:val="21"/>
                      <w:highlight w:val="none"/>
                      <w:lang w:val="en-US" w:eastAsia="zh-CN"/>
                    </w:rPr>
                    <w:t>深井水</w:t>
                  </w:r>
                  <w:r>
                    <w:rPr>
                      <w:rFonts w:hint="eastAsia" w:eastAsiaTheme="minorEastAsia"/>
                      <w:b w:val="0"/>
                      <w:bCs/>
                      <w:color w:val="auto"/>
                      <w:szCs w:val="21"/>
                      <w:highlight w:val="none"/>
                    </w:rPr>
                    <w:t>；项目用水主要为生活用水、喷淋降尘用水</w:t>
                  </w:r>
                  <w:r>
                    <w:rPr>
                      <w:rFonts w:hint="eastAsia" w:eastAsiaTheme="minorEastAsia"/>
                      <w:b w:val="0"/>
                      <w:bCs/>
                      <w:color w:val="auto"/>
                      <w:szCs w:val="21"/>
                      <w:highlight w:val="none"/>
                      <w:lang w:eastAsia="zh-CN"/>
                    </w:rPr>
                    <w:t>、</w:t>
                  </w:r>
                  <w:r>
                    <w:rPr>
                      <w:rFonts w:hint="eastAsia" w:eastAsiaTheme="minorEastAsia"/>
                      <w:b w:val="0"/>
                      <w:bCs/>
                      <w:color w:val="auto"/>
                      <w:szCs w:val="21"/>
                      <w:highlight w:val="none"/>
                      <w:lang w:val="en-US" w:eastAsia="zh-CN"/>
                    </w:rPr>
                    <w:t>车辆及搅拌机冲洗废水</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Cs w:val="21"/>
                    </w:rPr>
                    <w:t>依托</w:t>
                  </w:r>
                  <w:r>
                    <w:rPr>
                      <w:rFonts w:hint="eastAsia"/>
                      <w:b w:val="0"/>
                      <w:bCs/>
                      <w:color w:val="auto"/>
                      <w:szCs w:val="21"/>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pct"/>
                  <w:vMerge w:val="continue"/>
                  <w:shd w:val="clear" w:color="auto" w:fill="FFFFFF"/>
                  <w:vAlign w:val="center"/>
                </w:tcPr>
                <w:p>
                  <w:pPr>
                    <w:pStyle w:val="112"/>
                    <w:widowControl w:val="0"/>
                    <w:tabs>
                      <w:tab w:val="left" w:pos="6480"/>
                    </w:tabs>
                    <w:adjustRightInd w:val="0"/>
                    <w:snapToGrid w:val="0"/>
                    <w:textAlignment w:val="center"/>
                    <w:rPr>
                      <w:b w:val="0"/>
                      <w:bCs/>
                      <w:color w:val="auto"/>
                      <w:szCs w:val="21"/>
                    </w:rPr>
                  </w:pPr>
                </w:p>
              </w:tc>
              <w:tc>
                <w:tcPr>
                  <w:tcW w:w="892"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排水</w:t>
                  </w:r>
                </w:p>
              </w:tc>
              <w:tc>
                <w:tcPr>
                  <w:tcW w:w="2741" w:type="pct"/>
                  <w:shd w:val="clear" w:color="auto" w:fill="FFFFFF"/>
                  <w:vAlign w:val="center"/>
                </w:tcPr>
                <w:p>
                  <w:pPr>
                    <w:pStyle w:val="112"/>
                    <w:widowControl w:val="0"/>
                    <w:tabs>
                      <w:tab w:val="left" w:pos="6480"/>
                    </w:tabs>
                    <w:adjustRightInd w:val="0"/>
                    <w:snapToGrid w:val="0"/>
                    <w:textAlignment w:val="center"/>
                    <w:rPr>
                      <w:rFonts w:hint="default" w:eastAsiaTheme="minorEastAsia"/>
                      <w:b w:val="0"/>
                      <w:bCs/>
                      <w:color w:val="auto"/>
                      <w:szCs w:val="21"/>
                      <w:lang w:val="en-US" w:eastAsia="zh-CN"/>
                    </w:rPr>
                  </w:pPr>
                  <w:r>
                    <w:rPr>
                      <w:rFonts w:hint="eastAsia"/>
                      <w:b w:val="0"/>
                      <w:bCs/>
                      <w:color w:val="auto"/>
                      <w:szCs w:val="21"/>
                    </w:rPr>
                    <w:t>本项目生活污水排入防渗</w:t>
                  </w:r>
                  <w:r>
                    <w:rPr>
                      <w:rFonts w:hint="eastAsia"/>
                      <w:b w:val="0"/>
                      <w:bCs/>
                      <w:color w:val="auto"/>
                      <w:szCs w:val="21"/>
                      <w:highlight w:val="none"/>
                      <w:lang w:val="en-US" w:eastAsia="zh-CN"/>
                    </w:rPr>
                    <w:t>旱厕定期清掏</w:t>
                  </w:r>
                  <w:r>
                    <w:rPr>
                      <w:rFonts w:hint="eastAsia"/>
                      <w:b w:val="0"/>
                      <w:bCs/>
                      <w:color w:val="auto"/>
                      <w:szCs w:val="21"/>
                    </w:rPr>
                    <w:t>。</w:t>
                  </w:r>
                  <w:r>
                    <w:rPr>
                      <w:rFonts w:eastAsiaTheme="minorEastAsia"/>
                      <w:b w:val="0"/>
                      <w:bCs/>
                      <w:color w:val="auto"/>
                      <w:szCs w:val="21"/>
                    </w:rPr>
                    <w:t>初期雨水经厂区四周排水沟汇入</w:t>
                  </w:r>
                  <w:r>
                    <w:rPr>
                      <w:rFonts w:hint="eastAsia" w:eastAsiaTheme="minorEastAsia"/>
                      <w:b w:val="0"/>
                      <w:bCs/>
                      <w:color w:val="auto"/>
                      <w:szCs w:val="21"/>
                    </w:rPr>
                    <w:t>厂区初期雨水池隔油沉淀处理后</w:t>
                  </w:r>
                  <w:r>
                    <w:rPr>
                      <w:rFonts w:eastAsiaTheme="minorEastAsia"/>
                      <w:b w:val="0"/>
                      <w:bCs/>
                      <w:color w:val="auto"/>
                      <w:szCs w:val="21"/>
                    </w:rPr>
                    <w:t>，用于</w:t>
                  </w:r>
                  <w:r>
                    <w:rPr>
                      <w:rFonts w:hint="eastAsia" w:eastAsiaTheme="minorEastAsia"/>
                      <w:b w:val="0"/>
                      <w:bCs/>
                      <w:color w:val="auto"/>
                      <w:szCs w:val="21"/>
                    </w:rPr>
                    <w:t>洒水</w:t>
                  </w:r>
                  <w:r>
                    <w:rPr>
                      <w:rFonts w:eastAsiaTheme="minorEastAsia"/>
                      <w:b w:val="0"/>
                      <w:bCs/>
                      <w:color w:val="auto"/>
                      <w:szCs w:val="21"/>
                    </w:rPr>
                    <w:t>降尘，不外排。</w:t>
                  </w:r>
                  <w:r>
                    <w:rPr>
                      <w:rFonts w:hint="eastAsia" w:eastAsiaTheme="minorEastAsia"/>
                      <w:b w:val="0"/>
                      <w:bCs/>
                      <w:color w:val="auto"/>
                      <w:szCs w:val="21"/>
                      <w:lang w:val="en-US" w:eastAsia="zh-CN"/>
                    </w:rPr>
                    <w:t>生产废水隔油后回用，不外排。</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b w:val="0"/>
                      <w:bCs/>
                      <w:color w:val="auto"/>
                      <w:szCs w:val="21"/>
                      <w:lang w:val="en-US"/>
                    </w:rPr>
                  </w:pPr>
                  <w:r>
                    <w:rPr>
                      <w:rFonts w:hint="eastAsia"/>
                      <w:b w:val="0"/>
                      <w:bCs/>
                      <w:color w:val="auto"/>
                      <w:szCs w:val="21"/>
                    </w:rPr>
                    <w:t>依托</w:t>
                  </w:r>
                  <w:r>
                    <w:rPr>
                      <w:rFonts w:hint="eastAsia"/>
                      <w:b w:val="0"/>
                      <w:bCs/>
                      <w:color w:val="auto"/>
                      <w:szCs w:val="21"/>
                      <w:lang w:val="en-US" w:eastAsia="zh-CN"/>
                    </w:rPr>
                    <w:t>现有并改造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45" w:type="pct"/>
                  <w:vMerge w:val="continue"/>
                  <w:shd w:val="clear" w:color="auto" w:fill="FFFFFF"/>
                  <w:vAlign w:val="center"/>
                </w:tcPr>
                <w:p>
                  <w:pPr>
                    <w:pStyle w:val="112"/>
                    <w:widowControl w:val="0"/>
                    <w:tabs>
                      <w:tab w:val="left" w:pos="6480"/>
                    </w:tabs>
                    <w:adjustRightInd w:val="0"/>
                    <w:snapToGrid w:val="0"/>
                    <w:textAlignment w:val="center"/>
                    <w:rPr>
                      <w:b w:val="0"/>
                      <w:bCs/>
                      <w:color w:val="auto"/>
                      <w:szCs w:val="21"/>
                    </w:rPr>
                  </w:pPr>
                </w:p>
              </w:tc>
              <w:tc>
                <w:tcPr>
                  <w:tcW w:w="892"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供热</w:t>
                  </w:r>
                </w:p>
              </w:tc>
              <w:tc>
                <w:tcPr>
                  <w:tcW w:w="2741" w:type="pct"/>
                  <w:shd w:val="clear" w:color="auto" w:fill="FFFFFF"/>
                  <w:vAlign w:val="center"/>
                </w:tcPr>
                <w:p>
                  <w:pPr>
                    <w:adjustRightInd w:val="0"/>
                    <w:snapToGrid w:val="0"/>
                    <w:rPr>
                      <w:b w:val="0"/>
                      <w:bCs/>
                      <w:color w:val="auto"/>
                      <w:szCs w:val="21"/>
                    </w:rPr>
                  </w:pPr>
                  <w:r>
                    <w:rPr>
                      <w:rFonts w:hint="eastAsia"/>
                      <w:b w:val="0"/>
                      <w:bCs/>
                      <w:color w:val="auto"/>
                      <w:szCs w:val="21"/>
                    </w:rPr>
                    <w:t>本项目冬季不生产，不需要供暖。生产用热</w:t>
                  </w:r>
                  <w:r>
                    <w:rPr>
                      <w:rFonts w:hint="eastAsia"/>
                      <w:b w:val="0"/>
                      <w:bCs/>
                      <w:color w:val="auto"/>
                      <w:szCs w:val="21"/>
                      <w:lang w:val="en-US" w:eastAsia="zh-CN"/>
                    </w:rPr>
                    <w:t>利用现有</w:t>
                  </w:r>
                  <w:r>
                    <w:rPr>
                      <w:rFonts w:hint="eastAsia"/>
                      <w:b w:val="0"/>
                      <w:bCs/>
                      <w:color w:val="auto"/>
                      <w:szCs w:val="21"/>
                    </w:rPr>
                    <w:t>1台</w:t>
                  </w:r>
                  <w:r>
                    <w:rPr>
                      <w:rFonts w:hint="eastAsia" w:ascii="仿宋" w:hAnsi="仿宋" w:eastAsia="仿宋" w:cs="仿宋"/>
                      <w:b w:val="0"/>
                      <w:bCs/>
                      <w:color w:val="auto"/>
                      <w:kern w:val="2"/>
                      <w:sz w:val="21"/>
                      <w:szCs w:val="21"/>
                      <w:lang w:val="en-US" w:eastAsia="zh-CN"/>
                    </w:rPr>
                    <w:t>1400kw</w:t>
                  </w:r>
                  <w:r>
                    <w:rPr>
                      <w:rFonts w:hint="eastAsia"/>
                      <w:b w:val="0"/>
                      <w:bCs/>
                      <w:color w:val="auto"/>
                      <w:szCs w:val="21"/>
                    </w:rPr>
                    <w:t>导热油炉，年燃用</w:t>
                  </w:r>
                  <w:r>
                    <w:rPr>
                      <w:rFonts w:hint="eastAsia"/>
                      <w:b w:val="0"/>
                      <w:bCs/>
                      <w:color w:val="auto"/>
                      <w:szCs w:val="21"/>
                      <w:highlight w:val="none"/>
                      <w:lang w:val="en-US" w:eastAsia="zh-CN"/>
                    </w:rPr>
                    <w:t>柴油100t</w:t>
                  </w:r>
                  <w:r>
                    <w:rPr>
                      <w:rFonts w:hint="eastAsia"/>
                      <w:b w:val="0"/>
                      <w:bCs/>
                      <w:color w:val="auto"/>
                      <w:szCs w:val="21"/>
                      <w:highlight w:val="none"/>
                    </w:rPr>
                    <w:t>/a</w:t>
                  </w:r>
                  <w:r>
                    <w:rPr>
                      <w:rFonts w:hint="eastAsia"/>
                      <w:b w:val="0"/>
                      <w:bCs/>
                      <w:color w:val="auto"/>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rPr>
                    <w:t>依托</w:t>
                  </w:r>
                  <w:r>
                    <w:rPr>
                      <w:rFonts w:hint="eastAsia"/>
                      <w:b w:val="0"/>
                      <w:bCs/>
                      <w:color w:val="auto"/>
                      <w:szCs w:val="21"/>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45" w:type="pct"/>
                  <w:vMerge w:val="continue"/>
                  <w:shd w:val="clear" w:color="auto" w:fill="FFFFFF"/>
                  <w:vAlign w:val="center"/>
                </w:tcPr>
                <w:p>
                  <w:pPr>
                    <w:pStyle w:val="112"/>
                    <w:widowControl w:val="0"/>
                    <w:tabs>
                      <w:tab w:val="left" w:pos="6480"/>
                    </w:tabs>
                    <w:adjustRightInd w:val="0"/>
                    <w:snapToGrid w:val="0"/>
                    <w:textAlignment w:val="center"/>
                    <w:rPr>
                      <w:b w:val="0"/>
                      <w:bCs/>
                      <w:color w:val="auto"/>
                      <w:szCs w:val="21"/>
                    </w:rPr>
                  </w:pPr>
                </w:p>
              </w:tc>
              <w:tc>
                <w:tcPr>
                  <w:tcW w:w="892"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供电</w:t>
                  </w:r>
                </w:p>
              </w:tc>
              <w:tc>
                <w:tcPr>
                  <w:tcW w:w="2741" w:type="pct"/>
                  <w:shd w:val="clear" w:color="auto" w:fill="FFFFFF"/>
                  <w:vAlign w:val="center"/>
                </w:tcPr>
                <w:p>
                  <w:pPr>
                    <w:pStyle w:val="112"/>
                    <w:widowControl w:val="0"/>
                    <w:tabs>
                      <w:tab w:val="left" w:pos="6480"/>
                    </w:tabs>
                    <w:adjustRightInd w:val="0"/>
                    <w:snapToGrid w:val="0"/>
                    <w:textAlignment w:val="center"/>
                    <w:rPr>
                      <w:b w:val="0"/>
                      <w:bCs/>
                      <w:color w:val="auto"/>
                      <w:szCs w:val="21"/>
                    </w:rPr>
                  </w:pPr>
                  <w:r>
                    <w:rPr>
                      <w:rFonts w:hint="eastAsia"/>
                      <w:b w:val="0"/>
                      <w:bCs/>
                      <w:color w:val="auto"/>
                      <w:szCs w:val="21"/>
                    </w:rPr>
                    <w:t>本项目采用市政供电</w:t>
                  </w:r>
                  <w:r>
                    <w:rPr>
                      <w:b w:val="0"/>
                      <w:bCs/>
                      <w:color w:val="auto"/>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45" w:type="pct"/>
                  <w:vMerge w:val="restar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环保工程</w:t>
                  </w:r>
                </w:p>
              </w:tc>
              <w:tc>
                <w:tcPr>
                  <w:tcW w:w="892" w:type="pct"/>
                  <w:shd w:val="clear" w:color="auto" w:fill="FFFFFF"/>
                  <w:vAlign w:val="center"/>
                </w:tcPr>
                <w:p>
                  <w:pPr>
                    <w:adjustRightInd w:val="0"/>
                    <w:snapToGrid w:val="0"/>
                    <w:jc w:val="center"/>
                    <w:textAlignment w:val="center"/>
                    <w:rPr>
                      <w:b w:val="0"/>
                      <w:bCs/>
                      <w:color w:val="auto"/>
                      <w:szCs w:val="21"/>
                    </w:rPr>
                  </w:pPr>
                  <w:r>
                    <w:rPr>
                      <w:b w:val="0"/>
                      <w:bCs/>
                      <w:color w:val="auto"/>
                      <w:szCs w:val="21"/>
                    </w:rPr>
                    <w:t>废气</w:t>
                  </w:r>
                </w:p>
              </w:tc>
              <w:tc>
                <w:tcPr>
                  <w:tcW w:w="2741" w:type="pct"/>
                  <w:shd w:val="clear" w:color="auto" w:fill="FFFFFF"/>
                  <w:vAlign w:val="center"/>
                </w:tcPr>
                <w:p>
                  <w:pPr>
                    <w:spacing w:line="0" w:lineRule="atLeast"/>
                    <w:contextualSpacing/>
                    <w:jc w:val="left"/>
                    <w:rPr>
                      <w:rFonts w:eastAsiaTheme="minorEastAsia"/>
                      <w:b w:val="0"/>
                      <w:bCs/>
                      <w:color w:val="auto"/>
                      <w:szCs w:val="21"/>
                    </w:rPr>
                  </w:pPr>
                  <w:r>
                    <w:rPr>
                      <w:rFonts w:eastAsiaTheme="minorEastAsia"/>
                      <w:b w:val="0"/>
                      <w:bCs/>
                      <w:color w:val="auto"/>
                      <w:szCs w:val="21"/>
                    </w:rPr>
                    <w:t>1、原料输送、堆场粉尘、</w:t>
                  </w:r>
                  <w:r>
                    <w:rPr>
                      <w:rFonts w:hint="eastAsia" w:eastAsiaTheme="minorEastAsia"/>
                      <w:b w:val="0"/>
                      <w:bCs/>
                      <w:color w:val="auto"/>
                      <w:szCs w:val="21"/>
                    </w:rPr>
                    <w:t>铲装集堆</w:t>
                  </w:r>
                  <w:r>
                    <w:rPr>
                      <w:rFonts w:eastAsiaTheme="minorEastAsia"/>
                      <w:b w:val="0"/>
                      <w:bCs/>
                      <w:color w:val="auto"/>
                      <w:szCs w:val="21"/>
                    </w:rPr>
                    <w:t>粉尘</w:t>
                  </w:r>
                </w:p>
                <w:p>
                  <w:pPr>
                    <w:spacing w:line="0" w:lineRule="atLeast"/>
                    <w:contextualSpacing/>
                    <w:jc w:val="left"/>
                    <w:rPr>
                      <w:rFonts w:hint="eastAsia" w:eastAsiaTheme="minorEastAsia"/>
                      <w:b w:val="0"/>
                      <w:bCs/>
                      <w:color w:val="auto"/>
                      <w:szCs w:val="21"/>
                      <w:lang w:eastAsia="zh-CN"/>
                    </w:rPr>
                  </w:pPr>
                  <w:r>
                    <w:rPr>
                      <w:rFonts w:eastAsiaTheme="minorEastAsia"/>
                      <w:b w:val="0"/>
                      <w:bCs/>
                      <w:color w:val="auto"/>
                      <w:szCs w:val="21"/>
                    </w:rPr>
                    <w:t>本项目矿粉采用封闭式罐车运入厂区，碎石运输车辆全部采用苫布覆盖，运输过程做到不超载，不滴、撒、漏，厂区地面洒水降尘；原料的输送、计量及投料均为封闭式。搅拌站整体封闭；</w:t>
                  </w:r>
                  <w:r>
                    <w:rPr>
                      <w:rFonts w:hint="eastAsia" w:cs="宋体"/>
                      <w:b w:val="0"/>
                      <w:bCs/>
                      <w:color w:val="auto"/>
                      <w:spacing w:val="-4"/>
                      <w:sz w:val="21"/>
                      <w:szCs w:val="21"/>
                      <w:lang w:val="en-US" w:eastAsia="zh-CN"/>
                    </w:rPr>
                    <w:t>堆场增设</w:t>
                  </w:r>
                  <w:r>
                    <w:rPr>
                      <w:rFonts w:hint="eastAsia" w:ascii="宋体" w:hAnsi="宋体" w:eastAsia="宋体" w:cs="宋体"/>
                      <w:b w:val="0"/>
                      <w:bCs/>
                      <w:strike w:val="0"/>
                      <w:dstrike w:val="0"/>
                      <w:color w:val="auto"/>
                      <w:sz w:val="21"/>
                      <w:szCs w:val="21"/>
                      <w:lang w:val="en-US" w:eastAsia="zh-CN"/>
                    </w:rPr>
                    <w:t>不低于堆放物高度（2.5m）的严密围挡,并采用</w:t>
                  </w:r>
                  <w:r>
                    <w:rPr>
                      <w:rFonts w:hint="eastAsia" w:cs="宋体"/>
                      <w:b w:val="0"/>
                      <w:bCs/>
                      <w:color w:val="auto"/>
                      <w:spacing w:val="-1"/>
                      <w:sz w:val="21"/>
                      <w:szCs w:val="21"/>
                      <w:lang w:val="en-US" w:eastAsia="zh-CN"/>
                    </w:rPr>
                    <w:t>定期洒水降尘</w:t>
                  </w:r>
                  <w:r>
                    <w:rPr>
                      <w:rFonts w:hint="eastAsia"/>
                      <w:b w:val="0"/>
                      <w:bCs/>
                      <w:color w:val="auto"/>
                      <w:kern w:val="0"/>
                      <w:szCs w:val="21"/>
                    </w:rPr>
                    <w:t>，</w:t>
                  </w:r>
                  <w:r>
                    <w:rPr>
                      <w:rFonts w:eastAsiaTheme="minorEastAsia"/>
                      <w:b w:val="0"/>
                      <w:bCs/>
                      <w:color w:val="auto"/>
                      <w:szCs w:val="21"/>
                    </w:rPr>
                    <w:t>铲装集堆过程洒水喷淋</w:t>
                  </w:r>
                  <w:r>
                    <w:rPr>
                      <w:rFonts w:hint="eastAsia" w:eastAsiaTheme="minorEastAsia"/>
                      <w:b w:val="0"/>
                      <w:bCs/>
                      <w:color w:val="auto"/>
                      <w:szCs w:val="21"/>
                      <w:lang w:eastAsia="zh-CN"/>
                    </w:rPr>
                    <w:t>。</w:t>
                  </w:r>
                </w:p>
                <w:p>
                  <w:pPr>
                    <w:spacing w:line="0" w:lineRule="atLeast"/>
                    <w:contextualSpacing/>
                    <w:jc w:val="left"/>
                    <w:rPr>
                      <w:rFonts w:hint="eastAsia"/>
                      <w:b w:val="0"/>
                      <w:bCs/>
                      <w:color w:val="auto"/>
                      <w:lang w:eastAsia="zh-CN"/>
                    </w:rPr>
                  </w:pPr>
                  <w:r>
                    <w:rPr>
                      <w:rFonts w:hint="eastAsia" w:eastAsiaTheme="minorEastAsia"/>
                      <w:b w:val="0"/>
                      <w:bCs/>
                      <w:color w:val="auto"/>
                      <w:szCs w:val="21"/>
                      <w:lang w:val="en-US" w:eastAsia="zh-CN"/>
                    </w:rPr>
                    <w:t>2、</w:t>
                  </w:r>
                  <w:r>
                    <w:rPr>
                      <w:rFonts w:eastAsiaTheme="minorEastAsia"/>
                      <w:b w:val="0"/>
                      <w:bCs/>
                      <w:color w:val="auto"/>
                      <w:sz w:val="21"/>
                      <w:szCs w:val="21"/>
                    </w:rPr>
                    <w:t>1台导热油炉</w:t>
                  </w:r>
                  <w:r>
                    <w:rPr>
                      <w:rFonts w:hint="eastAsia" w:eastAsiaTheme="minorEastAsia"/>
                      <w:b w:val="0"/>
                      <w:bCs/>
                      <w:color w:val="auto"/>
                      <w:szCs w:val="21"/>
                    </w:rPr>
                    <w:t>用于加热沥青，导热油炉烟气</w:t>
                  </w:r>
                  <w:r>
                    <w:rPr>
                      <w:rFonts w:hint="eastAsia" w:eastAsiaTheme="minorEastAsia"/>
                      <w:b w:val="0"/>
                      <w:bCs/>
                      <w:color w:val="auto"/>
                      <w:szCs w:val="21"/>
                      <w:lang w:val="en-US" w:eastAsia="zh-CN"/>
                    </w:rPr>
                    <w:t>经新建布袋除尘器+低氮燃烧后</w:t>
                  </w:r>
                  <w:r>
                    <w:rPr>
                      <w:rFonts w:hint="eastAsia" w:eastAsiaTheme="minorEastAsia"/>
                      <w:b w:val="0"/>
                      <w:bCs/>
                      <w:color w:val="auto"/>
                      <w:szCs w:val="21"/>
                    </w:rPr>
                    <w:t>由</w:t>
                  </w:r>
                  <w:r>
                    <w:rPr>
                      <w:rFonts w:hint="eastAsia" w:eastAsiaTheme="minorEastAsia"/>
                      <w:b w:val="0"/>
                      <w:bCs/>
                      <w:color w:val="auto"/>
                      <w:szCs w:val="21"/>
                      <w:lang w:val="en-US" w:eastAsia="zh-CN"/>
                    </w:rPr>
                    <w:t>现有</w:t>
                  </w:r>
                  <w:r>
                    <w:rPr>
                      <w:rFonts w:hint="eastAsia" w:eastAsiaTheme="minorEastAsia"/>
                      <w:b w:val="0"/>
                      <w:bCs/>
                      <w:color w:val="auto"/>
                      <w:szCs w:val="21"/>
                    </w:rPr>
                    <w:t>1根</w:t>
                  </w:r>
                  <w:r>
                    <w:rPr>
                      <w:rFonts w:hint="eastAsia" w:eastAsiaTheme="minorEastAsia"/>
                      <w:b w:val="0"/>
                      <w:bCs/>
                      <w:color w:val="auto"/>
                      <w:szCs w:val="21"/>
                      <w:lang w:val="en-US" w:eastAsia="zh-CN"/>
                    </w:rPr>
                    <w:t>15</w:t>
                  </w:r>
                  <w:r>
                    <w:rPr>
                      <w:rFonts w:hint="eastAsia" w:eastAsiaTheme="minorEastAsia"/>
                      <w:b w:val="0"/>
                      <w:bCs/>
                      <w:color w:val="auto"/>
                      <w:szCs w:val="21"/>
                    </w:rPr>
                    <w:t>m高排气筒（DA00</w:t>
                  </w:r>
                  <w:r>
                    <w:rPr>
                      <w:rFonts w:hint="eastAsia" w:eastAsiaTheme="minorEastAsia"/>
                      <w:b w:val="0"/>
                      <w:bCs/>
                      <w:color w:val="auto"/>
                      <w:szCs w:val="21"/>
                      <w:lang w:val="en-US" w:eastAsia="zh-CN"/>
                    </w:rPr>
                    <w:t>2</w:t>
                  </w:r>
                  <w:r>
                    <w:rPr>
                      <w:rFonts w:hint="eastAsia" w:eastAsiaTheme="minorEastAsia"/>
                      <w:b w:val="0"/>
                      <w:bCs/>
                      <w:color w:val="auto"/>
                      <w:szCs w:val="21"/>
                    </w:rPr>
                    <w:t>）排放；</w:t>
                  </w:r>
                </w:p>
                <w:p>
                  <w:pPr>
                    <w:spacing w:line="0" w:lineRule="atLeast"/>
                    <w:contextualSpacing/>
                    <w:jc w:val="left"/>
                    <w:rPr>
                      <w:rFonts w:eastAsiaTheme="minorEastAsia"/>
                      <w:b w:val="0"/>
                      <w:bCs/>
                      <w:color w:val="auto"/>
                      <w:szCs w:val="21"/>
                    </w:rPr>
                  </w:pPr>
                  <w:r>
                    <w:rPr>
                      <w:rFonts w:hint="eastAsia" w:eastAsiaTheme="minorEastAsia"/>
                      <w:b w:val="0"/>
                      <w:bCs/>
                      <w:color w:val="auto"/>
                      <w:szCs w:val="21"/>
                      <w:lang w:val="en-US" w:eastAsia="zh-CN"/>
                    </w:rPr>
                    <w:t>3</w:t>
                  </w:r>
                  <w:r>
                    <w:rPr>
                      <w:rFonts w:eastAsiaTheme="minorEastAsia"/>
                      <w:b w:val="0"/>
                      <w:bCs/>
                      <w:color w:val="auto"/>
                      <w:szCs w:val="21"/>
                    </w:rPr>
                    <w:t>、矿粉筒仓</w:t>
                  </w:r>
                  <w:r>
                    <w:rPr>
                      <w:rFonts w:hint="eastAsia" w:eastAsiaTheme="minorEastAsia"/>
                      <w:b w:val="0"/>
                      <w:bCs/>
                      <w:color w:val="auto"/>
                      <w:szCs w:val="21"/>
                    </w:rPr>
                    <w:t>装卸</w:t>
                  </w:r>
                  <w:r>
                    <w:rPr>
                      <w:rFonts w:eastAsiaTheme="minorEastAsia"/>
                      <w:b w:val="0"/>
                      <w:bCs/>
                      <w:color w:val="auto"/>
                      <w:szCs w:val="21"/>
                    </w:rPr>
                    <w:t>粉尘</w:t>
                  </w:r>
                </w:p>
                <w:p>
                  <w:pPr>
                    <w:spacing w:line="0" w:lineRule="atLeast"/>
                    <w:contextualSpacing/>
                    <w:jc w:val="left"/>
                    <w:rPr>
                      <w:rFonts w:hint="eastAsia" w:eastAsiaTheme="minorEastAsia"/>
                      <w:b w:val="0"/>
                      <w:bCs/>
                      <w:color w:val="auto"/>
                      <w:szCs w:val="21"/>
                      <w:lang w:eastAsia="zh-CN"/>
                    </w:rPr>
                  </w:pPr>
                  <w:r>
                    <w:rPr>
                      <w:rFonts w:eastAsiaTheme="minorEastAsia"/>
                      <w:b w:val="0"/>
                      <w:bCs/>
                      <w:color w:val="auto"/>
                      <w:szCs w:val="21"/>
                    </w:rPr>
                    <w:t>本项目矿粉筒仓</w:t>
                  </w:r>
                  <w:r>
                    <w:rPr>
                      <w:rFonts w:hint="eastAsia" w:eastAsiaTheme="minorEastAsia"/>
                      <w:b w:val="0"/>
                      <w:bCs/>
                      <w:color w:val="auto"/>
                      <w:szCs w:val="21"/>
                    </w:rPr>
                    <w:t>装卸</w:t>
                  </w:r>
                  <w:r>
                    <w:rPr>
                      <w:rFonts w:eastAsiaTheme="minorEastAsia"/>
                      <w:b w:val="0"/>
                      <w:bCs/>
                      <w:color w:val="auto"/>
                      <w:szCs w:val="21"/>
                    </w:rPr>
                    <w:t>时会产生粉尘，在矿粉筒顶部</w:t>
                  </w:r>
                  <w:r>
                    <w:rPr>
                      <w:rFonts w:hint="eastAsia" w:eastAsiaTheme="minorEastAsia"/>
                      <w:b w:val="0"/>
                      <w:bCs/>
                      <w:color w:val="auto"/>
                      <w:szCs w:val="21"/>
                      <w:lang w:val="en-US" w:eastAsia="zh-CN"/>
                    </w:rPr>
                    <w:t>设置脉冲</w:t>
                  </w:r>
                  <w:r>
                    <w:rPr>
                      <w:rFonts w:hint="eastAsia" w:eastAsiaTheme="minorEastAsia"/>
                      <w:b w:val="0"/>
                      <w:bCs/>
                      <w:color w:val="auto"/>
                      <w:szCs w:val="21"/>
                    </w:rPr>
                    <w:t>布袋</w:t>
                  </w:r>
                  <w:r>
                    <w:rPr>
                      <w:rFonts w:hint="eastAsia" w:eastAsiaTheme="minorEastAsia"/>
                      <w:b w:val="0"/>
                      <w:bCs/>
                      <w:color w:val="auto"/>
                      <w:szCs w:val="21"/>
                      <w:lang w:val="en-US" w:eastAsia="zh-CN"/>
                    </w:rPr>
                    <w:t>除尘器</w:t>
                  </w:r>
                  <w:r>
                    <w:rPr>
                      <w:rFonts w:eastAsiaTheme="minorEastAsia"/>
                      <w:b w:val="0"/>
                      <w:bCs/>
                      <w:color w:val="auto"/>
                      <w:szCs w:val="21"/>
                    </w:rPr>
                    <w:t>，处理后经</w:t>
                  </w:r>
                  <w:r>
                    <w:rPr>
                      <w:rFonts w:hint="eastAsia" w:eastAsiaTheme="minorEastAsia"/>
                      <w:b w:val="0"/>
                      <w:bCs/>
                      <w:color w:val="auto"/>
                      <w:szCs w:val="21"/>
                      <w:lang w:val="en-US" w:eastAsia="zh-CN"/>
                    </w:rPr>
                    <w:t>现有15</w:t>
                  </w:r>
                  <w:r>
                    <w:rPr>
                      <w:rFonts w:hint="eastAsia" w:eastAsiaTheme="minorEastAsia"/>
                      <w:b w:val="0"/>
                      <w:bCs/>
                      <w:color w:val="auto"/>
                      <w:szCs w:val="21"/>
                    </w:rPr>
                    <w:t>m高</w:t>
                  </w:r>
                  <w:r>
                    <w:rPr>
                      <w:rFonts w:eastAsiaTheme="minorEastAsia"/>
                      <w:b w:val="0"/>
                      <w:bCs/>
                      <w:color w:val="auto"/>
                      <w:szCs w:val="21"/>
                    </w:rPr>
                    <w:t>除尘系统烟囱（</w:t>
                  </w:r>
                  <w:r>
                    <w:rPr>
                      <w:rFonts w:hint="eastAsia" w:eastAsiaTheme="minorEastAsia"/>
                      <w:b w:val="0"/>
                      <w:bCs/>
                      <w:color w:val="auto"/>
                      <w:szCs w:val="21"/>
                    </w:rPr>
                    <w:t>DA00</w:t>
                  </w:r>
                  <w:r>
                    <w:rPr>
                      <w:rFonts w:hint="eastAsia" w:eastAsiaTheme="minorEastAsia"/>
                      <w:b w:val="0"/>
                      <w:bCs/>
                      <w:color w:val="auto"/>
                      <w:szCs w:val="21"/>
                      <w:lang w:val="en-US" w:eastAsia="zh-CN"/>
                    </w:rPr>
                    <w:t>1</w:t>
                  </w:r>
                  <w:r>
                    <w:rPr>
                      <w:rFonts w:eastAsiaTheme="minorEastAsia"/>
                      <w:b w:val="0"/>
                      <w:bCs/>
                      <w:color w:val="auto"/>
                      <w:szCs w:val="21"/>
                    </w:rPr>
                    <w:t>）排放，除尘效率为99%</w:t>
                  </w:r>
                  <w:r>
                    <w:rPr>
                      <w:rFonts w:hint="eastAsia" w:eastAsiaTheme="minorEastAsia"/>
                      <w:b w:val="0"/>
                      <w:bCs/>
                      <w:color w:val="auto"/>
                      <w:szCs w:val="21"/>
                      <w:lang w:eastAsia="zh-CN"/>
                    </w:rPr>
                    <w:t>。</w:t>
                  </w:r>
                </w:p>
                <w:p>
                  <w:pPr>
                    <w:spacing w:line="0" w:lineRule="atLeast"/>
                    <w:contextualSpacing/>
                    <w:jc w:val="left"/>
                    <w:rPr>
                      <w:rFonts w:eastAsiaTheme="minorEastAsia"/>
                      <w:b w:val="0"/>
                      <w:bCs/>
                      <w:color w:val="auto"/>
                      <w:szCs w:val="21"/>
                    </w:rPr>
                  </w:pPr>
                  <w:r>
                    <w:rPr>
                      <w:rFonts w:hint="eastAsia" w:eastAsiaTheme="minorEastAsia"/>
                      <w:b w:val="0"/>
                      <w:bCs/>
                      <w:color w:val="auto"/>
                      <w:szCs w:val="21"/>
                      <w:lang w:val="en-US" w:eastAsia="zh-CN"/>
                    </w:rPr>
                    <w:t>4</w:t>
                  </w:r>
                  <w:r>
                    <w:rPr>
                      <w:rFonts w:eastAsiaTheme="minorEastAsia"/>
                      <w:b w:val="0"/>
                      <w:bCs/>
                      <w:color w:val="auto"/>
                      <w:szCs w:val="21"/>
                    </w:rPr>
                    <w:t>、冷料仓上料粉尘</w:t>
                  </w:r>
                </w:p>
                <w:p>
                  <w:pPr>
                    <w:spacing w:line="0" w:lineRule="atLeast"/>
                    <w:contextualSpacing/>
                    <w:jc w:val="left"/>
                    <w:rPr>
                      <w:rFonts w:hint="eastAsia" w:eastAsiaTheme="minorEastAsia"/>
                      <w:b w:val="0"/>
                      <w:bCs/>
                      <w:color w:val="auto"/>
                      <w:szCs w:val="21"/>
                      <w:lang w:eastAsia="zh-CN"/>
                    </w:rPr>
                  </w:pPr>
                  <w:r>
                    <w:rPr>
                      <w:rFonts w:eastAsiaTheme="minorEastAsia"/>
                      <w:b w:val="0"/>
                      <w:bCs/>
                      <w:color w:val="auto"/>
                      <w:szCs w:val="21"/>
                    </w:rPr>
                    <w:t>本项目</w:t>
                  </w:r>
                  <w:r>
                    <w:rPr>
                      <w:rFonts w:hint="eastAsia" w:eastAsiaTheme="minorEastAsia"/>
                      <w:b w:val="0"/>
                      <w:bCs/>
                      <w:color w:val="auto"/>
                      <w:szCs w:val="21"/>
                      <w:lang w:val="en-US" w:eastAsia="zh-CN"/>
                    </w:rPr>
                    <w:t>骨料</w:t>
                  </w:r>
                  <w:r>
                    <w:rPr>
                      <w:rFonts w:eastAsiaTheme="minorEastAsia"/>
                      <w:b w:val="0"/>
                      <w:bCs/>
                      <w:color w:val="auto"/>
                      <w:szCs w:val="21"/>
                    </w:rPr>
                    <w:t>在上料时会产生粉尘，在冷料仓</w:t>
                  </w:r>
                  <w:r>
                    <w:rPr>
                      <w:rFonts w:hint="eastAsia" w:eastAsiaTheme="minorEastAsia"/>
                      <w:b w:val="0"/>
                      <w:bCs/>
                      <w:color w:val="auto"/>
                      <w:szCs w:val="21"/>
                    </w:rPr>
                    <w:t>设置集气装置</w:t>
                  </w:r>
                  <w:r>
                    <w:rPr>
                      <w:rFonts w:eastAsiaTheme="minorEastAsia"/>
                      <w:b w:val="0"/>
                      <w:bCs/>
                      <w:color w:val="auto"/>
                      <w:szCs w:val="21"/>
                    </w:rPr>
                    <w:t>（集气效率</w:t>
                  </w:r>
                  <w:r>
                    <w:rPr>
                      <w:rFonts w:hint="eastAsia" w:eastAsiaTheme="minorEastAsia"/>
                      <w:b w:val="0"/>
                      <w:bCs/>
                      <w:color w:val="auto"/>
                      <w:szCs w:val="21"/>
                    </w:rPr>
                    <w:t>90%</w:t>
                  </w:r>
                  <w:r>
                    <w:rPr>
                      <w:rFonts w:eastAsiaTheme="minorEastAsia"/>
                      <w:b w:val="0"/>
                      <w:bCs/>
                      <w:color w:val="auto"/>
                      <w:szCs w:val="21"/>
                    </w:rPr>
                    <w:t>），</w:t>
                  </w:r>
                  <w:r>
                    <w:rPr>
                      <w:rFonts w:hint="eastAsia" w:eastAsiaTheme="minorEastAsia"/>
                      <w:b w:val="0"/>
                      <w:bCs/>
                      <w:color w:val="auto"/>
                      <w:szCs w:val="21"/>
                    </w:rPr>
                    <w:t>通过</w:t>
                  </w:r>
                  <w:r>
                    <w:rPr>
                      <w:rFonts w:eastAsiaTheme="minorEastAsia"/>
                      <w:b w:val="0"/>
                      <w:bCs/>
                      <w:color w:val="auto"/>
                      <w:szCs w:val="21"/>
                    </w:rPr>
                    <w:t>管道连接至除尘系统</w:t>
                  </w:r>
                  <w:r>
                    <w:rPr>
                      <w:rFonts w:eastAsiaTheme="minorEastAsia"/>
                      <w:b w:val="0"/>
                      <w:bCs/>
                      <w:color w:val="auto"/>
                      <w:szCs w:val="21"/>
                      <w:highlight w:val="none"/>
                    </w:rPr>
                    <w:t>（重力</w:t>
                  </w:r>
                  <w:r>
                    <w:rPr>
                      <w:rFonts w:hint="eastAsia" w:eastAsiaTheme="minorEastAsia"/>
                      <w:b w:val="0"/>
                      <w:bCs/>
                      <w:color w:val="auto"/>
                      <w:szCs w:val="21"/>
                      <w:highlight w:val="none"/>
                    </w:rPr>
                    <w:t>+布袋</w:t>
                  </w:r>
                  <w:r>
                    <w:rPr>
                      <w:rFonts w:eastAsiaTheme="minorEastAsia"/>
                      <w:b w:val="0"/>
                      <w:bCs/>
                      <w:color w:val="auto"/>
                      <w:szCs w:val="21"/>
                      <w:highlight w:val="none"/>
                    </w:rPr>
                    <w:t>）</w:t>
                  </w:r>
                  <w:r>
                    <w:rPr>
                      <w:rFonts w:eastAsiaTheme="minorEastAsia"/>
                      <w:b w:val="0"/>
                      <w:bCs/>
                      <w:color w:val="auto"/>
                      <w:szCs w:val="21"/>
                    </w:rPr>
                    <w:t>，处理后经</w:t>
                  </w:r>
                  <w:r>
                    <w:rPr>
                      <w:rFonts w:hint="eastAsia" w:eastAsiaTheme="minorEastAsia"/>
                      <w:b w:val="0"/>
                      <w:bCs/>
                      <w:color w:val="auto"/>
                      <w:szCs w:val="21"/>
                      <w:lang w:val="en-US" w:eastAsia="zh-CN"/>
                    </w:rPr>
                    <w:t>现有15</w:t>
                  </w:r>
                  <w:r>
                    <w:rPr>
                      <w:rFonts w:hint="eastAsia" w:eastAsiaTheme="minorEastAsia"/>
                      <w:b w:val="0"/>
                      <w:bCs/>
                      <w:color w:val="auto"/>
                      <w:szCs w:val="21"/>
                    </w:rPr>
                    <w:t>m高</w:t>
                  </w:r>
                  <w:r>
                    <w:rPr>
                      <w:rFonts w:eastAsiaTheme="minorEastAsia"/>
                      <w:b w:val="0"/>
                      <w:bCs/>
                      <w:color w:val="auto"/>
                      <w:szCs w:val="21"/>
                    </w:rPr>
                    <w:t>除尘系统烟囱（</w:t>
                  </w:r>
                  <w:r>
                    <w:rPr>
                      <w:rFonts w:hint="eastAsia" w:eastAsiaTheme="minorEastAsia"/>
                      <w:b w:val="0"/>
                      <w:bCs/>
                      <w:color w:val="auto"/>
                      <w:szCs w:val="21"/>
                    </w:rPr>
                    <w:t>DA00</w:t>
                  </w:r>
                  <w:r>
                    <w:rPr>
                      <w:rFonts w:hint="eastAsia" w:eastAsiaTheme="minorEastAsia"/>
                      <w:b w:val="0"/>
                      <w:bCs/>
                      <w:color w:val="auto"/>
                      <w:szCs w:val="21"/>
                      <w:lang w:val="en-US" w:eastAsia="zh-CN"/>
                    </w:rPr>
                    <w:t>1</w:t>
                  </w:r>
                  <w:r>
                    <w:rPr>
                      <w:rFonts w:eastAsiaTheme="minorEastAsia"/>
                      <w:b w:val="0"/>
                      <w:bCs/>
                      <w:color w:val="auto"/>
                      <w:szCs w:val="21"/>
                    </w:rPr>
                    <w:t>）排放，除尘效率为99%</w:t>
                  </w:r>
                  <w:r>
                    <w:rPr>
                      <w:rFonts w:hint="eastAsia" w:eastAsiaTheme="minorEastAsia"/>
                      <w:b w:val="0"/>
                      <w:bCs/>
                      <w:color w:val="auto"/>
                      <w:szCs w:val="21"/>
                      <w:lang w:eastAsia="zh-CN"/>
                    </w:rPr>
                    <w:t>。</w:t>
                  </w:r>
                </w:p>
                <w:p>
                  <w:pPr>
                    <w:spacing w:line="0" w:lineRule="atLeast"/>
                    <w:contextualSpacing/>
                    <w:jc w:val="left"/>
                    <w:rPr>
                      <w:rFonts w:eastAsiaTheme="minorEastAsia"/>
                      <w:b w:val="0"/>
                      <w:bCs/>
                      <w:color w:val="auto"/>
                      <w:szCs w:val="21"/>
                    </w:rPr>
                  </w:pPr>
                  <w:r>
                    <w:rPr>
                      <w:rFonts w:hint="eastAsia" w:eastAsiaTheme="minorEastAsia"/>
                      <w:b w:val="0"/>
                      <w:bCs/>
                      <w:color w:val="auto"/>
                      <w:szCs w:val="21"/>
                      <w:lang w:val="en-US" w:eastAsia="zh-CN"/>
                    </w:rPr>
                    <w:t>5</w:t>
                  </w:r>
                  <w:r>
                    <w:rPr>
                      <w:rFonts w:eastAsiaTheme="minorEastAsia"/>
                      <w:b w:val="0"/>
                      <w:bCs/>
                      <w:color w:val="auto"/>
                      <w:szCs w:val="21"/>
                    </w:rPr>
                    <w:t>、沥青混凝土生产线废气</w:t>
                  </w:r>
                </w:p>
                <w:p>
                  <w:pPr>
                    <w:adjustRightInd w:val="0"/>
                    <w:snapToGrid w:val="0"/>
                    <w:textAlignment w:val="center"/>
                    <w:rPr>
                      <w:b w:val="0"/>
                      <w:bCs/>
                      <w:color w:val="auto"/>
                    </w:rPr>
                  </w:pPr>
                  <w:r>
                    <w:rPr>
                      <w:rFonts w:hint="eastAsia" w:eastAsiaTheme="minorEastAsia"/>
                      <w:b w:val="0"/>
                      <w:bCs/>
                      <w:color w:val="auto"/>
                      <w:szCs w:val="21"/>
                    </w:rPr>
                    <w:t>本项目</w:t>
                  </w:r>
                  <w:r>
                    <w:rPr>
                      <w:rFonts w:hint="eastAsia" w:eastAsiaTheme="minorEastAsia"/>
                      <w:b w:val="0"/>
                      <w:bCs/>
                      <w:color w:val="auto"/>
                      <w:szCs w:val="21"/>
                      <w:lang w:val="en-US" w:eastAsia="zh-CN"/>
                    </w:rPr>
                    <w:t>骨料</w:t>
                  </w:r>
                  <w:r>
                    <w:rPr>
                      <w:rFonts w:hint="eastAsia" w:eastAsiaTheme="minorEastAsia"/>
                      <w:b w:val="0"/>
                      <w:bCs/>
                      <w:color w:val="auto"/>
                      <w:szCs w:val="21"/>
                    </w:rPr>
                    <w:t>筛分、烘干废气、热料仓落料废气、燃烧器烟气</w:t>
                  </w:r>
                  <w:r>
                    <w:rPr>
                      <w:rFonts w:hint="eastAsia" w:eastAsiaTheme="minorEastAsia"/>
                      <w:b w:val="0"/>
                      <w:bCs/>
                      <w:color w:val="auto"/>
                      <w:szCs w:val="21"/>
                      <w:lang w:val="en-US" w:eastAsia="zh-CN"/>
                    </w:rPr>
                    <w:t>经各自引风机及管道引入</w:t>
                  </w:r>
                  <w:r>
                    <w:rPr>
                      <w:rFonts w:hint="eastAsia" w:eastAsiaTheme="minorEastAsia"/>
                      <w:b w:val="0"/>
                      <w:bCs/>
                      <w:color w:val="auto"/>
                      <w:szCs w:val="21"/>
                    </w:rPr>
                    <w:t>除尘系统（重力+布袋）处理后，由</w:t>
                  </w:r>
                  <w:r>
                    <w:rPr>
                      <w:rFonts w:hint="eastAsia" w:eastAsiaTheme="minorEastAsia"/>
                      <w:b w:val="0"/>
                      <w:bCs/>
                      <w:color w:val="auto"/>
                      <w:szCs w:val="21"/>
                      <w:lang w:val="en-US" w:eastAsia="zh-CN"/>
                    </w:rPr>
                    <w:t>现有15</w:t>
                  </w:r>
                  <w:r>
                    <w:rPr>
                      <w:rFonts w:hint="eastAsia" w:eastAsiaTheme="minorEastAsia"/>
                      <w:b w:val="0"/>
                      <w:bCs/>
                      <w:color w:val="auto"/>
                      <w:szCs w:val="21"/>
                    </w:rPr>
                    <w:t>m高除尘系统烟囱（DA00</w:t>
                  </w:r>
                  <w:r>
                    <w:rPr>
                      <w:rFonts w:hint="eastAsia" w:eastAsiaTheme="minorEastAsia"/>
                      <w:b w:val="0"/>
                      <w:bCs/>
                      <w:color w:val="auto"/>
                      <w:szCs w:val="21"/>
                      <w:lang w:val="en-US" w:eastAsia="zh-CN"/>
                    </w:rPr>
                    <w:t>1</w:t>
                  </w:r>
                  <w:r>
                    <w:rPr>
                      <w:rFonts w:hint="eastAsia" w:eastAsiaTheme="minorEastAsia"/>
                      <w:b w:val="0"/>
                      <w:bCs/>
                      <w:color w:val="auto"/>
                      <w:szCs w:val="21"/>
                    </w:rPr>
                    <w:t>）排放，除尘效率为99%；</w:t>
                  </w:r>
                  <w:r>
                    <w:rPr>
                      <w:rFonts w:hint="eastAsia" w:eastAsiaTheme="minorEastAsia"/>
                      <w:b w:val="0"/>
                      <w:bCs/>
                      <w:color w:val="auto"/>
                      <w:szCs w:val="21"/>
                      <w:lang w:val="en-US" w:eastAsia="zh-CN"/>
                    </w:rPr>
                    <w:t>沥青烟由密闭管道</w:t>
                  </w:r>
                  <w:r>
                    <w:rPr>
                      <w:rFonts w:hint="eastAsia" w:eastAsiaTheme="minorEastAsia"/>
                      <w:b w:val="0"/>
                      <w:bCs/>
                      <w:color w:val="auto"/>
                      <w:szCs w:val="21"/>
                    </w:rPr>
                    <w:t>经</w:t>
                  </w:r>
                  <w:r>
                    <w:rPr>
                      <w:rFonts w:hint="eastAsia" w:eastAsiaTheme="minorEastAsia"/>
                      <w:b w:val="0"/>
                      <w:bCs/>
                      <w:color w:val="auto"/>
                      <w:szCs w:val="21"/>
                      <w:lang w:val="en-US" w:eastAsia="zh-CN"/>
                    </w:rPr>
                    <w:t>活性炭吸附</w:t>
                  </w:r>
                  <w:r>
                    <w:rPr>
                      <w:rFonts w:hint="eastAsia" w:eastAsiaTheme="minorEastAsia"/>
                      <w:b w:val="0"/>
                      <w:bCs/>
                      <w:color w:val="auto"/>
                      <w:szCs w:val="21"/>
                    </w:rPr>
                    <w:t>（处理效率</w:t>
                  </w:r>
                  <w:r>
                    <w:rPr>
                      <w:rFonts w:hint="eastAsia" w:eastAsiaTheme="minorEastAsia"/>
                      <w:b w:val="0"/>
                      <w:bCs/>
                      <w:color w:val="auto"/>
                      <w:szCs w:val="21"/>
                      <w:highlight w:val="none"/>
                    </w:rPr>
                    <w:t>95%</w:t>
                  </w:r>
                  <w:r>
                    <w:rPr>
                      <w:rFonts w:hint="eastAsia" w:eastAsiaTheme="minorEastAsia"/>
                      <w:b w:val="0"/>
                      <w:bCs/>
                      <w:color w:val="auto"/>
                      <w:szCs w:val="21"/>
                    </w:rPr>
                    <w:t>）处理后，经</w:t>
                  </w:r>
                  <w:r>
                    <w:rPr>
                      <w:rFonts w:hint="eastAsia" w:eastAsiaTheme="minorEastAsia"/>
                      <w:b w:val="0"/>
                      <w:bCs/>
                      <w:color w:val="auto"/>
                      <w:szCs w:val="21"/>
                      <w:lang w:val="en-US" w:eastAsia="zh-CN"/>
                    </w:rPr>
                    <w:t>现有15</w:t>
                  </w:r>
                  <w:r>
                    <w:rPr>
                      <w:rFonts w:hint="eastAsia" w:eastAsiaTheme="minorEastAsia"/>
                      <w:b w:val="0"/>
                      <w:bCs/>
                      <w:color w:val="auto"/>
                      <w:szCs w:val="21"/>
                    </w:rPr>
                    <w:t>m高除尘系统烟囱（DA00</w:t>
                  </w:r>
                  <w:r>
                    <w:rPr>
                      <w:rFonts w:hint="eastAsia" w:eastAsiaTheme="minorEastAsia"/>
                      <w:b w:val="0"/>
                      <w:bCs/>
                      <w:color w:val="auto"/>
                      <w:szCs w:val="21"/>
                      <w:lang w:val="en-US" w:eastAsia="zh-CN"/>
                    </w:rPr>
                    <w:t>1</w:t>
                  </w:r>
                  <w:r>
                    <w:rPr>
                      <w:rFonts w:hint="eastAsia" w:eastAsiaTheme="minorEastAsia"/>
                      <w:b w:val="0"/>
                      <w:bCs/>
                      <w:color w:val="auto"/>
                      <w:szCs w:val="21"/>
                    </w:rPr>
                    <w:t>）排放</w:t>
                  </w:r>
                  <w:r>
                    <w:rPr>
                      <w:rFonts w:hint="eastAsia" w:eastAsiaTheme="minorEastAsia"/>
                      <w:b w:val="0"/>
                      <w:bCs/>
                      <w:color w:val="auto"/>
                      <w:szCs w:val="21"/>
                      <w:lang w:eastAsia="zh-CN"/>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eastAsia="宋体"/>
                      <w:b w:val="0"/>
                      <w:bCs/>
                      <w:color w:val="auto"/>
                      <w:szCs w:val="21"/>
                      <w:lang w:val="en-US" w:eastAsia="zh-CN"/>
                    </w:rPr>
                  </w:pPr>
                  <w:r>
                    <w:rPr>
                      <w:rFonts w:hint="eastAsia"/>
                      <w:b w:val="0"/>
                      <w:bCs/>
                      <w:color w:val="auto"/>
                      <w:szCs w:val="21"/>
                      <w:lang w:val="en-US" w:eastAsia="zh-CN"/>
                    </w:rPr>
                    <w:t>排气筒利旧、其余环保设施新建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892"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废水</w:t>
                  </w:r>
                </w:p>
              </w:tc>
              <w:tc>
                <w:tcPr>
                  <w:tcW w:w="2741" w:type="pct"/>
                  <w:shd w:val="clear" w:color="auto" w:fill="FFFFFF"/>
                  <w:vAlign w:val="center"/>
                </w:tcPr>
                <w:p>
                  <w:pPr>
                    <w:adjustRightInd w:val="0"/>
                    <w:snapToGrid w:val="0"/>
                    <w:textAlignment w:val="center"/>
                    <w:rPr>
                      <w:b w:val="0"/>
                      <w:bCs/>
                      <w:color w:val="auto"/>
                      <w:szCs w:val="21"/>
                    </w:rPr>
                  </w:pPr>
                  <w:r>
                    <w:rPr>
                      <w:b w:val="0"/>
                      <w:bCs/>
                      <w:color w:val="auto"/>
                      <w:szCs w:val="21"/>
                    </w:rPr>
                    <w:t>本项目</w:t>
                  </w:r>
                  <w:r>
                    <w:rPr>
                      <w:rFonts w:hint="eastAsia"/>
                      <w:b w:val="0"/>
                      <w:bCs/>
                      <w:color w:val="auto"/>
                      <w:szCs w:val="21"/>
                    </w:rPr>
                    <w:t>生活污水排入防渗化粪池，定期抽排至市政污水管网，</w:t>
                  </w:r>
                  <w:r>
                    <w:rPr>
                      <w:rFonts w:hint="eastAsia" w:eastAsiaTheme="minorEastAsia"/>
                      <w:b w:val="0"/>
                      <w:bCs/>
                      <w:color w:val="auto"/>
                      <w:kern w:val="0"/>
                      <w:szCs w:val="21"/>
                    </w:rPr>
                    <w:t>沥青搅拌站生产装置区域设置1座</w:t>
                  </w:r>
                  <w:r>
                    <w:rPr>
                      <w:rFonts w:hint="eastAsia" w:eastAsiaTheme="minorEastAsia"/>
                      <w:b w:val="0"/>
                      <w:bCs/>
                      <w:color w:val="auto"/>
                      <w:kern w:val="0"/>
                      <w:szCs w:val="21"/>
                      <w:highlight w:val="none"/>
                      <w:lang w:val="en-US" w:eastAsia="zh-CN"/>
                    </w:rPr>
                    <w:t>100</w:t>
                  </w:r>
                  <w:r>
                    <w:rPr>
                      <w:rFonts w:hint="eastAsia" w:eastAsiaTheme="minorEastAsia"/>
                      <w:b w:val="0"/>
                      <w:bCs/>
                      <w:color w:val="auto"/>
                      <w:kern w:val="0"/>
                      <w:szCs w:val="21"/>
                      <w:highlight w:val="none"/>
                    </w:rPr>
                    <w:t>m</w:t>
                  </w:r>
                  <w:r>
                    <w:rPr>
                      <w:rFonts w:hint="eastAsia" w:eastAsiaTheme="minorEastAsia"/>
                      <w:b w:val="0"/>
                      <w:bCs/>
                      <w:color w:val="auto"/>
                      <w:kern w:val="0"/>
                      <w:szCs w:val="21"/>
                      <w:highlight w:val="none"/>
                      <w:vertAlign w:val="superscript"/>
                    </w:rPr>
                    <w:t>3</w:t>
                  </w:r>
                  <w:r>
                    <w:rPr>
                      <w:rFonts w:hint="eastAsia" w:eastAsiaTheme="minorEastAsia"/>
                      <w:b w:val="0"/>
                      <w:bCs/>
                      <w:color w:val="auto"/>
                      <w:kern w:val="0"/>
                      <w:szCs w:val="21"/>
                      <w:lang w:val="en-US" w:eastAsia="zh-CN"/>
                    </w:rPr>
                    <w:t>隔油沉淀</w:t>
                  </w:r>
                  <w:r>
                    <w:rPr>
                      <w:rFonts w:hint="eastAsia" w:eastAsiaTheme="minorEastAsia"/>
                      <w:b w:val="0"/>
                      <w:bCs/>
                      <w:color w:val="auto"/>
                      <w:kern w:val="0"/>
                      <w:szCs w:val="21"/>
                    </w:rPr>
                    <w:t>池</w:t>
                  </w:r>
                  <w:r>
                    <w:rPr>
                      <w:rFonts w:hint="eastAsia" w:eastAsiaTheme="minorEastAsia"/>
                      <w:b w:val="0"/>
                      <w:bCs/>
                      <w:color w:val="auto"/>
                      <w:kern w:val="0"/>
                      <w:szCs w:val="21"/>
                      <w:lang w:eastAsia="zh-CN"/>
                    </w:rPr>
                    <w:t>，</w:t>
                  </w:r>
                  <w:r>
                    <w:rPr>
                      <w:rFonts w:hint="eastAsia" w:eastAsiaTheme="minorEastAsia"/>
                      <w:b w:val="0"/>
                      <w:bCs/>
                      <w:color w:val="auto"/>
                      <w:kern w:val="0"/>
                      <w:szCs w:val="21"/>
                      <w:lang w:val="en-US" w:eastAsia="zh-CN"/>
                    </w:rPr>
                    <w:t>初期雨水、生产废水经隔油沉淀后回用不外排</w:t>
                  </w:r>
                  <w:r>
                    <w:rPr>
                      <w:b w:val="0"/>
                      <w:bCs/>
                      <w:color w:val="auto"/>
                      <w:szCs w:val="21"/>
                    </w:rPr>
                    <w:t>。</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b w:val="0"/>
                      <w:bCs/>
                      <w:color w:val="auto"/>
                      <w:szCs w:val="21"/>
                      <w:lang w:val="en-US"/>
                    </w:rPr>
                  </w:pPr>
                  <w:r>
                    <w:rPr>
                      <w:rFonts w:hint="eastAsia"/>
                      <w:b w:val="0"/>
                      <w:bCs/>
                      <w:color w:val="auto"/>
                      <w:szCs w:val="21"/>
                      <w:lang w:val="en-US" w:eastAsia="zh-CN"/>
                    </w:rPr>
                    <w:t>旱厕利旧、初期雨水池新建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45" w:type="pct"/>
                  <w:vMerge w:val="continue"/>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p>
              </w:tc>
              <w:tc>
                <w:tcPr>
                  <w:tcW w:w="892"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噪声</w:t>
                  </w:r>
                </w:p>
              </w:tc>
              <w:tc>
                <w:tcPr>
                  <w:tcW w:w="2741" w:type="pct"/>
                  <w:shd w:val="clear" w:color="auto" w:fill="FFFFFF"/>
                  <w:vAlign w:val="center"/>
                </w:tcPr>
                <w:p>
                  <w:pPr>
                    <w:adjustRightInd w:val="0"/>
                    <w:snapToGrid w:val="0"/>
                    <w:textAlignment w:val="center"/>
                    <w:rPr>
                      <w:b w:val="0"/>
                      <w:bCs/>
                      <w:color w:val="auto"/>
                      <w:szCs w:val="21"/>
                      <w:highlight w:val="red"/>
                    </w:rPr>
                  </w:pPr>
                  <w:r>
                    <w:rPr>
                      <w:b w:val="0"/>
                      <w:bCs/>
                      <w:color w:val="auto"/>
                      <w:szCs w:val="21"/>
                    </w:rPr>
                    <w:t>选用低噪声设备，安装基础减振措施，</w:t>
                  </w:r>
                  <w:r>
                    <w:rPr>
                      <w:rFonts w:hint="eastAsia"/>
                      <w:b w:val="0"/>
                      <w:bCs/>
                      <w:color w:val="auto"/>
                      <w:szCs w:val="21"/>
                    </w:rPr>
                    <w:t>厂房隔声，厂界</w:t>
                  </w:r>
                  <w:r>
                    <w:rPr>
                      <w:b w:val="0"/>
                      <w:bCs/>
                      <w:color w:val="auto"/>
                      <w:szCs w:val="21"/>
                    </w:rPr>
                    <w:t>达到《工业企业厂界环境噪声排放标准》（GB12348-2008）</w:t>
                  </w:r>
                  <w:r>
                    <w:rPr>
                      <w:rFonts w:hint="eastAsia"/>
                      <w:b w:val="0"/>
                      <w:bCs/>
                      <w:color w:val="auto"/>
                      <w:szCs w:val="21"/>
                    </w:rPr>
                    <w:t>2</w:t>
                  </w:r>
                  <w:r>
                    <w:rPr>
                      <w:b w:val="0"/>
                      <w:bCs/>
                      <w:color w:val="auto"/>
                      <w:szCs w:val="21"/>
                    </w:rPr>
                    <w:t>类标准</w:t>
                  </w:r>
                  <w:r>
                    <w:rPr>
                      <w:rFonts w:hint="eastAsia"/>
                      <w:b w:val="0"/>
                      <w:bCs/>
                      <w:color w:val="auto"/>
                      <w:szCs w:val="21"/>
                    </w:rPr>
                    <w:t>要求</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b w:val="0"/>
                      <w:bCs/>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45" w:type="pct"/>
                  <w:vMerge w:val="continue"/>
                  <w:shd w:val="clear" w:color="auto" w:fill="FFFFFF"/>
                  <w:vAlign w:val="center"/>
                </w:tcPr>
                <w:p>
                  <w:pPr>
                    <w:pStyle w:val="112"/>
                    <w:widowControl w:val="0"/>
                    <w:tabs>
                      <w:tab w:val="left" w:pos="6480"/>
                    </w:tabs>
                    <w:adjustRightInd w:val="0"/>
                    <w:snapToGrid w:val="0"/>
                    <w:textAlignment w:val="center"/>
                    <w:rPr>
                      <w:b w:val="0"/>
                      <w:bCs/>
                      <w:color w:val="auto"/>
                      <w:szCs w:val="21"/>
                    </w:rPr>
                  </w:pPr>
                </w:p>
              </w:tc>
              <w:tc>
                <w:tcPr>
                  <w:tcW w:w="892" w:type="pct"/>
                  <w:shd w:val="clear" w:color="auto" w:fill="FFFFFF"/>
                  <w:vAlign w:val="center"/>
                </w:tcPr>
                <w:p>
                  <w:pPr>
                    <w:adjustRightInd w:val="0"/>
                    <w:snapToGrid w:val="0"/>
                    <w:jc w:val="center"/>
                    <w:textAlignment w:val="center"/>
                    <w:rPr>
                      <w:b w:val="0"/>
                      <w:bCs/>
                      <w:color w:val="auto"/>
                      <w:szCs w:val="21"/>
                    </w:rPr>
                  </w:pPr>
                  <w:r>
                    <w:rPr>
                      <w:b w:val="0"/>
                      <w:bCs/>
                      <w:color w:val="auto"/>
                      <w:szCs w:val="21"/>
                    </w:rPr>
                    <w:t>固废</w:t>
                  </w:r>
                </w:p>
              </w:tc>
              <w:tc>
                <w:tcPr>
                  <w:tcW w:w="2741" w:type="pct"/>
                  <w:shd w:val="clear" w:color="auto" w:fill="FFFFFF"/>
                  <w:vAlign w:val="center"/>
                </w:tcPr>
                <w:p>
                  <w:pPr>
                    <w:adjustRightInd w:val="0"/>
                    <w:snapToGrid w:val="0"/>
                    <w:textAlignment w:val="center"/>
                    <w:rPr>
                      <w:b w:val="0"/>
                      <w:bCs/>
                      <w:color w:val="auto"/>
                      <w:szCs w:val="21"/>
                    </w:rPr>
                  </w:pPr>
                  <w:r>
                    <w:rPr>
                      <w:b w:val="0"/>
                      <w:bCs/>
                      <w:color w:val="auto"/>
                      <w:szCs w:val="21"/>
                    </w:rPr>
                    <w:t>除尘器中收集的原料粉尘均回收利用。</w:t>
                  </w:r>
                </w:p>
                <w:p>
                  <w:pPr>
                    <w:adjustRightInd w:val="0"/>
                    <w:snapToGrid w:val="0"/>
                    <w:textAlignment w:val="center"/>
                    <w:rPr>
                      <w:b w:val="0"/>
                      <w:bCs/>
                      <w:color w:val="auto"/>
                      <w:szCs w:val="21"/>
                    </w:rPr>
                  </w:pPr>
                  <w:r>
                    <w:rPr>
                      <w:b w:val="0"/>
                      <w:bCs/>
                      <w:color w:val="auto"/>
                      <w:szCs w:val="21"/>
                    </w:rPr>
                    <w:t>失效活性炭属于危险废物，暂存在厂内危废</w:t>
                  </w:r>
                  <w:r>
                    <w:rPr>
                      <w:rFonts w:hint="eastAsia"/>
                      <w:b w:val="0"/>
                      <w:bCs/>
                      <w:color w:val="auto"/>
                      <w:szCs w:val="21"/>
                      <w:lang w:val="en-US" w:eastAsia="zh-CN"/>
                    </w:rPr>
                    <w:t>贮存点</w:t>
                  </w:r>
                  <w:r>
                    <w:rPr>
                      <w:b w:val="0"/>
                      <w:bCs/>
                      <w:color w:val="auto"/>
                      <w:szCs w:val="21"/>
                    </w:rPr>
                    <w:t>，委托由有资质的单位清运处置。</w:t>
                  </w:r>
                </w:p>
                <w:p>
                  <w:pPr>
                    <w:adjustRightInd w:val="0"/>
                    <w:snapToGrid w:val="0"/>
                    <w:textAlignment w:val="center"/>
                    <w:rPr>
                      <w:b w:val="0"/>
                      <w:bCs/>
                      <w:color w:val="auto"/>
                      <w:szCs w:val="21"/>
                    </w:rPr>
                  </w:pPr>
                  <w:r>
                    <w:rPr>
                      <w:b w:val="0"/>
                      <w:bCs/>
                      <w:color w:val="auto"/>
                      <w:szCs w:val="21"/>
                    </w:rPr>
                    <w:t>本项目废导热油委托有资质单位处置。</w:t>
                  </w:r>
                </w:p>
                <w:p>
                  <w:pPr>
                    <w:adjustRightInd w:val="0"/>
                    <w:snapToGrid w:val="0"/>
                    <w:textAlignment w:val="center"/>
                    <w:rPr>
                      <w:rFonts w:hint="default" w:eastAsia="宋体"/>
                      <w:b w:val="0"/>
                      <w:bCs/>
                      <w:color w:val="auto"/>
                      <w:szCs w:val="21"/>
                      <w:lang w:val="en-US" w:eastAsia="zh-CN"/>
                    </w:rPr>
                  </w:pPr>
                  <w:r>
                    <w:rPr>
                      <w:rFonts w:hint="eastAsia"/>
                      <w:b w:val="0"/>
                      <w:bCs/>
                      <w:color w:val="auto"/>
                      <w:szCs w:val="21"/>
                      <w:lang w:val="en-US" w:eastAsia="zh-CN"/>
                    </w:rPr>
                    <w:t>隔油池油污</w:t>
                  </w:r>
                  <w:r>
                    <w:rPr>
                      <w:b w:val="0"/>
                      <w:bCs/>
                      <w:color w:val="auto"/>
                      <w:szCs w:val="21"/>
                    </w:rPr>
                    <w:t>委托有资质单位处置。</w:t>
                  </w:r>
                </w:p>
                <w:p>
                  <w:pPr>
                    <w:adjustRightInd w:val="0"/>
                    <w:snapToGrid w:val="0"/>
                    <w:textAlignment w:val="center"/>
                    <w:rPr>
                      <w:b w:val="0"/>
                      <w:bCs/>
                      <w:color w:val="auto"/>
                      <w:szCs w:val="21"/>
                    </w:rPr>
                  </w:pPr>
                  <w:r>
                    <w:rPr>
                      <w:b w:val="0"/>
                      <w:bCs/>
                      <w:color w:val="auto"/>
                      <w:szCs w:val="21"/>
                    </w:rPr>
                    <w:t>不合格石料作为路基材料外卖。</w:t>
                  </w:r>
                </w:p>
                <w:p>
                  <w:pPr>
                    <w:adjustRightInd w:val="0"/>
                    <w:snapToGrid w:val="0"/>
                    <w:textAlignment w:val="center"/>
                    <w:rPr>
                      <w:b w:val="0"/>
                      <w:bCs/>
                      <w:color w:val="auto"/>
                    </w:rPr>
                  </w:pPr>
                  <w:r>
                    <w:rPr>
                      <w:b w:val="0"/>
                      <w:bCs/>
                      <w:color w:val="auto"/>
                      <w:szCs w:val="21"/>
                    </w:rPr>
                    <w:t>生活垃圾及废布袋由市政环卫部门处理；</w:t>
                  </w:r>
                </w:p>
              </w:tc>
              <w:tc>
                <w:tcPr>
                  <w:tcW w:w="720" w:type="pct"/>
                  <w:shd w:val="clear" w:color="auto" w:fill="FFFFFF"/>
                  <w:vAlign w:val="center"/>
                </w:tcPr>
                <w:p>
                  <w:pPr>
                    <w:pStyle w:val="112"/>
                    <w:widowControl w:val="0"/>
                    <w:tabs>
                      <w:tab w:val="left" w:pos="6480"/>
                    </w:tabs>
                    <w:adjustRightInd w:val="0"/>
                    <w:snapToGrid w:val="0"/>
                    <w:jc w:val="center"/>
                    <w:textAlignment w:val="center"/>
                    <w:rPr>
                      <w:b w:val="0"/>
                      <w:bCs/>
                      <w:color w:val="auto"/>
                      <w:szCs w:val="21"/>
                    </w:rPr>
                  </w:pPr>
                  <w:r>
                    <w:rPr>
                      <w:rFonts w:hint="eastAsia"/>
                      <w:b w:val="0"/>
                      <w:bCs/>
                      <w:color w:val="auto"/>
                      <w:szCs w:val="21"/>
                    </w:rPr>
                    <w:t>依托</w:t>
                  </w:r>
                  <w:r>
                    <w:rPr>
                      <w:rFonts w:hint="eastAsia"/>
                      <w:b w:val="0"/>
                      <w:bCs/>
                      <w:color w:val="auto"/>
                      <w:szCs w:val="21"/>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45" w:type="pct"/>
                  <w:vMerge w:val="continue"/>
                  <w:shd w:val="clear" w:color="auto" w:fill="FFFFFF"/>
                  <w:vAlign w:val="center"/>
                </w:tcPr>
                <w:p>
                  <w:pPr>
                    <w:pStyle w:val="112"/>
                    <w:widowControl w:val="0"/>
                    <w:tabs>
                      <w:tab w:val="left" w:pos="6480"/>
                    </w:tabs>
                    <w:adjustRightInd w:val="0"/>
                    <w:snapToGrid w:val="0"/>
                    <w:textAlignment w:val="center"/>
                    <w:rPr>
                      <w:b w:val="0"/>
                      <w:bCs/>
                      <w:color w:val="auto"/>
                      <w:szCs w:val="21"/>
                    </w:rPr>
                  </w:pPr>
                  <w:bookmarkStart w:id="10" w:name="_Toc4750"/>
                  <w:bookmarkStart w:id="11" w:name="_Toc25216"/>
                  <w:bookmarkStart w:id="12" w:name="_Toc7660"/>
                  <w:bookmarkStart w:id="13" w:name="_Toc25918"/>
                  <w:bookmarkStart w:id="14" w:name="_Toc44234540"/>
                </w:p>
              </w:tc>
              <w:tc>
                <w:tcPr>
                  <w:tcW w:w="892" w:type="pct"/>
                  <w:shd w:val="clear" w:color="auto" w:fill="FFFFFF"/>
                  <w:vAlign w:val="center"/>
                </w:tcPr>
                <w:p>
                  <w:pPr>
                    <w:adjustRightInd w:val="0"/>
                    <w:snapToGrid w:val="0"/>
                    <w:jc w:val="center"/>
                    <w:textAlignment w:val="center"/>
                    <w:rPr>
                      <w:b w:val="0"/>
                      <w:bCs/>
                      <w:color w:val="auto"/>
                      <w:szCs w:val="21"/>
                    </w:rPr>
                  </w:pPr>
                  <w:r>
                    <w:rPr>
                      <w:rFonts w:hint="eastAsia"/>
                      <w:b w:val="0"/>
                      <w:bCs/>
                      <w:color w:val="auto"/>
                      <w:szCs w:val="21"/>
                    </w:rPr>
                    <w:t>地下防渗措施</w:t>
                  </w:r>
                </w:p>
              </w:tc>
              <w:tc>
                <w:tcPr>
                  <w:tcW w:w="2741" w:type="pct"/>
                  <w:shd w:val="clear" w:color="auto" w:fill="FFFFFF"/>
                  <w:vAlign w:val="center"/>
                </w:tcPr>
                <w:p>
                  <w:pPr>
                    <w:adjustRightInd w:val="0"/>
                    <w:snapToGrid w:val="0"/>
                    <w:textAlignment w:val="center"/>
                    <w:rPr>
                      <w:b w:val="0"/>
                      <w:bCs/>
                      <w:color w:val="auto"/>
                      <w:szCs w:val="21"/>
                    </w:rPr>
                  </w:pPr>
                  <w:r>
                    <w:rPr>
                      <w:rFonts w:hint="eastAsia"/>
                      <w:b w:val="0"/>
                      <w:bCs/>
                      <w:color w:val="auto"/>
                      <w:szCs w:val="21"/>
                    </w:rPr>
                    <w:t>危废</w:t>
                  </w:r>
                  <w:r>
                    <w:rPr>
                      <w:rFonts w:hint="eastAsia"/>
                      <w:b w:val="0"/>
                      <w:bCs/>
                      <w:color w:val="auto"/>
                      <w:szCs w:val="21"/>
                      <w:lang w:val="en-US" w:eastAsia="zh-CN"/>
                    </w:rPr>
                    <w:t>贮存点</w:t>
                  </w:r>
                  <w:r>
                    <w:rPr>
                      <w:rFonts w:hint="eastAsia"/>
                      <w:b w:val="0"/>
                      <w:bCs/>
                      <w:color w:val="auto"/>
                      <w:kern w:val="0"/>
                      <w:szCs w:val="21"/>
                    </w:rPr>
                    <w:t>设置标识、围堰，基础必须防渗，防渗层为2mm厚高密度氯乙烯防渗，渗透系数≤1×10</w:t>
                  </w:r>
                  <w:r>
                    <w:rPr>
                      <w:rFonts w:hint="eastAsia"/>
                      <w:b w:val="0"/>
                      <w:bCs/>
                      <w:color w:val="auto"/>
                      <w:kern w:val="0"/>
                      <w:szCs w:val="21"/>
                      <w:vertAlign w:val="superscript"/>
                    </w:rPr>
                    <w:t>-10</w:t>
                  </w:r>
                  <w:r>
                    <w:rPr>
                      <w:rFonts w:hint="eastAsia"/>
                      <w:b w:val="0"/>
                      <w:bCs/>
                      <w:color w:val="auto"/>
                      <w:kern w:val="0"/>
                      <w:szCs w:val="21"/>
                    </w:rPr>
                    <w:t>cm/s；</w:t>
                  </w:r>
                </w:p>
              </w:tc>
              <w:tc>
                <w:tcPr>
                  <w:tcW w:w="720" w:type="pct"/>
                  <w:shd w:val="clear" w:color="auto" w:fill="FFFFFF"/>
                  <w:vAlign w:val="center"/>
                </w:tcPr>
                <w:p>
                  <w:pPr>
                    <w:pStyle w:val="112"/>
                    <w:widowControl w:val="0"/>
                    <w:tabs>
                      <w:tab w:val="left" w:pos="6480"/>
                    </w:tabs>
                    <w:adjustRightInd w:val="0"/>
                    <w:snapToGrid w:val="0"/>
                    <w:jc w:val="center"/>
                    <w:textAlignment w:val="center"/>
                    <w:rPr>
                      <w:rFonts w:hint="default" w:eastAsia="宋体"/>
                      <w:b w:val="0"/>
                      <w:bCs/>
                      <w:color w:val="auto"/>
                      <w:szCs w:val="21"/>
                      <w:lang w:val="en-US" w:eastAsia="zh-CN"/>
                    </w:rPr>
                  </w:pPr>
                  <w:r>
                    <w:rPr>
                      <w:rFonts w:hint="eastAsia"/>
                      <w:b w:val="0"/>
                      <w:bCs/>
                      <w:color w:val="auto"/>
                      <w:szCs w:val="21"/>
                      <w:lang w:val="en-US" w:eastAsia="zh-CN"/>
                    </w:rPr>
                    <w:t>依托现有</w:t>
                  </w:r>
                </w:p>
              </w:tc>
            </w:tr>
          </w:tbl>
          <w:p>
            <w:pPr>
              <w:spacing w:line="360" w:lineRule="auto"/>
              <w:rPr>
                <w:rFonts w:eastAsia="黑体"/>
                <w:b w:val="0"/>
                <w:bCs/>
                <w:color w:val="auto"/>
                <w:sz w:val="28"/>
                <w:szCs w:val="28"/>
              </w:rPr>
            </w:pPr>
            <w:r>
              <w:rPr>
                <w:rFonts w:hint="eastAsia" w:eastAsia="黑体"/>
                <w:b w:val="0"/>
                <w:bCs/>
                <w:color w:val="auto"/>
                <w:sz w:val="28"/>
                <w:szCs w:val="28"/>
              </w:rPr>
              <w:t>二、</w:t>
            </w:r>
            <w:r>
              <w:rPr>
                <w:rFonts w:eastAsia="黑体"/>
                <w:b w:val="0"/>
                <w:bCs/>
                <w:color w:val="auto"/>
                <w:sz w:val="28"/>
                <w:szCs w:val="28"/>
              </w:rPr>
              <w:t>主要原辅材料</w:t>
            </w:r>
            <w:bookmarkEnd w:id="10"/>
            <w:bookmarkEnd w:id="11"/>
            <w:bookmarkEnd w:id="12"/>
            <w:r>
              <w:rPr>
                <w:rFonts w:hint="eastAsia" w:eastAsia="黑体"/>
                <w:b w:val="0"/>
                <w:bCs/>
                <w:color w:val="auto"/>
                <w:sz w:val="28"/>
                <w:szCs w:val="28"/>
              </w:rPr>
              <w:t>及产品</w:t>
            </w:r>
            <w:bookmarkEnd w:id="13"/>
          </w:p>
          <w:p>
            <w:pPr>
              <w:pStyle w:val="86"/>
              <w:spacing w:line="480" w:lineRule="exact"/>
              <w:rPr>
                <w:b w:val="0"/>
                <w:bCs/>
                <w:color w:val="auto"/>
              </w:rPr>
            </w:pPr>
            <w:bookmarkStart w:id="15" w:name="_Toc7391"/>
            <w:bookmarkStart w:id="16" w:name="_Toc5350"/>
            <w:bookmarkStart w:id="17" w:name="_Toc8267"/>
            <w:bookmarkStart w:id="18" w:name="_Toc16535"/>
            <w:r>
              <w:rPr>
                <w:rFonts w:cs="Times New Roman"/>
                <w:b w:val="0"/>
                <w:bCs/>
                <w:color w:val="auto"/>
              </w:rPr>
              <w:t>本项目石料、矿粉、沥青均采用汽车运输方式，物料进厂后，矿粉经气力装置输送进入矿粉筒仓存储，石料卸载至堆场进行存储，沥青卸载至沥青储罐，进行存储。上料时，矿粉经气力输送装置送入搅拌仓，石料经皮带运输设备送至计量、烘干、筛分设备，再经过提升机送入搅拌仓，沥青经加热后，通过密封管道送至搅拌仓。</w:t>
            </w:r>
            <w:r>
              <w:rPr>
                <w:rFonts w:hint="eastAsia" w:cs="Times New Roman"/>
                <w:b w:val="0"/>
                <w:bCs/>
                <w:color w:val="auto"/>
              </w:rPr>
              <w:t>天然气用气罐车运送到企业内，直接用于燃烧。</w:t>
            </w:r>
            <w:r>
              <w:rPr>
                <w:rFonts w:cs="Times New Roman"/>
                <w:b w:val="0"/>
                <w:bCs/>
                <w:color w:val="auto"/>
              </w:rPr>
              <w:t xml:space="preserve"> 本项目原辅料使用情况详见下表：</w:t>
            </w:r>
          </w:p>
          <w:p>
            <w:pPr>
              <w:adjustRightInd w:val="0"/>
              <w:jc w:val="center"/>
              <w:rPr>
                <w:rFonts w:eastAsia="黑体"/>
                <w:b w:val="0"/>
                <w:bCs/>
                <w:color w:val="auto"/>
                <w:sz w:val="24"/>
              </w:rPr>
            </w:pPr>
            <w:r>
              <w:rPr>
                <w:rFonts w:hint="eastAsia" w:eastAsia="黑体"/>
                <w:b w:val="0"/>
                <w:bCs/>
                <w:color w:val="auto"/>
                <w:sz w:val="24"/>
              </w:rPr>
              <w:t>表2-2  原辅材料一览表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2215"/>
              <w:gridCol w:w="2217"/>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jc w:val="center"/>
                    <w:rPr>
                      <w:b w:val="0"/>
                      <w:bCs/>
                      <w:color w:val="auto"/>
                      <w:kern w:val="0"/>
                      <w:sz w:val="20"/>
                      <w:szCs w:val="20"/>
                    </w:rPr>
                  </w:pPr>
                  <w:r>
                    <w:rPr>
                      <w:rFonts w:hint="eastAsia"/>
                      <w:b w:val="0"/>
                      <w:bCs/>
                      <w:color w:val="auto"/>
                      <w:kern w:val="0"/>
                      <w:sz w:val="20"/>
                      <w:szCs w:val="20"/>
                    </w:rPr>
                    <w:t>序号</w:t>
                  </w:r>
                </w:p>
              </w:tc>
              <w:tc>
                <w:tcPr>
                  <w:tcW w:w="1249" w:type="pct"/>
                </w:tcPr>
                <w:p>
                  <w:pPr>
                    <w:jc w:val="center"/>
                    <w:rPr>
                      <w:b w:val="0"/>
                      <w:bCs/>
                      <w:color w:val="auto"/>
                      <w:kern w:val="0"/>
                      <w:sz w:val="20"/>
                      <w:szCs w:val="20"/>
                    </w:rPr>
                  </w:pPr>
                  <w:r>
                    <w:rPr>
                      <w:rFonts w:hint="eastAsia"/>
                      <w:b w:val="0"/>
                      <w:bCs/>
                      <w:color w:val="auto"/>
                      <w:kern w:val="0"/>
                      <w:sz w:val="20"/>
                      <w:szCs w:val="20"/>
                    </w:rPr>
                    <w:t>原料名称</w:t>
                  </w:r>
                </w:p>
              </w:tc>
              <w:tc>
                <w:tcPr>
                  <w:tcW w:w="1250" w:type="pct"/>
                </w:tcPr>
                <w:p>
                  <w:pPr>
                    <w:jc w:val="center"/>
                    <w:rPr>
                      <w:rFonts w:hint="default" w:eastAsia="宋体"/>
                      <w:b w:val="0"/>
                      <w:bCs/>
                      <w:color w:val="auto"/>
                      <w:kern w:val="0"/>
                      <w:sz w:val="20"/>
                      <w:szCs w:val="20"/>
                      <w:lang w:val="en-US" w:eastAsia="zh-CN"/>
                    </w:rPr>
                  </w:pPr>
                  <w:r>
                    <w:rPr>
                      <w:rFonts w:hint="eastAsia"/>
                      <w:b w:val="0"/>
                      <w:bCs/>
                      <w:color w:val="auto"/>
                      <w:kern w:val="0"/>
                      <w:sz w:val="20"/>
                      <w:szCs w:val="20"/>
                    </w:rPr>
                    <w:t>用量</w:t>
                  </w:r>
                  <w:r>
                    <w:rPr>
                      <w:rFonts w:hint="eastAsia"/>
                      <w:b w:val="0"/>
                      <w:bCs/>
                      <w:color w:val="auto"/>
                      <w:kern w:val="0"/>
                      <w:sz w:val="20"/>
                      <w:szCs w:val="20"/>
                      <w:lang w:val="en-US" w:eastAsia="zh-CN"/>
                    </w:rPr>
                    <w:t>t/a</w:t>
                  </w:r>
                </w:p>
              </w:tc>
              <w:tc>
                <w:tcPr>
                  <w:tcW w:w="1251" w:type="pct"/>
                </w:tcPr>
                <w:p>
                  <w:pPr>
                    <w:jc w:val="center"/>
                    <w:rPr>
                      <w:b w:val="0"/>
                      <w:bCs/>
                      <w:color w:val="auto"/>
                      <w:kern w:val="0"/>
                      <w:sz w:val="20"/>
                      <w:szCs w:val="20"/>
                    </w:rPr>
                  </w:pPr>
                  <w:r>
                    <w:rPr>
                      <w:rFonts w:hint="eastAsia"/>
                      <w:b w:val="0"/>
                      <w:bCs/>
                      <w:color w:val="auto"/>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b w:val="0"/>
                      <w:bCs/>
                      <w:color w:val="auto"/>
                      <w:kern w:val="0"/>
                      <w:sz w:val="20"/>
                      <w:szCs w:val="20"/>
                    </w:rPr>
                  </w:pPr>
                  <w:r>
                    <w:rPr>
                      <w:rFonts w:hint="eastAsia"/>
                      <w:b w:val="0"/>
                      <w:bCs/>
                      <w:color w:val="auto"/>
                      <w:kern w:val="0"/>
                      <w:sz w:val="20"/>
                      <w:szCs w:val="20"/>
                    </w:rPr>
                    <w:t>1</w:t>
                  </w:r>
                </w:p>
              </w:tc>
              <w:tc>
                <w:tcPr>
                  <w:tcW w:w="2215" w:type="dxa"/>
                  <w:vAlign w:val="center"/>
                </w:tcPr>
                <w:p>
                  <w:pPr>
                    <w:pStyle w:val="99"/>
                    <w:spacing w:beforeLines="0" w:afterLines="0" w:line="0" w:lineRule="atLeast"/>
                    <w:ind w:firstLine="0" w:firstLineChars="0"/>
                    <w:jc w:val="center"/>
                    <w:textAlignment w:val="baseline"/>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sz w:val="21"/>
                      <w:szCs w:val="21"/>
                    </w:rPr>
                    <w:t>碎石</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30825</w:t>
                  </w:r>
                </w:p>
              </w:tc>
              <w:tc>
                <w:tcPr>
                  <w:tcW w:w="1251" w:type="pct"/>
                </w:tcPr>
                <w:p>
                  <w:pPr>
                    <w:jc w:val="center"/>
                    <w:rPr>
                      <w:b w:val="0"/>
                      <w:bCs/>
                      <w:color w:val="auto"/>
                      <w:kern w:val="0"/>
                      <w:sz w:val="20"/>
                      <w:szCs w:val="20"/>
                    </w:rPr>
                  </w:pPr>
                  <w:r>
                    <w:rPr>
                      <w:rFonts w:hint="eastAsia"/>
                      <w:b w:val="0"/>
                      <w:bCs/>
                      <w:color w:val="auto"/>
                      <w:kern w:val="0"/>
                      <w:sz w:val="20"/>
                      <w:szCs w:val="20"/>
                    </w:rPr>
                    <w:t>外购， 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b w:val="0"/>
                      <w:bCs/>
                      <w:color w:val="auto"/>
                      <w:kern w:val="0"/>
                      <w:sz w:val="20"/>
                      <w:szCs w:val="20"/>
                    </w:rPr>
                  </w:pPr>
                  <w:r>
                    <w:rPr>
                      <w:rFonts w:hint="eastAsia"/>
                      <w:b w:val="0"/>
                      <w:bCs/>
                      <w:color w:val="auto"/>
                      <w:kern w:val="0"/>
                      <w:sz w:val="20"/>
                      <w:szCs w:val="20"/>
                    </w:rPr>
                    <w:t>2</w:t>
                  </w:r>
                </w:p>
              </w:tc>
              <w:tc>
                <w:tcPr>
                  <w:tcW w:w="2215" w:type="dxa"/>
                  <w:vAlign w:val="top"/>
                </w:tcPr>
                <w:p>
                  <w:pPr>
                    <w:pStyle w:val="99"/>
                    <w:spacing w:beforeLines="0" w:afterLines="0" w:line="0" w:lineRule="atLeast"/>
                    <w:ind w:firstLine="0" w:firstLineChars="0"/>
                    <w:jc w:val="center"/>
                    <w:textAlignment w:val="baseline"/>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sz w:val="21"/>
                      <w:szCs w:val="21"/>
                    </w:rPr>
                    <w:t>矿粉</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2250</w:t>
                  </w:r>
                </w:p>
              </w:tc>
              <w:tc>
                <w:tcPr>
                  <w:tcW w:w="1251" w:type="pct"/>
                </w:tcPr>
                <w:p>
                  <w:pPr>
                    <w:jc w:val="center"/>
                    <w:rPr>
                      <w:b w:val="0"/>
                      <w:bCs/>
                      <w:color w:val="auto"/>
                      <w:kern w:val="0"/>
                      <w:sz w:val="20"/>
                      <w:szCs w:val="20"/>
                    </w:rPr>
                  </w:pPr>
                  <w:r>
                    <w:rPr>
                      <w:rFonts w:hint="eastAsia"/>
                      <w:b w:val="0"/>
                      <w:bCs/>
                      <w:color w:val="auto"/>
                      <w:kern w:val="0"/>
                      <w:sz w:val="20"/>
                      <w:szCs w:val="20"/>
                    </w:rPr>
                    <w:t>外购， 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b w:val="0"/>
                      <w:bCs/>
                      <w:color w:val="auto"/>
                      <w:kern w:val="0"/>
                      <w:sz w:val="20"/>
                      <w:szCs w:val="20"/>
                    </w:rPr>
                  </w:pPr>
                  <w:r>
                    <w:rPr>
                      <w:rFonts w:hint="eastAsia"/>
                      <w:b w:val="0"/>
                      <w:bCs/>
                      <w:color w:val="auto"/>
                      <w:kern w:val="0"/>
                      <w:sz w:val="20"/>
                      <w:szCs w:val="20"/>
                    </w:rPr>
                    <w:t>3</w:t>
                  </w:r>
                </w:p>
              </w:tc>
              <w:tc>
                <w:tcPr>
                  <w:tcW w:w="2215" w:type="dxa"/>
                  <w:vAlign w:val="top"/>
                </w:tcPr>
                <w:p>
                  <w:pPr>
                    <w:pStyle w:val="99"/>
                    <w:spacing w:beforeLines="0" w:afterLines="0" w:line="0" w:lineRule="atLeast"/>
                    <w:ind w:firstLine="0" w:firstLineChars="0"/>
                    <w:jc w:val="center"/>
                    <w:textAlignment w:val="baseline"/>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sz w:val="21"/>
                      <w:szCs w:val="21"/>
                    </w:rPr>
                    <w:t>沥青</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1925</w:t>
                  </w:r>
                </w:p>
              </w:tc>
              <w:tc>
                <w:tcPr>
                  <w:tcW w:w="1251" w:type="pct"/>
                </w:tcPr>
                <w:p>
                  <w:pPr>
                    <w:jc w:val="center"/>
                    <w:rPr>
                      <w:b w:val="0"/>
                      <w:bCs/>
                      <w:color w:val="auto"/>
                      <w:kern w:val="0"/>
                      <w:sz w:val="20"/>
                      <w:szCs w:val="20"/>
                    </w:rPr>
                  </w:pPr>
                  <w:r>
                    <w:rPr>
                      <w:rFonts w:hint="eastAsia"/>
                      <w:b w:val="0"/>
                      <w:bCs/>
                      <w:color w:val="auto"/>
                      <w:kern w:val="0"/>
                      <w:sz w:val="20"/>
                      <w:szCs w:val="20"/>
                    </w:rPr>
                    <w:t>外购， 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b w:val="0"/>
                      <w:bCs/>
                      <w:color w:val="auto"/>
                      <w:kern w:val="0"/>
                      <w:sz w:val="20"/>
                      <w:szCs w:val="20"/>
                    </w:rPr>
                  </w:pPr>
                  <w:r>
                    <w:rPr>
                      <w:rFonts w:hint="eastAsia"/>
                      <w:b w:val="0"/>
                      <w:bCs/>
                      <w:color w:val="auto"/>
                      <w:kern w:val="0"/>
                      <w:sz w:val="20"/>
                      <w:szCs w:val="20"/>
                    </w:rPr>
                    <w:t>4</w:t>
                  </w:r>
                </w:p>
              </w:tc>
              <w:tc>
                <w:tcPr>
                  <w:tcW w:w="2215" w:type="dxa"/>
                  <w:vAlign w:val="top"/>
                </w:tcPr>
                <w:p>
                  <w:pPr>
                    <w:pStyle w:val="99"/>
                    <w:spacing w:beforeLines="0" w:afterLines="0" w:line="0" w:lineRule="atLeast"/>
                    <w:ind w:firstLine="0" w:firstLineChars="0"/>
                    <w:jc w:val="center"/>
                    <w:textAlignment w:val="baseline"/>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sz w:val="21"/>
                      <w:szCs w:val="21"/>
                      <w:lang w:val="en-US" w:eastAsia="zh-CN"/>
                    </w:rPr>
                    <w:t>机制砂</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15000</w:t>
                  </w:r>
                </w:p>
              </w:tc>
              <w:tc>
                <w:tcPr>
                  <w:tcW w:w="1251" w:type="pct"/>
                </w:tcPr>
                <w:p>
                  <w:pPr>
                    <w:jc w:val="center"/>
                    <w:rPr>
                      <w:b w:val="0"/>
                      <w:bCs/>
                      <w:color w:val="auto"/>
                      <w:kern w:val="0"/>
                      <w:sz w:val="20"/>
                      <w:szCs w:val="20"/>
                    </w:rPr>
                  </w:pPr>
                  <w:r>
                    <w:rPr>
                      <w:rFonts w:hint="eastAsia"/>
                      <w:b w:val="0"/>
                      <w:bCs/>
                      <w:color w:val="auto"/>
                      <w:kern w:val="0"/>
                      <w:sz w:val="20"/>
                      <w:szCs w:val="20"/>
                    </w:rPr>
                    <w:t>外购， 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b w:val="0"/>
                      <w:bCs/>
                      <w:color w:val="auto"/>
                      <w:kern w:val="0"/>
                      <w:sz w:val="20"/>
                      <w:szCs w:val="20"/>
                    </w:rPr>
                  </w:pPr>
                  <w:r>
                    <w:rPr>
                      <w:rFonts w:hint="eastAsia"/>
                      <w:b w:val="0"/>
                      <w:bCs/>
                      <w:color w:val="auto"/>
                      <w:kern w:val="0"/>
                      <w:sz w:val="20"/>
                      <w:szCs w:val="20"/>
                    </w:rPr>
                    <w:t>5</w:t>
                  </w:r>
                </w:p>
              </w:tc>
              <w:tc>
                <w:tcPr>
                  <w:tcW w:w="1249" w:type="pct"/>
                  <w:vAlign w:val="center"/>
                </w:tcPr>
                <w:p>
                  <w:pPr>
                    <w:jc w:val="center"/>
                    <w:rPr>
                      <w:rFonts w:hint="eastAsia" w:eastAsia="宋体"/>
                      <w:b w:val="0"/>
                      <w:bCs/>
                      <w:color w:val="auto"/>
                      <w:kern w:val="0"/>
                      <w:sz w:val="20"/>
                      <w:szCs w:val="20"/>
                      <w:lang w:eastAsia="zh-CN"/>
                    </w:rPr>
                  </w:pPr>
                  <w:r>
                    <w:rPr>
                      <w:rFonts w:hint="eastAsia"/>
                      <w:b w:val="0"/>
                      <w:bCs/>
                      <w:color w:val="auto"/>
                      <w:kern w:val="0"/>
                      <w:sz w:val="20"/>
                      <w:szCs w:val="20"/>
                      <w:lang w:val="en-US" w:eastAsia="zh-CN"/>
                    </w:rPr>
                    <w:t>柴油</w:t>
                  </w:r>
                </w:p>
              </w:tc>
              <w:tc>
                <w:tcPr>
                  <w:tcW w:w="1250" w:type="pct"/>
                  <w:vAlign w:val="center"/>
                </w:tcPr>
                <w:p>
                  <w:pPr>
                    <w:jc w:val="center"/>
                    <w:rPr>
                      <w:b w:val="0"/>
                      <w:bCs/>
                      <w:color w:val="auto"/>
                      <w:kern w:val="0"/>
                      <w:sz w:val="21"/>
                      <w:szCs w:val="21"/>
                    </w:rPr>
                  </w:pPr>
                  <w:r>
                    <w:rPr>
                      <w:rFonts w:hint="eastAsia"/>
                      <w:b w:val="0"/>
                      <w:bCs/>
                      <w:color w:val="auto"/>
                      <w:kern w:val="0"/>
                      <w:sz w:val="21"/>
                      <w:szCs w:val="21"/>
                      <w:highlight w:val="none"/>
                      <w:lang w:val="en-US" w:eastAsia="zh-CN"/>
                    </w:rPr>
                    <w:t>300t</w:t>
                  </w:r>
                  <w:r>
                    <w:rPr>
                      <w:rFonts w:hint="eastAsia"/>
                      <w:b w:val="0"/>
                      <w:bCs/>
                      <w:color w:val="auto"/>
                      <w:kern w:val="0"/>
                      <w:sz w:val="21"/>
                      <w:szCs w:val="21"/>
                      <w:highlight w:val="none"/>
                    </w:rPr>
                    <w:t>/a</w:t>
                  </w:r>
                </w:p>
              </w:tc>
              <w:tc>
                <w:tcPr>
                  <w:tcW w:w="1251" w:type="pct"/>
                </w:tcPr>
                <w:p>
                  <w:pPr>
                    <w:jc w:val="center"/>
                    <w:rPr>
                      <w:b w:val="0"/>
                      <w:bCs/>
                      <w:color w:val="auto"/>
                      <w:kern w:val="0"/>
                      <w:sz w:val="20"/>
                      <w:szCs w:val="20"/>
                    </w:rPr>
                  </w:pPr>
                  <w:r>
                    <w:rPr>
                      <w:rFonts w:hint="eastAsia"/>
                      <w:b w:val="0"/>
                      <w:bCs/>
                      <w:color w:val="auto"/>
                      <w:kern w:val="0"/>
                      <w:sz w:val="20"/>
                      <w:szCs w:val="20"/>
                    </w:rPr>
                    <w:t>外购， 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rFonts w:hint="eastAsia" w:eastAsia="宋体"/>
                      <w:b w:val="0"/>
                      <w:bCs/>
                      <w:color w:val="auto"/>
                      <w:kern w:val="0"/>
                      <w:sz w:val="20"/>
                      <w:szCs w:val="20"/>
                      <w:lang w:val="en-US" w:eastAsia="zh-CN"/>
                    </w:rPr>
                  </w:pPr>
                  <w:r>
                    <w:rPr>
                      <w:rFonts w:hint="eastAsia"/>
                      <w:b w:val="0"/>
                      <w:bCs/>
                      <w:color w:val="auto"/>
                      <w:kern w:val="0"/>
                      <w:sz w:val="20"/>
                      <w:szCs w:val="20"/>
                      <w:lang w:val="en-US" w:eastAsia="zh-CN"/>
                    </w:rPr>
                    <w:t>6</w:t>
                  </w:r>
                </w:p>
              </w:tc>
              <w:tc>
                <w:tcPr>
                  <w:tcW w:w="1249" w:type="pct"/>
                  <w:vAlign w:val="center"/>
                </w:tcPr>
                <w:p>
                  <w:pPr>
                    <w:jc w:val="center"/>
                    <w:rPr>
                      <w:rFonts w:hint="eastAsia" w:eastAsia="宋体"/>
                      <w:b w:val="0"/>
                      <w:bCs/>
                      <w:color w:val="auto"/>
                      <w:kern w:val="0"/>
                      <w:sz w:val="20"/>
                      <w:szCs w:val="20"/>
                      <w:lang w:val="en-US" w:eastAsia="zh-CN"/>
                    </w:rPr>
                  </w:pPr>
                  <w:r>
                    <w:rPr>
                      <w:rFonts w:hint="eastAsia"/>
                      <w:b w:val="0"/>
                      <w:bCs/>
                      <w:color w:val="auto"/>
                      <w:kern w:val="0"/>
                      <w:sz w:val="20"/>
                      <w:szCs w:val="20"/>
                      <w:lang w:val="en-US" w:eastAsia="zh-CN"/>
                    </w:rPr>
                    <w:t>导热油</w:t>
                  </w:r>
                </w:p>
              </w:tc>
              <w:tc>
                <w:tcPr>
                  <w:tcW w:w="1250" w:type="pct"/>
                  <w:vAlign w:val="center"/>
                </w:tcPr>
                <w:p>
                  <w:pPr>
                    <w:jc w:val="center"/>
                    <w:rPr>
                      <w:rFonts w:hint="default" w:eastAsia="宋体"/>
                      <w:b w:val="0"/>
                      <w:bCs/>
                      <w:color w:val="auto"/>
                      <w:kern w:val="0"/>
                      <w:sz w:val="21"/>
                      <w:szCs w:val="21"/>
                      <w:lang w:val="en-US" w:eastAsia="zh-CN"/>
                    </w:rPr>
                  </w:pPr>
                  <w:r>
                    <w:rPr>
                      <w:rFonts w:hint="eastAsia"/>
                      <w:b w:val="0"/>
                      <w:bCs/>
                      <w:color w:val="auto"/>
                      <w:kern w:val="0"/>
                      <w:sz w:val="21"/>
                      <w:szCs w:val="21"/>
                      <w:lang w:val="en-US" w:eastAsia="zh-CN"/>
                    </w:rPr>
                    <w:t>3t</w:t>
                  </w:r>
                </w:p>
              </w:tc>
              <w:tc>
                <w:tcPr>
                  <w:tcW w:w="1251" w:type="pct"/>
                </w:tcPr>
                <w:p>
                  <w:pPr>
                    <w:jc w:val="center"/>
                    <w:rPr>
                      <w:rFonts w:hint="eastAsia"/>
                      <w:b w:val="0"/>
                      <w:bCs/>
                      <w:color w:val="auto"/>
                      <w:kern w:val="0"/>
                      <w:sz w:val="20"/>
                      <w:szCs w:val="20"/>
                    </w:rPr>
                  </w:pPr>
                  <w:r>
                    <w:rPr>
                      <w:rFonts w:hint="eastAsia"/>
                      <w:b w:val="0"/>
                      <w:bCs/>
                      <w:color w:val="auto"/>
                      <w:kern w:val="0"/>
                      <w:sz w:val="20"/>
                      <w:szCs w:val="20"/>
                    </w:rPr>
                    <w:t>外购， 罐车运输</w:t>
                  </w:r>
                </w:p>
              </w:tc>
            </w:tr>
          </w:tbl>
          <w:p>
            <w:pPr>
              <w:pStyle w:val="86"/>
              <w:spacing w:line="480" w:lineRule="exact"/>
              <w:rPr>
                <w:b w:val="0"/>
                <w:bCs/>
                <w:color w:val="auto"/>
              </w:rPr>
            </w:pPr>
            <w:r>
              <w:rPr>
                <w:rFonts w:cs="Times New Roman"/>
                <w:b w:val="0"/>
                <w:bCs/>
                <w:color w:val="auto"/>
              </w:rPr>
              <w:t>碎石 ：来源于采石加工场，是不同粒度规格产品，主要成分为石灰岩石质，是沥青的主要骨料。以上产品经采购后直接运进堆场。</w:t>
            </w:r>
          </w:p>
          <w:p>
            <w:pPr>
              <w:pStyle w:val="86"/>
              <w:spacing w:line="480" w:lineRule="exact"/>
              <w:rPr>
                <w:b w:val="0"/>
                <w:bCs/>
                <w:color w:val="auto"/>
              </w:rPr>
            </w:pPr>
            <w:r>
              <w:rPr>
                <w:rFonts w:cs="Times New Roman"/>
                <w:b w:val="0"/>
                <w:bCs/>
                <w:color w:val="auto"/>
              </w:rPr>
              <w:t>矿粉：为石灰石粉末，质白细，罐装，贮放于矿粉储罐内。</w:t>
            </w:r>
          </w:p>
          <w:p>
            <w:pPr>
              <w:pStyle w:val="86"/>
              <w:spacing w:line="480" w:lineRule="exact"/>
              <w:rPr>
                <w:b w:val="0"/>
                <w:bCs/>
                <w:color w:val="auto"/>
                <w:sz w:val="28"/>
                <w:szCs w:val="28"/>
              </w:rPr>
            </w:pPr>
            <w:r>
              <w:rPr>
                <w:rFonts w:hint="default" w:ascii="Times New Roman" w:hAnsi="Times New Roman" w:cs="Times New Roman"/>
                <w:b w:val="0"/>
                <w:bCs/>
                <w:color w:val="auto"/>
              </w:rPr>
              <w:t>沥青：沥青有天然沥青和人造沥青两种，密度一般在1.15-1.25左右，主要成分是沥青质和树脂，本项目采用的沥青为石油沥青，石油沥青是原油加工过程的一种产品，在常温下是黑色或黑褐色的粘稠的液体、半固体或固体，主要含有可溶于氯仿的烃类及非烃类衍生物，其性质和组成随原油来源和生产方法的不同而变化。石油沥青的主要组分是油分、树脂和地沥青质。还含2%~3%的沥青碳和似碳物，还含有蜡。沥青中的油分和树脂能浸润沥青质。沥青的结构以地沥青质为核心</w:t>
            </w:r>
            <w:r>
              <w:rPr>
                <w:rFonts w:cs="Times New Roman"/>
                <w:b w:val="0"/>
                <w:bCs/>
                <w:color w:val="auto"/>
              </w:rPr>
              <w:t>，吸附部分树脂和油分，构成胶团。石油沥青是原油蒸馏后的残渣。根据提炼程度的不同，在常温下成液体、半固体或固体。石油沥青色黑而有光泽，具有较高的感温性。由于它在生产过程中曾经蒸馏至400℃以上，因而所含挥发成分甚少，但仍可能有高分子的碳氢化合物未经挥发出来，这些物质或多或少对人体健康是有害的。沥青属于憎水性材料，它不透水，也几乎不溶于水、丙酮、乙醚、稀乙醇，溶于二硫化碳、四氯化碳、氢氧化钠等，沥青质不溶于低沸点烷烃，棕至黑色；树脂溶于低沸点烷烃，为深色半固体或固体物质。沥青有光泽，粘结性抗水性和防腐蚀性良好。软化点低的称为软沥青，软化点中等的称为中沥青，软化点高的称为硬沥青。</w:t>
            </w:r>
          </w:p>
          <w:p>
            <w:pPr>
              <w:adjustRightInd w:val="0"/>
              <w:jc w:val="center"/>
              <w:rPr>
                <w:rFonts w:eastAsia="黑体"/>
                <w:b w:val="0"/>
                <w:bCs/>
                <w:color w:val="auto"/>
                <w:sz w:val="24"/>
              </w:rPr>
            </w:pPr>
            <w:r>
              <w:rPr>
                <w:rFonts w:hint="eastAsia" w:eastAsia="黑体"/>
                <w:b w:val="0"/>
                <w:bCs/>
                <w:color w:val="auto"/>
                <w:sz w:val="24"/>
              </w:rPr>
              <w:t>表2-3沥青组分分析表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1713"/>
              <w:gridCol w:w="1713"/>
              <w:gridCol w:w="1714"/>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dxa"/>
                  <w:shd w:val="clear" w:color="auto" w:fill="FFFFFF"/>
                </w:tcPr>
                <w:p>
                  <w:pPr>
                    <w:spacing w:line="500" w:lineRule="exact"/>
                    <w:jc w:val="center"/>
                    <w:rPr>
                      <w:b w:val="0"/>
                      <w:bCs/>
                      <w:color w:val="auto"/>
                      <w:szCs w:val="21"/>
                    </w:rPr>
                  </w:pPr>
                  <w:r>
                    <w:rPr>
                      <w:b w:val="0"/>
                      <w:bCs/>
                      <w:color w:val="auto"/>
                      <w:szCs w:val="21"/>
                    </w:rPr>
                    <w:t>项目</w:t>
                  </w:r>
                </w:p>
              </w:tc>
              <w:tc>
                <w:tcPr>
                  <w:tcW w:w="1713" w:type="dxa"/>
                  <w:shd w:val="clear" w:color="auto" w:fill="FFFFFF"/>
                </w:tcPr>
                <w:p>
                  <w:pPr>
                    <w:spacing w:line="500" w:lineRule="exact"/>
                    <w:jc w:val="center"/>
                    <w:rPr>
                      <w:b w:val="0"/>
                      <w:bCs/>
                      <w:color w:val="auto"/>
                      <w:szCs w:val="21"/>
                    </w:rPr>
                  </w:pPr>
                  <w:r>
                    <w:rPr>
                      <w:b w:val="0"/>
                      <w:bCs/>
                      <w:color w:val="auto"/>
                      <w:szCs w:val="21"/>
                    </w:rPr>
                    <w:t>饱和分</w:t>
                  </w:r>
                </w:p>
              </w:tc>
              <w:tc>
                <w:tcPr>
                  <w:tcW w:w="1713" w:type="dxa"/>
                  <w:shd w:val="clear" w:color="auto" w:fill="FFFFFF"/>
                </w:tcPr>
                <w:p>
                  <w:pPr>
                    <w:spacing w:line="500" w:lineRule="exact"/>
                    <w:jc w:val="center"/>
                    <w:rPr>
                      <w:b w:val="0"/>
                      <w:bCs/>
                      <w:color w:val="auto"/>
                      <w:szCs w:val="21"/>
                    </w:rPr>
                  </w:pPr>
                  <w:r>
                    <w:rPr>
                      <w:b w:val="0"/>
                      <w:bCs/>
                      <w:color w:val="auto"/>
                      <w:szCs w:val="21"/>
                    </w:rPr>
                    <w:t>芳香分</w:t>
                  </w:r>
                </w:p>
              </w:tc>
              <w:tc>
                <w:tcPr>
                  <w:tcW w:w="1714" w:type="dxa"/>
                  <w:shd w:val="clear" w:color="auto" w:fill="FFFFFF"/>
                </w:tcPr>
                <w:p>
                  <w:pPr>
                    <w:spacing w:line="500" w:lineRule="exact"/>
                    <w:jc w:val="center"/>
                    <w:rPr>
                      <w:b w:val="0"/>
                      <w:bCs/>
                      <w:color w:val="auto"/>
                      <w:szCs w:val="21"/>
                    </w:rPr>
                  </w:pPr>
                  <w:r>
                    <w:rPr>
                      <w:b w:val="0"/>
                      <w:bCs/>
                      <w:color w:val="auto"/>
                      <w:szCs w:val="21"/>
                    </w:rPr>
                    <w:t>胶质</w:t>
                  </w:r>
                </w:p>
              </w:tc>
              <w:tc>
                <w:tcPr>
                  <w:tcW w:w="1714" w:type="dxa"/>
                  <w:shd w:val="clear" w:color="auto" w:fill="FFFFFF"/>
                </w:tcPr>
                <w:p>
                  <w:pPr>
                    <w:spacing w:line="500" w:lineRule="exact"/>
                    <w:jc w:val="center"/>
                    <w:rPr>
                      <w:b w:val="0"/>
                      <w:bCs/>
                      <w:color w:val="auto"/>
                      <w:szCs w:val="21"/>
                    </w:rPr>
                  </w:pPr>
                  <w:r>
                    <w:rPr>
                      <w:b w:val="0"/>
                      <w:bCs/>
                      <w:color w:val="auto"/>
                      <w:szCs w:val="21"/>
                    </w:rPr>
                    <w:t>沥青质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dxa"/>
                  <w:shd w:val="clear" w:color="auto" w:fill="FFFFFF"/>
                </w:tcPr>
                <w:p>
                  <w:pPr>
                    <w:spacing w:line="500" w:lineRule="exact"/>
                    <w:jc w:val="center"/>
                    <w:rPr>
                      <w:b w:val="0"/>
                      <w:bCs/>
                      <w:color w:val="auto"/>
                      <w:szCs w:val="21"/>
                    </w:rPr>
                  </w:pPr>
                  <w:r>
                    <w:rPr>
                      <w:b w:val="0"/>
                      <w:bCs/>
                      <w:color w:val="auto"/>
                      <w:szCs w:val="21"/>
                    </w:rPr>
                    <w:t>含量</w:t>
                  </w:r>
                </w:p>
              </w:tc>
              <w:tc>
                <w:tcPr>
                  <w:tcW w:w="1713" w:type="dxa"/>
                  <w:shd w:val="clear" w:color="auto" w:fill="FFFFFF"/>
                </w:tcPr>
                <w:p>
                  <w:pPr>
                    <w:spacing w:line="500" w:lineRule="exact"/>
                    <w:jc w:val="center"/>
                    <w:rPr>
                      <w:b w:val="0"/>
                      <w:bCs/>
                      <w:color w:val="auto"/>
                      <w:szCs w:val="21"/>
                    </w:rPr>
                  </w:pPr>
                  <w:r>
                    <w:rPr>
                      <w:b w:val="0"/>
                      <w:bCs/>
                      <w:color w:val="auto"/>
                      <w:szCs w:val="21"/>
                    </w:rPr>
                    <w:t>18</w:t>
                  </w:r>
                </w:p>
              </w:tc>
              <w:tc>
                <w:tcPr>
                  <w:tcW w:w="1713" w:type="dxa"/>
                  <w:shd w:val="clear" w:color="auto" w:fill="FFFFFF"/>
                </w:tcPr>
                <w:p>
                  <w:pPr>
                    <w:spacing w:line="500" w:lineRule="exact"/>
                    <w:jc w:val="center"/>
                    <w:rPr>
                      <w:b w:val="0"/>
                      <w:bCs/>
                      <w:color w:val="auto"/>
                      <w:szCs w:val="21"/>
                    </w:rPr>
                  </w:pPr>
                  <w:r>
                    <w:rPr>
                      <w:b w:val="0"/>
                      <w:bCs/>
                      <w:color w:val="auto"/>
                      <w:szCs w:val="21"/>
                    </w:rPr>
                    <w:t>40%</w:t>
                  </w:r>
                </w:p>
              </w:tc>
              <w:tc>
                <w:tcPr>
                  <w:tcW w:w="1714" w:type="dxa"/>
                  <w:shd w:val="clear" w:color="auto" w:fill="FFFFFF"/>
                </w:tcPr>
                <w:p>
                  <w:pPr>
                    <w:spacing w:line="500" w:lineRule="exact"/>
                    <w:jc w:val="center"/>
                    <w:rPr>
                      <w:b w:val="0"/>
                      <w:bCs/>
                      <w:color w:val="auto"/>
                      <w:szCs w:val="21"/>
                    </w:rPr>
                  </w:pPr>
                  <w:r>
                    <w:rPr>
                      <w:b w:val="0"/>
                      <w:bCs/>
                      <w:color w:val="auto"/>
                      <w:szCs w:val="21"/>
                    </w:rPr>
                    <w:t>22%</w:t>
                  </w:r>
                </w:p>
              </w:tc>
              <w:tc>
                <w:tcPr>
                  <w:tcW w:w="1714" w:type="dxa"/>
                  <w:shd w:val="clear" w:color="auto" w:fill="FFFFFF"/>
                </w:tcPr>
                <w:p>
                  <w:pPr>
                    <w:spacing w:line="500" w:lineRule="exact"/>
                    <w:jc w:val="center"/>
                    <w:rPr>
                      <w:b w:val="0"/>
                      <w:bCs/>
                      <w:color w:val="auto"/>
                      <w:szCs w:val="21"/>
                    </w:rPr>
                  </w:pPr>
                  <w:r>
                    <w:rPr>
                      <w:b w:val="0"/>
                      <w:bCs/>
                      <w:color w:val="auto"/>
                      <w:szCs w:val="21"/>
                    </w:rPr>
                    <w:t>0%</w:t>
                  </w:r>
                </w:p>
              </w:tc>
            </w:tr>
          </w:tbl>
          <w:p>
            <w:pPr>
              <w:pStyle w:val="86"/>
              <w:spacing w:line="480" w:lineRule="exact"/>
              <w:rPr>
                <w:rFonts w:hint="default" w:ascii="Times New Roman" w:hAnsi="Times New Roman" w:cs="Times New Roman"/>
                <w:b w:val="0"/>
                <w:bCs/>
                <w:color w:val="auto"/>
              </w:rPr>
            </w:pPr>
            <w:r>
              <w:rPr>
                <w:rFonts w:cs="Times New Roman"/>
                <w:b w:val="0"/>
                <w:bCs/>
                <w:color w:val="auto"/>
              </w:rPr>
              <w:t>改性沥青：提高现代公路和道路柔性和弹性，即低温下抗开裂的能力；提高耐磨耗能力和延长使用寿命。改性道路沥青主要用于机场跑道、防水桥面、停车场、运动场、重交通路面、交叉路口和路面转弯处等特殊场合的铺装应用。欧洲将改性沥青应用到公路网的养护和补强，较大地推动了改性道路沥青的普遍应用。本项目使用的改性沥青混</w:t>
            </w:r>
            <w:r>
              <w:rPr>
                <w:rFonts w:hint="default" w:ascii="Times New Roman" w:hAnsi="Times New Roman" w:cs="Times New Roman"/>
                <w:b w:val="0"/>
                <w:bCs/>
                <w:color w:val="auto"/>
              </w:rPr>
              <w:t>合料主要是 SBS 聚合物改性剂，炼油厂成品。</w:t>
            </w:r>
          </w:p>
          <w:p>
            <w:pPr>
              <w:pStyle w:val="86"/>
              <w:spacing w:line="480" w:lineRule="exact"/>
              <w:rPr>
                <w:rFonts w:hint="default" w:ascii="Times New Roman" w:hAnsi="Times New Roman" w:cs="Times New Roman"/>
                <w:b w:val="0"/>
                <w:bCs/>
                <w:color w:val="auto"/>
              </w:rPr>
            </w:pPr>
            <w:r>
              <w:rPr>
                <w:rFonts w:hint="default" w:ascii="Times New Roman" w:hAnsi="Times New Roman" w:cs="Times New Roman"/>
                <w:b w:val="0"/>
                <w:bCs/>
                <w:color w:val="auto"/>
              </w:rPr>
              <w:t>导热油 ：导热油是原油提取汽油、柴油后的剩余重质油，其特点是分子量大、粘度高。导热油的比重一般在0.82～0.95，比热在10000～11000kcal/kg左右。其成分主要是碳水化合物，另外含有部分的（约0</w:t>
            </w:r>
            <w:r>
              <w:rPr>
                <w:rFonts w:hint="eastAsia" w:ascii="Times New Roman" w:hAnsi="Times New Roman" w:cs="Times New Roman"/>
                <w:b w:val="0"/>
                <w:bCs/>
                <w:color w:val="auto"/>
                <w:lang w:val="en-US" w:eastAsia="zh-CN"/>
              </w:rPr>
              <w:t>.</w:t>
            </w:r>
            <w:r>
              <w:rPr>
                <w:rFonts w:hint="default" w:ascii="Times New Roman" w:hAnsi="Times New Roman" w:cs="Times New Roman"/>
                <w:b w:val="0"/>
                <w:bCs/>
                <w:color w:val="auto"/>
              </w:rPr>
              <w:t>1～4%）的硫黄及微量的无机化合物。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rPr>
              <w:t>本项目建成后，</w:t>
            </w:r>
            <w:r>
              <w:rPr>
                <w:rFonts w:hint="default" w:ascii="Times New Roman" w:hAnsi="Times New Roman" w:eastAsia="宋体" w:cs="Times New Roman"/>
                <w:b w:val="0"/>
                <w:bCs/>
                <w:color w:val="auto"/>
                <w:sz w:val="24"/>
                <w:szCs w:val="24"/>
                <w:highlight w:val="none"/>
                <w:lang w:eastAsia="zh-CN"/>
              </w:rPr>
              <w:t>可以</w:t>
            </w:r>
            <w:r>
              <w:rPr>
                <w:rFonts w:hint="default" w:ascii="Times New Roman" w:hAnsi="Times New Roman" w:cs="Times New Roman"/>
                <w:b w:val="0"/>
                <w:bCs/>
                <w:color w:val="auto"/>
                <w:sz w:val="24"/>
                <w:szCs w:val="24"/>
                <w:highlight w:val="none"/>
                <w:lang w:eastAsia="zh-CN"/>
              </w:rPr>
              <w:t>生</w:t>
            </w:r>
            <w:r>
              <w:rPr>
                <w:rFonts w:hint="default" w:ascii="Times New Roman" w:hAnsi="Times New Roman" w:cs="Times New Roman"/>
                <w:b w:val="0"/>
                <w:bCs/>
                <w:color w:val="auto"/>
                <w:sz w:val="24"/>
                <w:szCs w:val="24"/>
                <w:highlight w:val="none"/>
              </w:rPr>
              <w:t>产</w:t>
            </w:r>
            <w:r>
              <w:rPr>
                <w:rFonts w:hint="default" w:ascii="Times New Roman" w:hAnsi="Times New Roman" w:cs="Times New Roman"/>
                <w:b w:val="0"/>
                <w:bCs/>
                <w:color w:val="auto"/>
                <w:sz w:val="24"/>
                <w:szCs w:val="24"/>
                <w:highlight w:val="none"/>
                <w:lang w:eastAsia="zh-CN"/>
              </w:rPr>
              <w:t>工程用沥青</w:t>
            </w:r>
            <w:r>
              <w:rPr>
                <w:rFonts w:hint="default" w:ascii="Times New Roman" w:hAnsi="Times New Roman" w:cs="Times New Roman"/>
                <w:b w:val="0"/>
                <w:bCs/>
                <w:color w:val="auto"/>
                <w:sz w:val="24"/>
                <w:szCs w:val="24"/>
                <w:highlight w:val="none"/>
              </w:rPr>
              <w:t>混凝土</w:t>
            </w:r>
            <w:r>
              <w:rPr>
                <w:rFonts w:hint="default" w:ascii="Times New Roman" w:hAnsi="Times New Roman" w:cs="Times New Roman"/>
                <w:b w:val="0"/>
                <w:bCs/>
                <w:color w:val="auto"/>
                <w:sz w:val="24"/>
                <w:szCs w:val="24"/>
                <w:highlight w:val="none"/>
                <w:lang w:eastAsia="zh-CN"/>
              </w:rPr>
              <w:t>约</w:t>
            </w:r>
            <w:r>
              <w:rPr>
                <w:rFonts w:hint="default" w:ascii="Times New Roman" w:hAnsi="Times New Roman" w:cs="Times New Roman"/>
                <w:b w:val="0"/>
                <w:bCs/>
                <w:color w:val="auto"/>
                <w:sz w:val="24"/>
                <w:szCs w:val="24"/>
                <w:highlight w:val="none"/>
                <w:lang w:val="en-US" w:eastAsia="zh-CN"/>
              </w:rPr>
              <w:t>1.67万</w:t>
            </w:r>
            <w:r>
              <w:rPr>
                <w:rFonts w:hint="default" w:ascii="Times New Roman" w:hAnsi="Times New Roman" w:cs="Times New Roman"/>
                <w:b w:val="0"/>
                <w:bCs/>
                <w:color w:val="auto"/>
                <w:sz w:val="24"/>
                <w:szCs w:val="24"/>
                <w:highlight w:val="none"/>
              </w:rPr>
              <w:t>m</w:t>
            </w:r>
            <w:r>
              <w:rPr>
                <w:rFonts w:hint="default" w:ascii="Times New Roman" w:hAnsi="Times New Roman"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cs="Times New Roman"/>
                <w:b w:val="0"/>
                <w:bCs/>
                <w:color w:val="auto"/>
                <w:sz w:val="24"/>
                <w:szCs w:val="24"/>
                <w:highlight w:val="none"/>
                <w:lang w:eastAsia="zh-CN"/>
              </w:rPr>
              <w:t>本项目沥青混凝土的密度均按</w:t>
            </w:r>
            <w:r>
              <w:rPr>
                <w:rFonts w:hint="default" w:ascii="Times New Roman" w:hAnsi="Times New Roman" w:cs="Times New Roman"/>
                <w:b w:val="0"/>
                <w:bCs/>
                <w:color w:val="auto"/>
                <w:sz w:val="24"/>
                <w:szCs w:val="24"/>
                <w:highlight w:val="none"/>
                <w:lang w:val="en-US" w:eastAsia="zh-CN"/>
              </w:rPr>
              <w:t>3.0</w:t>
            </w:r>
            <w:r>
              <w:rPr>
                <w:rFonts w:hint="default" w:ascii="Times New Roman" w:hAnsi="Times New Roman" w:eastAsia="宋体" w:cs="Times New Roman"/>
                <w:b w:val="0"/>
                <w:bCs/>
                <w:color w:val="auto"/>
                <w:sz w:val="24"/>
                <w:szCs w:val="24"/>
                <w:highlight w:val="none"/>
                <w:lang w:val="en-US" w:eastAsia="zh-CN"/>
              </w:rPr>
              <w:t>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计，</w:t>
            </w:r>
            <w:r>
              <w:rPr>
                <w:rFonts w:hint="default" w:ascii="Times New Roman" w:hAnsi="Times New Roman" w:cs="Times New Roman"/>
                <w:b w:val="0"/>
                <w:bCs/>
                <w:color w:val="auto"/>
                <w:sz w:val="24"/>
                <w:szCs w:val="24"/>
                <w:highlight w:val="none"/>
                <w:lang w:val="en-US" w:eastAsia="zh-CN"/>
              </w:rPr>
              <w:t>本工程产品总重量约5万t/a</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eastAsiaTheme="minorEastAsia"/>
                <w:b w:val="0"/>
                <w:bCs/>
                <w:color w:val="auto"/>
                <w:kern w:val="2"/>
                <w:sz w:val="24"/>
                <w:szCs w:val="24"/>
                <w:lang w:val="en-US" w:eastAsia="zh-CN" w:bidi="ar-SA"/>
              </w:rPr>
              <w:t>产品质量满足《路面沥青混合料技术规范》(JTJ 052-2017)。</w:t>
            </w:r>
          </w:p>
          <w:p>
            <w:pPr>
              <w:widowControl/>
              <w:spacing w:beforeLines="20"/>
              <w:jc w:val="center"/>
              <w:rPr>
                <w:b w:val="0"/>
                <w:bCs/>
                <w:color w:val="auto"/>
                <w:kern w:val="0"/>
                <w:sz w:val="22"/>
                <w:szCs w:val="22"/>
              </w:rPr>
            </w:pPr>
            <w:r>
              <w:rPr>
                <w:b w:val="0"/>
                <w:bCs/>
                <w:color w:val="auto"/>
                <w:kern w:val="0"/>
                <w:sz w:val="22"/>
                <w:szCs w:val="22"/>
              </w:rPr>
              <w:t>表</w:t>
            </w:r>
            <w:r>
              <w:rPr>
                <w:rFonts w:hint="eastAsia"/>
                <w:b w:val="0"/>
                <w:bCs/>
                <w:color w:val="auto"/>
                <w:kern w:val="0"/>
                <w:sz w:val="22"/>
                <w:szCs w:val="22"/>
              </w:rPr>
              <w:t>2-4 主要产品及产能</w:t>
            </w:r>
          </w:p>
          <w:tbl>
            <w:tblPr>
              <w:tblStyle w:val="3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583"/>
              <w:gridCol w:w="1629"/>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pPr>
                    <w:contextualSpacing/>
                    <w:jc w:val="center"/>
                    <w:rPr>
                      <w:b w:val="0"/>
                      <w:bCs/>
                      <w:color w:val="auto"/>
                      <w:szCs w:val="21"/>
                    </w:rPr>
                  </w:pPr>
                  <w:r>
                    <w:rPr>
                      <w:rFonts w:hAnsi="宋体"/>
                      <w:b w:val="0"/>
                      <w:bCs/>
                      <w:color w:val="auto"/>
                      <w:szCs w:val="21"/>
                    </w:rPr>
                    <w:t>序号</w:t>
                  </w:r>
                </w:p>
              </w:tc>
              <w:tc>
                <w:tcPr>
                  <w:tcW w:w="1455" w:type="pct"/>
                  <w:vAlign w:val="center"/>
                </w:tcPr>
                <w:p>
                  <w:pPr>
                    <w:contextualSpacing/>
                    <w:jc w:val="center"/>
                    <w:rPr>
                      <w:b w:val="0"/>
                      <w:bCs/>
                      <w:color w:val="auto"/>
                      <w:szCs w:val="21"/>
                    </w:rPr>
                  </w:pPr>
                  <w:r>
                    <w:rPr>
                      <w:rFonts w:hint="eastAsia" w:hAnsi="宋体"/>
                      <w:b w:val="0"/>
                      <w:bCs/>
                      <w:color w:val="auto"/>
                      <w:szCs w:val="21"/>
                    </w:rPr>
                    <w:t>产品</w:t>
                  </w:r>
                  <w:r>
                    <w:rPr>
                      <w:rFonts w:hAnsi="宋体"/>
                      <w:b w:val="0"/>
                      <w:bCs/>
                      <w:color w:val="auto"/>
                      <w:szCs w:val="21"/>
                    </w:rPr>
                    <w:t>名称</w:t>
                  </w:r>
                </w:p>
              </w:tc>
              <w:tc>
                <w:tcPr>
                  <w:tcW w:w="918" w:type="pct"/>
                  <w:vAlign w:val="center"/>
                </w:tcPr>
                <w:p>
                  <w:pPr>
                    <w:contextualSpacing/>
                    <w:jc w:val="center"/>
                    <w:rPr>
                      <w:b w:val="0"/>
                      <w:bCs/>
                      <w:color w:val="auto"/>
                      <w:szCs w:val="21"/>
                    </w:rPr>
                  </w:pPr>
                  <w:r>
                    <w:rPr>
                      <w:rFonts w:hint="eastAsia"/>
                      <w:b w:val="0"/>
                      <w:bCs/>
                      <w:color w:val="auto"/>
                      <w:szCs w:val="21"/>
                    </w:rPr>
                    <w:t>单位</w:t>
                  </w:r>
                </w:p>
              </w:tc>
              <w:tc>
                <w:tcPr>
                  <w:tcW w:w="1926" w:type="pct"/>
                  <w:vAlign w:val="center"/>
                </w:tcPr>
                <w:p>
                  <w:pPr>
                    <w:adjustRightInd w:val="0"/>
                    <w:snapToGrid w:val="0"/>
                    <w:jc w:val="center"/>
                    <w:rPr>
                      <w:b w:val="0"/>
                      <w:bCs/>
                      <w:color w:val="auto"/>
                      <w:szCs w:val="21"/>
                    </w:rPr>
                  </w:pPr>
                  <w:r>
                    <w:rPr>
                      <w:rFonts w:hint="eastAsia"/>
                      <w:b w:val="0"/>
                      <w:bCs/>
                      <w:color w:val="auto"/>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8" w:type="pct"/>
                  <w:vAlign w:val="center"/>
                </w:tcPr>
                <w:p>
                  <w:pPr>
                    <w:contextualSpacing/>
                    <w:jc w:val="center"/>
                    <w:rPr>
                      <w:b w:val="0"/>
                      <w:bCs/>
                      <w:color w:val="auto"/>
                      <w:szCs w:val="21"/>
                    </w:rPr>
                  </w:pPr>
                  <w:r>
                    <w:rPr>
                      <w:b w:val="0"/>
                      <w:bCs/>
                      <w:color w:val="auto"/>
                      <w:szCs w:val="21"/>
                    </w:rPr>
                    <w:t>1</w:t>
                  </w:r>
                </w:p>
              </w:tc>
              <w:tc>
                <w:tcPr>
                  <w:tcW w:w="1455" w:type="pct"/>
                  <w:vAlign w:val="center"/>
                </w:tcPr>
                <w:p>
                  <w:pPr>
                    <w:contextualSpacing/>
                    <w:jc w:val="center"/>
                    <w:rPr>
                      <w:b w:val="0"/>
                      <w:bCs/>
                      <w:color w:val="auto"/>
                      <w:szCs w:val="21"/>
                    </w:rPr>
                  </w:pPr>
                  <w:r>
                    <w:rPr>
                      <w:rFonts w:hint="eastAsia"/>
                      <w:b w:val="0"/>
                      <w:bCs/>
                      <w:color w:val="auto"/>
                      <w:szCs w:val="21"/>
                    </w:rPr>
                    <w:t>沥青混凝土</w:t>
                  </w:r>
                </w:p>
              </w:tc>
              <w:tc>
                <w:tcPr>
                  <w:tcW w:w="918" w:type="pct"/>
                  <w:vAlign w:val="center"/>
                </w:tcPr>
                <w:p>
                  <w:pPr>
                    <w:widowControl/>
                    <w:contextualSpacing/>
                    <w:jc w:val="center"/>
                    <w:rPr>
                      <w:b w:val="0"/>
                      <w:bCs/>
                      <w:color w:val="auto"/>
                      <w:sz w:val="21"/>
                      <w:szCs w:val="21"/>
                    </w:rPr>
                  </w:pPr>
                  <w:r>
                    <w:rPr>
                      <w:rFonts w:hint="default" w:ascii="Times New Roman" w:hAnsi="Times New Roman" w:cs="Times New Roman"/>
                      <w:b w:val="0"/>
                      <w:bCs/>
                      <w:color w:val="auto"/>
                      <w:sz w:val="21"/>
                      <w:szCs w:val="21"/>
                      <w:highlight w:val="none"/>
                    </w:rPr>
                    <w:t>m</w:t>
                  </w:r>
                  <w:r>
                    <w:rPr>
                      <w:rFonts w:hint="default" w:ascii="Times New Roman" w:hAnsi="Times New Roman" w:cs="Times New Roman"/>
                      <w:b w:val="0"/>
                      <w:bCs/>
                      <w:color w:val="auto"/>
                      <w:sz w:val="21"/>
                      <w:szCs w:val="21"/>
                      <w:highlight w:val="none"/>
                      <w:vertAlign w:val="superscript"/>
                    </w:rPr>
                    <w:t>3</w:t>
                  </w:r>
                </w:p>
              </w:tc>
              <w:tc>
                <w:tcPr>
                  <w:tcW w:w="1926" w:type="pct"/>
                  <w:vAlign w:val="center"/>
                </w:tcPr>
                <w:p>
                  <w:pPr>
                    <w:adjustRightInd w:val="0"/>
                    <w:snapToGrid w:val="0"/>
                    <w:jc w:val="center"/>
                    <w:rPr>
                      <w:rFonts w:hint="default"/>
                      <w:b w:val="0"/>
                      <w:bCs/>
                      <w:color w:val="auto"/>
                      <w:sz w:val="21"/>
                      <w:szCs w:val="21"/>
                      <w:lang w:val="en-US"/>
                    </w:rPr>
                  </w:pPr>
                  <w:r>
                    <w:rPr>
                      <w:rFonts w:hint="eastAsia" w:cs="Times New Roman"/>
                      <w:b w:val="0"/>
                      <w:bCs/>
                      <w:color w:val="auto"/>
                      <w:sz w:val="21"/>
                      <w:szCs w:val="21"/>
                      <w:highlight w:val="none"/>
                      <w:lang w:val="en-US" w:eastAsia="zh-CN"/>
                    </w:rPr>
                    <w:t>1.67万</w:t>
                  </w:r>
                </w:p>
              </w:tc>
            </w:tr>
            <w:bookmarkEnd w:id="15"/>
            <w:bookmarkEnd w:id="16"/>
            <w:bookmarkEnd w:id="17"/>
            <w:bookmarkEnd w:id="18"/>
          </w:tbl>
          <w:p>
            <w:pPr>
              <w:widowControl/>
              <w:spacing w:beforeLines="20"/>
              <w:jc w:val="center"/>
              <w:rPr>
                <w:rFonts w:hint="eastAsia" w:ascii="Times New Roman" w:hAnsi="Times New Roman" w:eastAsia="宋体" w:cs="Times New Roman"/>
                <w:b w:val="0"/>
                <w:bCs/>
                <w:color w:val="auto"/>
                <w:kern w:val="0"/>
                <w:sz w:val="22"/>
                <w:szCs w:val="22"/>
                <w:highlight w:val="none"/>
                <w:lang w:eastAsia="zh-CN"/>
              </w:rPr>
            </w:pPr>
            <w:r>
              <w:rPr>
                <w:rFonts w:hint="eastAsia" w:ascii="Times New Roman" w:hAnsi="Times New Roman" w:eastAsia="宋体" w:cs="Times New Roman"/>
                <w:b w:val="0"/>
                <w:bCs/>
                <w:color w:val="auto"/>
                <w:kern w:val="0"/>
                <w:sz w:val="22"/>
                <w:szCs w:val="22"/>
                <w:highlight w:val="none"/>
              </w:rPr>
              <w:t>表2-</w:t>
            </w:r>
            <w:r>
              <w:rPr>
                <w:rFonts w:hint="eastAsia" w:ascii="Times New Roman" w:hAnsi="Times New Roman" w:eastAsia="宋体" w:cs="Times New Roman"/>
                <w:b w:val="0"/>
                <w:bCs/>
                <w:color w:val="auto"/>
                <w:kern w:val="0"/>
                <w:sz w:val="22"/>
                <w:szCs w:val="22"/>
                <w:highlight w:val="none"/>
                <w:lang w:val="en-US" w:eastAsia="zh-CN"/>
              </w:rPr>
              <w:t>5</w:t>
            </w:r>
            <w:r>
              <w:rPr>
                <w:rFonts w:hint="eastAsia" w:ascii="Times New Roman" w:hAnsi="Times New Roman" w:eastAsia="宋体" w:cs="Times New Roman"/>
                <w:b w:val="0"/>
                <w:bCs/>
                <w:color w:val="auto"/>
                <w:kern w:val="0"/>
                <w:sz w:val="22"/>
                <w:szCs w:val="22"/>
                <w:highlight w:val="none"/>
              </w:rPr>
              <w:t xml:space="preserve"> </w:t>
            </w:r>
            <w:r>
              <w:rPr>
                <w:rFonts w:hint="eastAsia" w:ascii="Times New Roman" w:hAnsi="Times New Roman" w:eastAsia="宋体" w:cs="Times New Roman"/>
                <w:b w:val="0"/>
                <w:bCs/>
                <w:color w:val="auto"/>
                <w:kern w:val="0"/>
                <w:sz w:val="22"/>
                <w:szCs w:val="22"/>
                <w:highlight w:val="none"/>
                <w:lang w:val="en-US" w:eastAsia="zh-CN"/>
              </w:rPr>
              <w:t>物料平衡</w:t>
            </w:r>
            <w:r>
              <w:rPr>
                <w:rFonts w:hint="eastAsia" w:ascii="Times New Roman" w:hAnsi="Times New Roman" w:eastAsia="宋体" w:cs="Times New Roman"/>
                <w:b w:val="0"/>
                <w:bCs/>
                <w:color w:val="auto"/>
                <w:kern w:val="0"/>
                <w:sz w:val="22"/>
                <w:szCs w:val="22"/>
                <w:highlight w:val="none"/>
              </w:rPr>
              <w:t>表</w:t>
            </w:r>
            <w:r>
              <w:rPr>
                <w:rFonts w:hint="eastAsia" w:ascii="Times New Roman" w:hAnsi="Times New Roman" w:eastAsia="宋体" w:cs="Times New Roman"/>
                <w:b w:val="0"/>
                <w:bCs/>
                <w:color w:val="auto"/>
                <w:kern w:val="0"/>
                <w:sz w:val="22"/>
                <w:szCs w:val="22"/>
                <w:highlight w:val="none"/>
                <w:lang w:eastAsia="zh-CN"/>
              </w:rPr>
              <w:t>（</w:t>
            </w:r>
            <w:r>
              <w:rPr>
                <w:rFonts w:hint="eastAsia" w:ascii="Times New Roman" w:hAnsi="Times New Roman" w:eastAsia="宋体" w:cs="Times New Roman"/>
                <w:b w:val="0"/>
                <w:bCs/>
                <w:color w:val="auto"/>
                <w:kern w:val="0"/>
                <w:sz w:val="22"/>
                <w:szCs w:val="22"/>
                <w:highlight w:val="none"/>
                <w:lang w:val="en-US" w:eastAsia="zh-CN"/>
              </w:rPr>
              <w:t>t/a</w:t>
            </w:r>
            <w:r>
              <w:rPr>
                <w:rFonts w:hint="eastAsia" w:ascii="Times New Roman" w:hAnsi="Times New Roman" w:eastAsia="宋体" w:cs="Times New Roman"/>
                <w:b w:val="0"/>
                <w:bCs/>
                <w:color w:val="auto"/>
                <w:kern w:val="0"/>
                <w:sz w:val="22"/>
                <w:szCs w:val="22"/>
                <w:highlight w:val="none"/>
                <w:lang w:eastAsia="zh-CN"/>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2345"/>
              <w:gridCol w:w="2019"/>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98"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eastAsia" w:eastAsia="宋体"/>
                      <w:b w:val="0"/>
                      <w:bCs/>
                      <w:color w:val="auto"/>
                      <w:kern w:val="0"/>
                      <w:szCs w:val="21"/>
                      <w:lang w:eastAsia="zh-CN"/>
                    </w:rPr>
                  </w:pPr>
                  <w:r>
                    <w:rPr>
                      <w:rFonts w:hint="eastAsia"/>
                      <w:b w:val="0"/>
                      <w:bCs/>
                      <w:color w:val="auto"/>
                      <w:kern w:val="0"/>
                      <w:szCs w:val="21"/>
                      <w:lang w:val="en-US" w:eastAsia="zh-CN"/>
                    </w:rPr>
                    <w:t>进料</w:t>
                  </w:r>
                </w:p>
              </w:tc>
              <w:tc>
                <w:tcPr>
                  <w:tcW w:w="1322"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b w:val="0"/>
                      <w:bCs/>
                      <w:color w:val="auto"/>
                      <w:kern w:val="0"/>
                      <w:szCs w:val="21"/>
                    </w:rPr>
                  </w:pPr>
                  <w:r>
                    <w:rPr>
                      <w:b w:val="0"/>
                      <w:bCs/>
                      <w:color w:val="auto"/>
                      <w:kern w:val="0"/>
                      <w:szCs w:val="21"/>
                    </w:rPr>
                    <w:t>数量</w:t>
                  </w:r>
                </w:p>
              </w:tc>
              <w:tc>
                <w:tcPr>
                  <w:tcW w:w="1138"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eastAsia" w:eastAsia="宋体"/>
                      <w:b w:val="0"/>
                      <w:bCs/>
                      <w:color w:val="auto"/>
                      <w:kern w:val="0"/>
                      <w:szCs w:val="21"/>
                      <w:lang w:eastAsia="zh-CN"/>
                    </w:rPr>
                  </w:pPr>
                  <w:r>
                    <w:rPr>
                      <w:rFonts w:hint="eastAsia"/>
                      <w:b w:val="0"/>
                      <w:bCs/>
                      <w:color w:val="auto"/>
                      <w:kern w:val="0"/>
                      <w:szCs w:val="21"/>
                      <w:lang w:val="en-US" w:eastAsia="zh-CN"/>
                    </w:rPr>
                    <w:t>出料</w:t>
                  </w:r>
                </w:p>
              </w:tc>
              <w:tc>
                <w:tcPr>
                  <w:tcW w:w="1040"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b w:val="0"/>
                      <w:bCs/>
                      <w:color w:val="auto"/>
                      <w:kern w:val="0"/>
                      <w:szCs w:val="21"/>
                    </w:rPr>
                  </w:pPr>
                  <w:r>
                    <w:rPr>
                      <w:b w:val="0"/>
                      <w:bCs/>
                      <w:color w:val="auto"/>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4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碎石</w:t>
                  </w:r>
                </w:p>
              </w:tc>
              <w:tc>
                <w:tcPr>
                  <w:tcW w:w="13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val="0"/>
                      <w:bCs/>
                      <w:i w:val="0"/>
                      <w:iCs w:val="0"/>
                      <w:color w:val="auto"/>
                      <w:kern w:val="2"/>
                      <w:sz w:val="22"/>
                      <w:szCs w:val="22"/>
                      <w:u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30825</w:t>
                  </w:r>
                </w:p>
              </w:tc>
              <w:tc>
                <w:tcPr>
                  <w:tcW w:w="1138"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eastAsia" w:eastAsia="宋体"/>
                      <w:b w:val="0"/>
                      <w:bCs/>
                      <w:color w:val="auto"/>
                      <w:kern w:val="0"/>
                      <w:szCs w:val="21"/>
                      <w:lang w:val="en-US" w:eastAsia="zh-CN"/>
                    </w:rPr>
                  </w:pPr>
                  <w:r>
                    <w:rPr>
                      <w:rFonts w:hint="eastAsia"/>
                      <w:b w:val="0"/>
                      <w:bCs/>
                      <w:color w:val="auto"/>
                      <w:kern w:val="0"/>
                      <w:szCs w:val="21"/>
                      <w:lang w:val="en-US" w:eastAsia="zh-CN"/>
                    </w:rPr>
                    <w:t>成品</w:t>
                  </w:r>
                </w:p>
              </w:tc>
              <w:tc>
                <w:tcPr>
                  <w:tcW w:w="1040"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default" w:eastAsia="宋体"/>
                      <w:b w:val="0"/>
                      <w:bCs/>
                      <w:color w:val="auto"/>
                      <w:kern w:val="0"/>
                      <w:szCs w:val="21"/>
                      <w:highlight w:val="none"/>
                      <w:lang w:val="en-US" w:eastAsia="zh-CN"/>
                    </w:rPr>
                  </w:pPr>
                  <w:r>
                    <w:rPr>
                      <w:rFonts w:hint="eastAsia"/>
                      <w:b w:val="0"/>
                      <w:bCs/>
                      <w:color w:val="auto"/>
                      <w:kern w:val="0"/>
                      <w:szCs w:val="21"/>
                      <w:highlight w:val="none"/>
                      <w:lang w:val="en-US" w:eastAsia="zh-CN"/>
                    </w:rPr>
                    <w:t>49969.2911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矿粉</w:t>
                  </w:r>
                </w:p>
              </w:tc>
              <w:tc>
                <w:tcPr>
                  <w:tcW w:w="13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2"/>
                      <w:szCs w:val="22"/>
                      <w:highlight w:val="green"/>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2250</w:t>
                  </w:r>
                </w:p>
              </w:tc>
              <w:tc>
                <w:tcPr>
                  <w:tcW w:w="1138"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eastAsia" w:eastAsia="宋体"/>
                      <w:b w:val="0"/>
                      <w:bCs/>
                      <w:color w:val="auto"/>
                      <w:kern w:val="0"/>
                      <w:szCs w:val="21"/>
                      <w:lang w:val="en-US" w:eastAsia="zh-CN"/>
                    </w:rPr>
                  </w:pPr>
                  <w:r>
                    <w:rPr>
                      <w:rFonts w:hint="eastAsia"/>
                      <w:b w:val="0"/>
                      <w:bCs/>
                      <w:color w:val="auto"/>
                      <w:kern w:val="0"/>
                      <w:szCs w:val="21"/>
                      <w:lang w:val="en-US" w:eastAsia="zh-CN"/>
                    </w:rPr>
                    <w:t>粉尘（含沥青烟）</w:t>
                  </w:r>
                </w:p>
              </w:tc>
              <w:tc>
                <w:tcPr>
                  <w:tcW w:w="1040"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default"/>
                      <w:b w:val="0"/>
                      <w:bCs/>
                      <w:color w:val="auto"/>
                      <w:kern w:val="0"/>
                      <w:szCs w:val="21"/>
                      <w:highlight w:val="none"/>
                      <w:lang w:val="en-US"/>
                    </w:rPr>
                  </w:pPr>
                  <w:r>
                    <w:rPr>
                      <w:rFonts w:hint="eastAsia" w:cs="Times New Roman"/>
                      <w:b w:val="0"/>
                      <w:bCs/>
                      <w:i w:val="0"/>
                      <w:iCs w:val="0"/>
                      <w:color w:val="auto"/>
                      <w:kern w:val="0"/>
                      <w:sz w:val="21"/>
                      <w:szCs w:val="21"/>
                      <w:highlight w:val="none"/>
                      <w:u w:val="none"/>
                      <w:lang w:val="en-US" w:eastAsia="zh-CN" w:bidi="ar"/>
                    </w:rPr>
                    <w:t>0.7089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沥青</w:t>
                  </w:r>
                </w:p>
              </w:tc>
              <w:tc>
                <w:tcPr>
                  <w:tcW w:w="13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2"/>
                      <w:szCs w:val="22"/>
                      <w:highlight w:val="green"/>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1925</w:t>
                  </w:r>
                </w:p>
              </w:tc>
              <w:tc>
                <w:tcPr>
                  <w:tcW w:w="1138"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default" w:eastAsia="宋体"/>
                      <w:b w:val="0"/>
                      <w:bCs/>
                      <w:color w:val="auto"/>
                      <w:kern w:val="0"/>
                      <w:szCs w:val="21"/>
                      <w:lang w:val="en-US" w:eastAsia="zh-CN"/>
                    </w:rPr>
                  </w:pPr>
                  <w:r>
                    <w:rPr>
                      <w:rFonts w:hint="eastAsia"/>
                      <w:b w:val="0"/>
                      <w:bCs/>
                      <w:color w:val="auto"/>
                      <w:kern w:val="0"/>
                      <w:szCs w:val="21"/>
                      <w:lang w:val="en-US" w:eastAsia="zh-CN"/>
                    </w:rPr>
                    <w:t>废石料</w:t>
                  </w:r>
                </w:p>
              </w:tc>
              <w:tc>
                <w:tcPr>
                  <w:tcW w:w="1040"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rFonts w:hint="default" w:eastAsia="宋体"/>
                      <w:b w:val="0"/>
                      <w:bCs/>
                      <w:color w:val="auto"/>
                      <w:kern w:val="0"/>
                      <w:szCs w:val="21"/>
                      <w:lang w:val="en-US" w:eastAsia="zh-CN"/>
                    </w:rPr>
                  </w:pPr>
                  <w:r>
                    <w:rPr>
                      <w:rFonts w:hint="eastAsia"/>
                      <w:b w:val="0"/>
                      <w:bCs/>
                      <w:color w:val="auto"/>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机制砂</w:t>
                  </w:r>
                </w:p>
              </w:tc>
              <w:tc>
                <w:tcPr>
                  <w:tcW w:w="13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2"/>
                      <w:szCs w:val="22"/>
                      <w:highlight w:val="green"/>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15000</w:t>
                  </w:r>
                </w:p>
              </w:tc>
              <w:tc>
                <w:tcPr>
                  <w:tcW w:w="1138"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b w:val="0"/>
                      <w:bCs/>
                      <w:color w:val="auto"/>
                      <w:kern w:val="0"/>
                      <w:szCs w:val="21"/>
                    </w:rPr>
                  </w:pPr>
                </w:p>
              </w:tc>
              <w:tc>
                <w:tcPr>
                  <w:tcW w:w="1040" w:type="pct"/>
                  <w:vAlign w:val="center"/>
                </w:tcPr>
                <w:p>
                  <w:pPr>
                    <w:keepNext w:val="0"/>
                    <w:keepLines w:val="0"/>
                    <w:pageBreakBefore w:val="0"/>
                    <w:kinsoku/>
                    <w:wordWrap/>
                    <w:overflowPunct/>
                    <w:topLinePunct w:val="0"/>
                    <w:autoSpaceDE/>
                    <w:autoSpaceDN/>
                    <w:bidi w:val="0"/>
                    <w:adjustRightInd/>
                    <w:snapToGrid/>
                    <w:spacing w:line="240" w:lineRule="atLeast"/>
                    <w:contextualSpacing/>
                    <w:jc w:val="center"/>
                    <w:rPr>
                      <w:b w:val="0"/>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49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cs="Times New Roman"/>
                      <w:b w:val="0"/>
                      <w:bCs/>
                      <w:i w:val="0"/>
                      <w:iCs w:val="0"/>
                      <w:color w:val="auto"/>
                      <w:kern w:val="0"/>
                      <w:sz w:val="21"/>
                      <w:szCs w:val="21"/>
                      <w:u w:val="none"/>
                      <w:lang w:val="en-US" w:eastAsia="zh-CN" w:bidi="ar"/>
                    </w:rPr>
                    <w:t>合计</w:t>
                  </w:r>
                </w:p>
              </w:tc>
              <w:tc>
                <w:tcPr>
                  <w:tcW w:w="13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cs="Times New Roman"/>
                      <w:b w:val="0"/>
                      <w:bCs/>
                      <w:i w:val="0"/>
                      <w:iCs w:val="0"/>
                      <w:color w:val="auto"/>
                      <w:kern w:val="0"/>
                      <w:sz w:val="21"/>
                      <w:szCs w:val="21"/>
                      <w:u w:val="none"/>
                      <w:lang w:val="en-US" w:eastAsia="zh-CN" w:bidi="ar"/>
                    </w:rPr>
                    <w:t>5000</w:t>
                  </w:r>
                  <w:r>
                    <w:rPr>
                      <w:rFonts w:hint="eastAsia" w:ascii="Times New Roman" w:hAnsi="Times New Roman" w:eastAsia="宋体" w:cs="Times New Roman"/>
                      <w:b w:val="0"/>
                      <w:bCs/>
                      <w:i w:val="0"/>
                      <w:iCs w:val="0"/>
                      <w:color w:val="auto"/>
                      <w:kern w:val="0"/>
                      <w:sz w:val="21"/>
                      <w:szCs w:val="21"/>
                      <w:u w:val="none"/>
                      <w:lang w:val="en-US" w:eastAsia="zh-CN" w:bidi="ar"/>
                    </w:rPr>
                    <w:t>0</w:t>
                  </w:r>
                </w:p>
              </w:tc>
              <w:tc>
                <w:tcPr>
                  <w:tcW w:w="1138"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p>
              </w:tc>
              <w:tc>
                <w:tcPr>
                  <w:tcW w:w="104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b w:val="0"/>
                      <w:bCs/>
                      <w:i w:val="0"/>
                      <w:iCs w:val="0"/>
                      <w:color w:val="auto"/>
                      <w:kern w:val="0"/>
                      <w:sz w:val="21"/>
                      <w:szCs w:val="21"/>
                      <w:u w:val="none"/>
                      <w:lang w:val="en-US" w:eastAsia="zh-CN" w:bidi="ar"/>
                    </w:rPr>
                  </w:pPr>
                  <w:r>
                    <w:rPr>
                      <w:rFonts w:hint="eastAsia" w:cs="Times New Roman"/>
                      <w:b w:val="0"/>
                      <w:bCs/>
                      <w:i w:val="0"/>
                      <w:iCs w:val="0"/>
                      <w:color w:val="auto"/>
                      <w:kern w:val="0"/>
                      <w:sz w:val="21"/>
                      <w:szCs w:val="21"/>
                      <w:u w:val="none"/>
                      <w:lang w:val="en-US" w:eastAsia="zh-CN" w:bidi="ar"/>
                    </w:rPr>
                    <w:t>5000</w:t>
                  </w:r>
                  <w:r>
                    <w:rPr>
                      <w:rFonts w:hint="eastAsia" w:ascii="Times New Roman" w:hAnsi="Times New Roman" w:eastAsia="宋体" w:cs="Times New Roman"/>
                      <w:b w:val="0"/>
                      <w:bCs/>
                      <w:i w:val="0"/>
                      <w:iCs w:val="0"/>
                      <w:color w:val="auto"/>
                      <w:kern w:val="0"/>
                      <w:sz w:val="21"/>
                      <w:szCs w:val="21"/>
                      <w:u w:val="none"/>
                      <w:lang w:val="en-US" w:eastAsia="zh-CN" w:bidi="ar"/>
                    </w:rPr>
                    <w:t>0</w:t>
                  </w:r>
                </w:p>
              </w:tc>
            </w:tr>
          </w:tbl>
          <w:p>
            <w:pPr>
              <w:spacing w:line="360" w:lineRule="auto"/>
              <w:rPr>
                <w:rFonts w:eastAsia="黑体"/>
                <w:b w:val="0"/>
                <w:bCs/>
                <w:color w:val="auto"/>
                <w:sz w:val="28"/>
                <w:szCs w:val="28"/>
              </w:rPr>
            </w:pPr>
            <w:r>
              <w:rPr>
                <w:rFonts w:hint="eastAsia" w:eastAsia="黑体"/>
                <w:b w:val="0"/>
                <w:bCs/>
                <w:color w:val="auto"/>
                <w:sz w:val="28"/>
                <w:szCs w:val="28"/>
              </w:rPr>
              <w:t>三、</w:t>
            </w:r>
            <w:r>
              <w:rPr>
                <w:rFonts w:eastAsia="黑体"/>
                <w:b w:val="0"/>
                <w:bCs/>
                <w:color w:val="auto"/>
                <w:sz w:val="28"/>
                <w:szCs w:val="28"/>
              </w:rPr>
              <w:t>主要运营设备</w:t>
            </w:r>
          </w:p>
          <w:p>
            <w:pPr>
              <w:tabs>
                <w:tab w:val="left" w:pos="6480"/>
              </w:tabs>
              <w:adjustRightInd w:val="0"/>
              <w:spacing w:line="360" w:lineRule="auto"/>
              <w:ind w:firstLine="480" w:firstLineChars="200"/>
              <w:rPr>
                <w:b w:val="0"/>
                <w:bCs/>
                <w:color w:val="auto"/>
                <w:sz w:val="24"/>
              </w:rPr>
            </w:pPr>
            <w:r>
              <w:rPr>
                <w:b w:val="0"/>
                <w:bCs/>
                <w:color w:val="auto"/>
                <w:sz w:val="24"/>
              </w:rPr>
              <w:t>根据建设单位提供，本项目主要设备如下：</w:t>
            </w:r>
          </w:p>
          <w:p>
            <w:pPr>
              <w:adjustRightInd w:val="0"/>
              <w:jc w:val="center"/>
              <w:rPr>
                <w:rFonts w:eastAsia="黑体"/>
                <w:b w:val="0"/>
                <w:bCs/>
                <w:color w:val="auto"/>
                <w:sz w:val="24"/>
              </w:rPr>
            </w:pPr>
            <w:r>
              <w:rPr>
                <w:rFonts w:eastAsia="黑体"/>
                <w:b w:val="0"/>
                <w:bCs/>
                <w:color w:val="auto"/>
                <w:sz w:val="24"/>
              </w:rPr>
              <w:t>表2-</w:t>
            </w:r>
            <w:r>
              <w:rPr>
                <w:rFonts w:hint="eastAsia" w:eastAsia="黑体"/>
                <w:b w:val="0"/>
                <w:bCs/>
                <w:color w:val="auto"/>
                <w:sz w:val="24"/>
              </w:rPr>
              <w:t>5</w:t>
            </w:r>
            <w:r>
              <w:rPr>
                <w:rFonts w:eastAsia="黑体"/>
                <w:b w:val="0"/>
                <w:bCs/>
                <w:color w:val="auto"/>
                <w:sz w:val="24"/>
              </w:rPr>
              <w:t xml:space="preserve"> 主要生产设备一览表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6" w:type="dxa"/>
                <w:bottom w:w="0" w:type="dxa"/>
                <w:right w:w="56" w:type="dxa"/>
              </w:tblCellMar>
            </w:tblPr>
            <w:tblGrid>
              <w:gridCol w:w="922"/>
              <w:gridCol w:w="1744"/>
              <w:gridCol w:w="2913"/>
              <w:gridCol w:w="1785"/>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435"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983"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设备名称</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规格型号</w:t>
                  </w:r>
                </w:p>
              </w:tc>
              <w:tc>
                <w:tcPr>
                  <w:tcW w:w="1006"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数量</w:t>
                  </w:r>
                </w:p>
              </w:tc>
              <w:tc>
                <w:tcPr>
                  <w:tcW w:w="846"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53"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983"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3"/>
                      <w:sz w:val="21"/>
                      <w:szCs w:val="21"/>
                    </w:rPr>
                    <w:t>冷料仓</w:t>
                  </w:r>
                </w:p>
              </w:tc>
              <w:tc>
                <w:tcPr>
                  <w:tcW w:w="1642"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
                      <w:sz w:val="21"/>
                      <w:szCs w:val="21"/>
                    </w:rPr>
                    <w:t>单仓容积15m³</w:t>
                  </w:r>
                </w:p>
              </w:tc>
              <w:tc>
                <w:tcPr>
                  <w:tcW w:w="1006"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w:t>
                  </w:r>
                </w:p>
              </w:tc>
              <w:tc>
                <w:tcPr>
                  <w:tcW w:w="846"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53"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983"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1"/>
                      <w:sz w:val="21"/>
                      <w:szCs w:val="21"/>
                    </w:rPr>
                    <w:t>冷振筛</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spacing w:val="4"/>
                      <w:sz w:val="21"/>
                      <w:szCs w:val="21"/>
                    </w:rPr>
                    <w:t>筛分面积1m²</w:t>
                  </w:r>
                  <w:r>
                    <w:rPr>
                      <w:rFonts w:hint="default" w:ascii="Times New Roman" w:hAnsi="Times New Roman" w:eastAsia="宋体" w:cs="Times New Roman"/>
                      <w:b w:val="0"/>
                      <w:bCs/>
                      <w:color w:val="auto"/>
                      <w:spacing w:val="4"/>
                      <w:sz w:val="21"/>
                      <w:szCs w:val="21"/>
                      <w:lang w:eastAsia="zh-CN"/>
                    </w:rPr>
                    <w:t>，</w:t>
                  </w:r>
                  <w:r>
                    <w:rPr>
                      <w:rFonts w:hint="default" w:ascii="Times New Roman" w:hAnsi="Times New Roman" w:eastAsia="宋体" w:cs="Times New Roman"/>
                      <w:b w:val="0"/>
                      <w:bCs/>
                      <w:color w:val="auto"/>
                      <w:spacing w:val="4"/>
                      <w:sz w:val="21"/>
                      <w:szCs w:val="21"/>
                    </w:rPr>
                    <w:t>筛分效率大于90%</w:t>
                  </w:r>
                </w:p>
              </w:tc>
              <w:tc>
                <w:tcPr>
                  <w:tcW w:w="1006"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846"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53"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983"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1"/>
                      <w:sz w:val="21"/>
                      <w:szCs w:val="21"/>
                    </w:rPr>
                    <w:t>干燥滚筒</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spacing w:val="-1"/>
                      <w:sz w:val="21"/>
                      <w:szCs w:val="21"/>
                    </w:rPr>
                    <w:t>18.5kW</w:t>
                  </w:r>
                </w:p>
              </w:tc>
              <w:tc>
                <w:tcPr>
                  <w:tcW w:w="1006"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846"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53"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p>
              </w:tc>
              <w:tc>
                <w:tcPr>
                  <w:tcW w:w="983"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3"/>
                      <w:sz w:val="21"/>
                      <w:szCs w:val="21"/>
                    </w:rPr>
                    <w:t>燃烧器</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rPr>
                  </w:pPr>
                </w:p>
              </w:tc>
              <w:tc>
                <w:tcPr>
                  <w:tcW w:w="1006"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846"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34"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2"/>
                      <w:sz w:val="21"/>
                      <w:szCs w:val="21"/>
                    </w:rPr>
                    <w:t>除尘器</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1"/>
                      <w:sz w:val="21"/>
                      <w:szCs w:val="21"/>
                    </w:rPr>
                    <w:t>重力除尘+布袋除尘</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1"/>
                      <w:sz w:val="21"/>
                      <w:szCs w:val="21"/>
                    </w:rPr>
                    <w:t>矿粉罐</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11"/>
                      <w:sz w:val="21"/>
                      <w:szCs w:val="21"/>
                    </w:rPr>
                    <w:t>上仓矿粉仓60m³,下仓回收粉仓46m³</w:t>
                  </w:r>
                  <w:r>
                    <w:rPr>
                      <w:rFonts w:hint="default" w:ascii="Times New Roman" w:hAnsi="Times New Roman" w:eastAsia="宋体" w:cs="Times New Roman"/>
                      <w:b w:val="0"/>
                      <w:bCs/>
                      <w:color w:val="auto"/>
                      <w:spacing w:val="11"/>
                      <w:sz w:val="21"/>
                      <w:szCs w:val="21"/>
                      <w:lang w:eastAsia="zh-CN"/>
                    </w:rPr>
                    <w:t>（</w:t>
                  </w:r>
                  <w:r>
                    <w:rPr>
                      <w:rFonts w:hint="default" w:ascii="Times New Roman" w:hAnsi="Times New Roman" w:eastAsia="宋体" w:cs="Times New Roman"/>
                      <w:b w:val="0"/>
                      <w:bCs/>
                      <w:color w:val="auto"/>
                      <w:spacing w:val="-2"/>
                      <w:sz w:val="21"/>
                      <w:szCs w:val="21"/>
                    </w:rPr>
                    <w:t>单体双层罐体</w:t>
                  </w:r>
                  <w:r>
                    <w:rPr>
                      <w:rFonts w:hint="default" w:ascii="Times New Roman" w:hAnsi="Times New Roman" w:eastAsia="宋体" w:cs="Times New Roman"/>
                      <w:b w:val="0"/>
                      <w:bCs/>
                      <w:color w:val="auto"/>
                      <w:spacing w:val="11"/>
                      <w:sz w:val="21"/>
                      <w:szCs w:val="21"/>
                      <w:lang w:eastAsia="zh-CN"/>
                    </w:rPr>
                    <w:t>）</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1"/>
                      <w:sz w:val="21"/>
                      <w:szCs w:val="21"/>
                    </w:rPr>
                    <w:t>矿粉罐</w:t>
                  </w:r>
                  <w:r>
                    <w:rPr>
                      <w:rFonts w:hint="default" w:ascii="Times New Roman" w:hAnsi="Times New Roman" w:eastAsia="宋体" w:cs="Times New Roman"/>
                      <w:b w:val="0"/>
                      <w:bCs/>
                      <w:color w:val="auto"/>
                      <w:spacing w:val="-2"/>
                      <w:sz w:val="21"/>
                      <w:szCs w:val="21"/>
                    </w:rPr>
                    <w:t>仓顶除尘器</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2"/>
                      <w:sz w:val="21"/>
                      <w:szCs w:val="21"/>
                    </w:rPr>
                    <w:t>脉冲+引风机</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1"/>
                      <w:sz w:val="21"/>
                      <w:szCs w:val="21"/>
                    </w:rPr>
                    <w:t>振动筛</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筛分面积37m²</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5"/>
                      <w:sz w:val="21"/>
                      <w:szCs w:val="21"/>
                    </w:rPr>
                    <w:t>热骨料仓</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7"/>
                      <w:sz w:val="21"/>
                      <w:szCs w:val="21"/>
                    </w:rPr>
                    <w:t>总容积42m³</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rPr>
                    <w:t>搅拌主机</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1"/>
                      <w:sz w:val="21"/>
                      <w:szCs w:val="21"/>
                    </w:rPr>
                    <w:t>双卧轴强制式、搅拌缸容积5000kg</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rPr>
                    <w:t>再生配料</w:t>
                  </w:r>
                  <w:r>
                    <w:rPr>
                      <w:rFonts w:hint="default" w:ascii="Times New Roman" w:hAnsi="Times New Roman" w:eastAsia="宋体" w:cs="Times New Roman"/>
                      <w:b w:val="0"/>
                      <w:bCs/>
                      <w:color w:val="auto"/>
                      <w:spacing w:val="-2"/>
                      <w:sz w:val="21"/>
                      <w:szCs w:val="21"/>
                    </w:rPr>
                    <w:t>冷料仓体</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5"/>
                      <w:sz w:val="21"/>
                      <w:szCs w:val="21"/>
                    </w:rPr>
                    <w:t>12m³</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rPr>
                    <w:t>再生缓存仓</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5"/>
                      <w:sz w:val="21"/>
                      <w:szCs w:val="21"/>
                    </w:rPr>
                    <w:t>13m³</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409"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13</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spacing w:val="-4"/>
                      <w:kern w:val="2"/>
                      <w:sz w:val="21"/>
                      <w:szCs w:val="21"/>
                      <w:lang w:val="en-US" w:eastAsia="zh-CN" w:bidi="ar-SA"/>
                    </w:rPr>
                  </w:pPr>
                  <w:r>
                    <w:rPr>
                      <w:rFonts w:hint="default" w:ascii="Times New Roman" w:hAnsi="Times New Roman" w:eastAsia="宋体" w:cs="Times New Roman"/>
                      <w:b w:val="0"/>
                      <w:bCs/>
                      <w:color w:val="auto"/>
                      <w:spacing w:val="-2"/>
                      <w:sz w:val="21"/>
                      <w:szCs w:val="21"/>
                    </w:rPr>
                    <w:t>回收粉处理加湿器系统</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spacing w:val="5"/>
                      <w:kern w:val="0"/>
                      <w:sz w:val="21"/>
                      <w:szCs w:val="21"/>
                      <w:lang w:val="en-US" w:eastAsia="zh-CN" w:bidi="ar-SA"/>
                    </w:rPr>
                  </w:pPr>
                  <w:r>
                    <w:rPr>
                      <w:rFonts w:hint="default" w:ascii="Times New Roman" w:hAnsi="Times New Roman" w:eastAsia="宋体" w:cs="Times New Roman"/>
                      <w:b w:val="0"/>
                      <w:bCs/>
                      <w:color w:val="auto"/>
                      <w:spacing w:val="-1"/>
                      <w:sz w:val="21"/>
                      <w:szCs w:val="21"/>
                    </w:rPr>
                    <w:t>螺旋、加湿器、加湿器</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4"/>
                      <w:sz w:val="21"/>
                      <w:szCs w:val="21"/>
                      <w:lang w:val="en-US" w:eastAsia="zh-CN"/>
                    </w:rPr>
                    <w:t>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14</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沥青罐</w:t>
                  </w:r>
                </w:p>
              </w:tc>
              <w:tc>
                <w:tcPr>
                  <w:tcW w:w="1642"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低温储存罐2000t</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利</w:t>
                  </w:r>
                  <w:r>
                    <w:rPr>
                      <w:rFonts w:hint="default" w:ascii="Times New Roman" w:hAnsi="Times New Roman" w:eastAsia="宋体" w:cs="Times New Roman"/>
                      <w:b w:val="0"/>
                      <w:bCs/>
                      <w:color w:val="auto"/>
                      <w:sz w:val="21"/>
                      <w:szCs w:val="21"/>
                      <w:lang w:val="en-US" w:eastAsia="zh-CN"/>
                    </w:rPr>
                    <w:t>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15</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沥青罐</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rPr>
                    <w:t>转存储存罐35t</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5</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利</w:t>
                  </w:r>
                  <w:r>
                    <w:rPr>
                      <w:rFonts w:hint="default" w:ascii="Times New Roman" w:hAnsi="Times New Roman" w:eastAsia="宋体" w:cs="Times New Roman"/>
                      <w:b w:val="0"/>
                      <w:bCs/>
                      <w:color w:val="auto"/>
                      <w:sz w:val="21"/>
                      <w:szCs w:val="21"/>
                      <w:lang w:val="en-US" w:eastAsia="zh-CN"/>
                    </w:rPr>
                    <w:t>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16</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导热油炉</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rPr>
                    <w:t>热功率1400kw</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利</w:t>
                  </w:r>
                  <w:r>
                    <w:rPr>
                      <w:rFonts w:hint="default" w:ascii="Times New Roman" w:hAnsi="Times New Roman" w:eastAsia="宋体" w:cs="Times New Roman"/>
                      <w:b w:val="0"/>
                      <w:bCs/>
                      <w:color w:val="auto"/>
                      <w:sz w:val="21"/>
                      <w:szCs w:val="21"/>
                      <w:lang w:val="en-US" w:eastAsia="zh-CN"/>
                    </w:rPr>
                    <w:t>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17</w:t>
                  </w:r>
                </w:p>
              </w:tc>
              <w:tc>
                <w:tcPr>
                  <w:tcW w:w="983"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柴</w:t>
                  </w:r>
                  <w:r>
                    <w:rPr>
                      <w:rFonts w:hint="default" w:ascii="Times New Roman" w:hAnsi="Times New Roman" w:eastAsia="宋体" w:cs="Times New Roman"/>
                      <w:b w:val="0"/>
                      <w:bCs/>
                      <w:color w:val="auto"/>
                      <w:sz w:val="21"/>
                      <w:szCs w:val="21"/>
                      <w:highlight w:val="none"/>
                      <w:lang w:val="en-US" w:eastAsia="zh-CN"/>
                    </w:rPr>
                    <w:t>油罐</w:t>
                  </w:r>
                </w:p>
              </w:tc>
              <w:tc>
                <w:tcPr>
                  <w:tcW w:w="1642" w:type="pct"/>
                  <w:shd w:val="clear" w:color="auto" w:fill="auto"/>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rPr>
                    <w:t>40t</w:t>
                  </w:r>
                </w:p>
              </w:tc>
              <w:tc>
                <w:tcPr>
                  <w:tcW w:w="100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846" w:type="pct"/>
                  <w:shd w:val="clear" w:color="auto" w:fill="auto"/>
                  <w:noWrap w:val="0"/>
                  <w:vAlign w:val="center"/>
                </w:tcPr>
                <w:p>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利</w:t>
                  </w:r>
                  <w:r>
                    <w:rPr>
                      <w:rFonts w:hint="default" w:ascii="Times New Roman" w:hAnsi="Times New Roman" w:eastAsia="宋体" w:cs="Times New Roman"/>
                      <w:b w:val="0"/>
                      <w:bCs/>
                      <w:color w:val="auto"/>
                      <w:sz w:val="21"/>
                      <w:szCs w:val="21"/>
                      <w:lang w:val="en-US" w:eastAsia="zh-CN"/>
                    </w:rPr>
                    <w:t>旧</w:t>
                  </w:r>
                </w:p>
              </w:tc>
            </w:tr>
          </w:tbl>
          <w:p>
            <w:pPr>
              <w:pStyle w:val="3"/>
              <w:rPr>
                <w:b w:val="0"/>
                <w:bCs/>
                <w:color w:val="auto"/>
              </w:rPr>
            </w:pPr>
          </w:p>
          <w:bookmarkEnd w:id="14"/>
          <w:p>
            <w:pPr>
              <w:spacing w:line="360" w:lineRule="auto"/>
              <w:rPr>
                <w:rFonts w:eastAsia="黑体"/>
                <w:b w:val="0"/>
                <w:bCs/>
                <w:color w:val="auto"/>
                <w:sz w:val="28"/>
                <w:szCs w:val="28"/>
              </w:rPr>
            </w:pPr>
            <w:r>
              <w:rPr>
                <w:rFonts w:hint="eastAsia" w:eastAsia="黑体"/>
                <w:b w:val="0"/>
                <w:bCs/>
                <w:color w:val="auto"/>
                <w:sz w:val="28"/>
                <w:szCs w:val="28"/>
              </w:rPr>
              <w:t>四、</w:t>
            </w:r>
            <w:r>
              <w:rPr>
                <w:rFonts w:eastAsia="黑体"/>
                <w:b w:val="0"/>
                <w:bCs/>
                <w:color w:val="auto"/>
                <w:sz w:val="28"/>
                <w:szCs w:val="28"/>
              </w:rPr>
              <w:t>公用工程</w:t>
            </w:r>
          </w:p>
          <w:p>
            <w:pPr>
              <w:adjustRightInd w:val="0"/>
              <w:snapToGrid w:val="0"/>
              <w:spacing w:line="360" w:lineRule="auto"/>
              <w:ind w:firstLine="480" w:firstLineChars="200"/>
              <w:rPr>
                <w:b w:val="0"/>
                <w:bCs/>
                <w:color w:val="auto"/>
                <w:sz w:val="24"/>
              </w:rPr>
            </w:pPr>
            <w:r>
              <w:rPr>
                <w:b w:val="0"/>
                <w:bCs/>
                <w:color w:val="auto"/>
                <w:sz w:val="24"/>
              </w:rPr>
              <w:t>（1）给水</w:t>
            </w:r>
          </w:p>
          <w:p>
            <w:pPr>
              <w:adjustRightInd w:val="0"/>
              <w:snapToGrid w:val="0"/>
              <w:spacing w:line="360" w:lineRule="auto"/>
              <w:ind w:firstLine="480" w:firstLineChars="200"/>
              <w:rPr>
                <w:b w:val="0"/>
                <w:bCs/>
                <w:color w:val="auto"/>
                <w:sz w:val="24"/>
              </w:rPr>
            </w:pPr>
            <w:r>
              <w:rPr>
                <w:rFonts w:hint="eastAsia"/>
                <w:b w:val="0"/>
                <w:bCs/>
                <w:color w:val="auto"/>
                <w:sz w:val="24"/>
              </w:rPr>
              <w:t>本项目利用现有自打水井供水。</w:t>
            </w:r>
          </w:p>
          <w:p>
            <w:pPr>
              <w:adjustRightInd w:val="0"/>
              <w:snapToGrid w:val="0"/>
              <w:spacing w:line="360" w:lineRule="auto"/>
              <w:ind w:firstLine="480" w:firstLineChars="200"/>
              <w:rPr>
                <w:b w:val="0"/>
                <w:bCs/>
                <w:color w:val="auto"/>
                <w:sz w:val="24"/>
              </w:rPr>
            </w:pPr>
            <w:r>
              <w:rPr>
                <w:rFonts w:hint="eastAsia"/>
                <w:b w:val="0"/>
                <w:bCs/>
                <w:color w:val="auto"/>
                <w:sz w:val="24"/>
              </w:rPr>
              <w:t>降尘喷洒水：本项目碎石堆场需保持湿度，定期洒水，根据企业提供资料，碎石场喷洒水用水量</w:t>
            </w:r>
            <w:r>
              <w:rPr>
                <w:rFonts w:hint="eastAsia"/>
                <w:b w:val="0"/>
                <w:bCs/>
                <w:color w:val="auto"/>
                <w:sz w:val="24"/>
                <w:lang w:val="en-US" w:eastAsia="zh-CN"/>
              </w:rPr>
              <w:t>2</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/d（</w:t>
            </w:r>
            <w:r>
              <w:rPr>
                <w:rFonts w:hint="eastAsia"/>
                <w:b w:val="0"/>
                <w:bCs/>
                <w:color w:val="auto"/>
                <w:sz w:val="24"/>
                <w:lang w:val="en-US" w:eastAsia="zh-CN"/>
              </w:rPr>
              <w:t>240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/a）。厂区洒水降尘用水量为</w:t>
            </w:r>
            <w:r>
              <w:rPr>
                <w:rFonts w:hint="eastAsia"/>
                <w:b w:val="0"/>
                <w:bCs/>
                <w:color w:val="auto"/>
                <w:sz w:val="24"/>
                <w:lang w:val="en-US" w:eastAsia="zh-CN"/>
              </w:rPr>
              <w:t>3</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/d（</w:t>
            </w:r>
            <w:r>
              <w:rPr>
                <w:rFonts w:hint="eastAsia"/>
                <w:b w:val="0"/>
                <w:bCs/>
                <w:color w:val="auto"/>
                <w:sz w:val="24"/>
                <w:lang w:val="en-US" w:eastAsia="zh-CN"/>
              </w:rPr>
              <w:t>360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/a），综上洒水降尘用水量为</w:t>
            </w:r>
            <w:r>
              <w:rPr>
                <w:rFonts w:hint="eastAsia"/>
                <w:b w:val="0"/>
                <w:bCs/>
                <w:color w:val="auto"/>
                <w:sz w:val="24"/>
                <w:lang w:val="en-US" w:eastAsia="zh-CN"/>
              </w:rPr>
              <w:t>5</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/d（</w:t>
            </w:r>
            <w:r>
              <w:rPr>
                <w:rFonts w:hint="eastAsia"/>
                <w:b w:val="0"/>
                <w:bCs/>
                <w:color w:val="auto"/>
                <w:sz w:val="24"/>
                <w:lang w:val="en-US" w:eastAsia="zh-CN"/>
              </w:rPr>
              <w:t>600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p>
          <w:p>
            <w:pPr>
              <w:adjustRightInd w:val="0"/>
              <w:snapToGrid w:val="0"/>
              <w:spacing w:line="360" w:lineRule="auto"/>
              <w:ind w:firstLine="480" w:firstLineChars="200"/>
              <w:rPr>
                <w:b w:val="0"/>
                <w:bCs/>
                <w:color w:val="auto"/>
                <w:sz w:val="24"/>
              </w:rPr>
            </w:pPr>
            <w:r>
              <w:rPr>
                <w:rFonts w:hint="eastAsia"/>
                <w:b w:val="0"/>
                <w:bCs/>
                <w:color w:val="auto"/>
                <w:sz w:val="24"/>
              </w:rPr>
              <w:t>设备冲洗水：搅拌机为本项目主要生产设备，搅拌机在暂时停止生产时必须冲洗干净，按搅拌机主机每天冲洗一次，冲洗水按1m</w:t>
            </w:r>
            <w:r>
              <w:rPr>
                <w:rFonts w:hint="eastAsia"/>
                <w:b w:val="0"/>
                <w:bCs/>
                <w:color w:val="auto"/>
                <w:sz w:val="24"/>
                <w:vertAlign w:val="superscript"/>
              </w:rPr>
              <w:t>3</w:t>
            </w:r>
            <w:r>
              <w:rPr>
                <w:rFonts w:hint="eastAsia"/>
                <w:b w:val="0"/>
                <w:bCs/>
                <w:color w:val="auto"/>
                <w:sz w:val="24"/>
              </w:rPr>
              <w:t>/d，主机冲洗水用水量为1</w:t>
            </w:r>
            <w:r>
              <w:rPr>
                <w:rFonts w:hint="eastAsia"/>
                <w:b w:val="0"/>
                <w:bCs/>
                <w:color w:val="auto"/>
                <w:sz w:val="24"/>
                <w:lang w:val="en-US" w:eastAsia="zh-CN"/>
              </w:rPr>
              <w:t>20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p>
          <w:p>
            <w:pPr>
              <w:adjustRightInd w:val="0"/>
              <w:snapToGrid w:val="0"/>
              <w:spacing w:line="360" w:lineRule="auto"/>
              <w:ind w:firstLine="480" w:firstLineChars="200"/>
              <w:rPr>
                <w:b w:val="0"/>
                <w:bCs/>
                <w:color w:val="auto"/>
                <w:sz w:val="24"/>
              </w:rPr>
            </w:pPr>
            <w:r>
              <w:rPr>
                <w:rFonts w:hint="eastAsia"/>
                <w:b w:val="0"/>
                <w:bCs/>
                <w:color w:val="auto"/>
                <w:sz w:val="24"/>
              </w:rPr>
              <w:t>运输车辆清洗水：本项目混凝土生产规模为</w:t>
            </w:r>
            <w:r>
              <w:rPr>
                <w:rFonts w:hint="eastAsia"/>
                <w:b w:val="0"/>
                <w:bCs/>
                <w:color w:val="auto"/>
                <w:sz w:val="24"/>
                <w:lang w:val="en-US" w:eastAsia="zh-CN"/>
              </w:rPr>
              <w:t>5万</w:t>
            </w:r>
            <w:r>
              <w:rPr>
                <w:rFonts w:hint="eastAsia"/>
                <w:b w:val="0"/>
                <w:bCs/>
                <w:color w:val="auto"/>
                <w:sz w:val="24"/>
              </w:rPr>
              <w:t>t/a，混凝土平均运输量为</w:t>
            </w:r>
            <w:r>
              <w:rPr>
                <w:rFonts w:hint="eastAsia"/>
                <w:b w:val="0"/>
                <w:bCs/>
                <w:color w:val="auto"/>
                <w:sz w:val="24"/>
                <w:lang w:val="en-US" w:eastAsia="zh-CN"/>
              </w:rPr>
              <w:t>416</w:t>
            </w:r>
            <w:r>
              <w:rPr>
                <w:rFonts w:hint="eastAsia"/>
                <w:b w:val="0"/>
                <w:bCs/>
                <w:color w:val="auto"/>
                <w:sz w:val="24"/>
              </w:rPr>
              <w:t>t/d，按单车1次运输量最大为14t计算，每天约需运输</w:t>
            </w:r>
            <w:r>
              <w:rPr>
                <w:rFonts w:hint="eastAsia"/>
                <w:b w:val="0"/>
                <w:bCs/>
                <w:color w:val="auto"/>
                <w:sz w:val="24"/>
                <w:lang w:val="en-US" w:eastAsia="zh-CN"/>
              </w:rPr>
              <w:t>30</w:t>
            </w:r>
            <w:r>
              <w:rPr>
                <w:rFonts w:hint="eastAsia"/>
                <w:b w:val="0"/>
                <w:bCs/>
                <w:color w:val="auto"/>
                <w:sz w:val="24"/>
              </w:rPr>
              <w:t>辆次，每次对运输车辆清洗，清洗水量大致为0.</w:t>
            </w:r>
            <w:r>
              <w:rPr>
                <w:rFonts w:hint="eastAsia"/>
                <w:b w:val="0"/>
                <w:bCs/>
                <w:color w:val="auto"/>
                <w:sz w:val="24"/>
                <w:lang w:val="en-US" w:eastAsia="zh-CN"/>
              </w:rPr>
              <w:t>05</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/辆次，因此车辆清洗水每天用水量为</w:t>
            </w:r>
            <w:r>
              <w:rPr>
                <w:rFonts w:hint="eastAsia"/>
                <w:b w:val="0"/>
                <w:bCs/>
                <w:color w:val="auto"/>
                <w:sz w:val="24"/>
                <w:lang w:val="en-US" w:eastAsia="zh-CN"/>
              </w:rPr>
              <w:t>1.5</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/d,年用水量为</w:t>
            </w:r>
            <w:r>
              <w:rPr>
                <w:rFonts w:hint="eastAsia"/>
                <w:b w:val="0"/>
                <w:bCs/>
                <w:color w:val="auto"/>
                <w:sz w:val="24"/>
                <w:lang w:val="en-US" w:eastAsia="zh-CN"/>
              </w:rPr>
              <w:t>180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p>
          <w:p>
            <w:pPr>
              <w:adjustRightInd w:val="0"/>
              <w:snapToGrid w:val="0"/>
              <w:spacing w:line="360" w:lineRule="auto"/>
              <w:ind w:firstLine="480" w:firstLineChars="200"/>
              <w:rPr>
                <w:b w:val="0"/>
                <w:bCs/>
                <w:color w:val="auto"/>
                <w:sz w:val="24"/>
              </w:rPr>
            </w:pPr>
            <w:r>
              <w:rPr>
                <w:rFonts w:hint="eastAsia"/>
                <w:b w:val="0"/>
                <w:bCs/>
                <w:color w:val="auto"/>
                <w:sz w:val="24"/>
              </w:rPr>
              <w:t>（2）排水</w:t>
            </w:r>
          </w:p>
          <w:p>
            <w:pPr>
              <w:adjustRightInd w:val="0"/>
              <w:snapToGrid w:val="0"/>
              <w:spacing w:line="360" w:lineRule="auto"/>
              <w:ind w:firstLine="480" w:firstLineChars="200"/>
              <w:rPr>
                <w:b w:val="0"/>
                <w:bCs/>
                <w:color w:val="auto"/>
                <w:sz w:val="24"/>
              </w:rPr>
            </w:pPr>
            <w:r>
              <w:rPr>
                <w:rFonts w:hint="eastAsia"/>
                <w:b w:val="0"/>
                <w:bCs/>
                <w:color w:val="auto"/>
                <w:sz w:val="24"/>
              </w:rPr>
              <w:t>本项目喷洒水自然蒸发不外排。</w:t>
            </w:r>
          </w:p>
          <w:p>
            <w:pPr>
              <w:adjustRightInd w:val="0"/>
              <w:snapToGrid w:val="0"/>
              <w:spacing w:line="360" w:lineRule="auto"/>
              <w:ind w:firstLine="480" w:firstLineChars="200"/>
              <w:rPr>
                <w:b w:val="0"/>
                <w:bCs/>
                <w:color w:val="auto"/>
                <w:sz w:val="24"/>
              </w:rPr>
            </w:pPr>
            <w:r>
              <w:rPr>
                <w:rFonts w:hint="eastAsia"/>
                <w:b w:val="0"/>
                <w:bCs/>
                <w:color w:val="auto"/>
                <w:sz w:val="24"/>
              </w:rPr>
              <w:t>设备</w:t>
            </w:r>
            <w:r>
              <w:rPr>
                <w:rFonts w:hint="eastAsia"/>
                <w:b w:val="0"/>
                <w:bCs/>
                <w:color w:val="auto"/>
                <w:sz w:val="24"/>
                <w:lang w:val="en-US" w:eastAsia="zh-CN"/>
              </w:rPr>
              <w:t>及车辆</w:t>
            </w:r>
            <w:r>
              <w:rPr>
                <w:rFonts w:hint="eastAsia"/>
                <w:b w:val="0"/>
                <w:bCs/>
                <w:color w:val="auto"/>
                <w:sz w:val="24"/>
              </w:rPr>
              <w:t>清洗废水：设备</w:t>
            </w:r>
            <w:r>
              <w:rPr>
                <w:rFonts w:hint="eastAsia"/>
                <w:b w:val="0"/>
                <w:bCs/>
                <w:color w:val="auto"/>
                <w:sz w:val="24"/>
                <w:lang w:val="en-US" w:eastAsia="zh-CN"/>
              </w:rPr>
              <w:t>及车辆</w:t>
            </w:r>
            <w:r>
              <w:rPr>
                <w:rFonts w:hint="eastAsia"/>
                <w:b w:val="0"/>
                <w:bCs/>
                <w:color w:val="auto"/>
                <w:sz w:val="24"/>
              </w:rPr>
              <w:t>清洗水按用水量的80%计，则废水排放量为</w:t>
            </w:r>
            <w:r>
              <w:rPr>
                <w:rFonts w:hint="eastAsia"/>
                <w:b w:val="0"/>
                <w:bCs/>
                <w:color w:val="auto"/>
                <w:sz w:val="24"/>
                <w:lang w:val="en-US" w:eastAsia="zh-CN"/>
              </w:rPr>
              <w:t>240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r>
              <w:rPr>
                <w:rFonts w:hint="eastAsia"/>
                <w:b w:val="0"/>
                <w:bCs/>
                <w:color w:val="auto"/>
                <w:sz w:val="24"/>
                <w:lang w:val="en-US" w:eastAsia="zh-CN"/>
              </w:rPr>
              <w:t>2</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/d，其主要水质污染因子为SS和石油类。</w:t>
            </w:r>
          </w:p>
          <w:p>
            <w:pPr>
              <w:spacing w:line="360" w:lineRule="auto"/>
              <w:ind w:firstLine="480" w:firstLineChars="200"/>
              <w:rPr>
                <w:b w:val="0"/>
                <w:bCs/>
                <w:color w:val="auto"/>
                <w:sz w:val="24"/>
              </w:rPr>
            </w:pPr>
            <w:r>
              <w:rPr>
                <w:b w:val="0"/>
                <w:bCs/>
                <w:color w:val="auto"/>
                <w:sz w:val="24"/>
              </w:rPr>
              <w:t>初期雨水的估算方法，以暴雨量的前15min雨量作为初期雨水量。本评价采用暴雨强度及雨水流量计算公式进行估算，计算公式如下：</w:t>
            </w:r>
          </w:p>
          <w:p>
            <w:pPr>
              <w:spacing w:line="360" w:lineRule="auto"/>
              <w:ind w:firstLine="480" w:firstLineChars="200"/>
              <w:rPr>
                <w:b w:val="0"/>
                <w:bCs/>
                <w:color w:val="auto"/>
                <w:sz w:val="24"/>
              </w:rPr>
            </w:pPr>
            <w:r>
              <w:rPr>
                <w:b w:val="0"/>
                <w:bCs/>
                <w:color w:val="auto"/>
                <w:sz w:val="24"/>
              </w:rPr>
              <w:t>V=q×ψ×F×t×60/1000</w:t>
            </w:r>
          </w:p>
          <w:p>
            <w:pPr>
              <w:spacing w:line="360" w:lineRule="auto"/>
              <w:ind w:firstLine="480" w:firstLineChars="200"/>
              <w:rPr>
                <w:b w:val="0"/>
                <w:bCs/>
                <w:color w:val="auto"/>
                <w:sz w:val="24"/>
              </w:rPr>
            </w:pPr>
            <w:r>
              <w:rPr>
                <w:b w:val="0"/>
                <w:bCs/>
                <w:color w:val="auto"/>
                <w:sz w:val="24"/>
              </w:rPr>
              <w:t>式中：</w:t>
            </w:r>
          </w:p>
          <w:p>
            <w:pPr>
              <w:spacing w:line="360" w:lineRule="auto"/>
              <w:ind w:firstLine="480" w:firstLineChars="200"/>
              <w:rPr>
                <w:b w:val="0"/>
                <w:bCs/>
                <w:color w:val="auto"/>
                <w:sz w:val="24"/>
              </w:rPr>
            </w:pPr>
            <w:r>
              <w:rPr>
                <w:b w:val="0"/>
                <w:bCs/>
                <w:color w:val="auto"/>
                <w:sz w:val="24"/>
              </w:rPr>
              <w:t>t——降雨历时，min，取15；</w:t>
            </w:r>
          </w:p>
          <w:p>
            <w:pPr>
              <w:spacing w:line="360" w:lineRule="auto"/>
              <w:ind w:firstLine="480" w:firstLineChars="200"/>
              <w:rPr>
                <w:b w:val="0"/>
                <w:bCs/>
                <w:color w:val="auto"/>
                <w:sz w:val="24"/>
              </w:rPr>
            </w:pPr>
            <w:r>
              <w:rPr>
                <w:b w:val="0"/>
                <w:bCs/>
                <w:color w:val="auto"/>
                <w:sz w:val="24"/>
              </w:rPr>
              <w:t>F——汇水面积，hm</w:t>
            </w:r>
            <w:r>
              <w:rPr>
                <w:b w:val="0"/>
                <w:bCs/>
                <w:color w:val="auto"/>
                <w:sz w:val="24"/>
                <w:vertAlign w:val="superscript"/>
              </w:rPr>
              <w:t>2</w:t>
            </w:r>
            <w:r>
              <w:rPr>
                <w:b w:val="0"/>
                <w:bCs/>
                <w:color w:val="auto"/>
                <w:sz w:val="24"/>
              </w:rPr>
              <w:t>，本项目汇水面积取</w:t>
            </w:r>
            <w:r>
              <w:rPr>
                <w:rFonts w:hint="eastAsia"/>
                <w:b w:val="0"/>
                <w:bCs/>
                <w:color w:val="auto"/>
                <w:sz w:val="24"/>
                <w:lang w:val="en-US" w:eastAsia="zh-CN"/>
              </w:rPr>
              <w:t>硬化地面面积1.5</w:t>
            </w:r>
            <w:r>
              <w:rPr>
                <w:b w:val="0"/>
                <w:bCs/>
                <w:color w:val="auto"/>
                <w:sz w:val="24"/>
              </w:rPr>
              <w:t>；</w:t>
            </w:r>
          </w:p>
          <w:p>
            <w:pPr>
              <w:spacing w:line="360" w:lineRule="auto"/>
              <w:ind w:firstLine="480" w:firstLineChars="200"/>
              <w:rPr>
                <w:b w:val="0"/>
                <w:bCs/>
                <w:color w:val="auto"/>
                <w:sz w:val="24"/>
              </w:rPr>
            </w:pPr>
            <w:r>
              <w:rPr>
                <w:b w:val="0"/>
                <w:bCs/>
                <w:color w:val="auto"/>
                <w:sz w:val="24"/>
              </w:rPr>
              <w:t>ψ——径流系数，取0.3；</w:t>
            </w:r>
          </w:p>
          <w:p>
            <w:pPr>
              <w:spacing w:line="360" w:lineRule="auto"/>
              <w:ind w:firstLine="480" w:firstLineChars="200"/>
              <w:rPr>
                <w:b w:val="0"/>
                <w:bCs/>
                <w:color w:val="auto"/>
                <w:sz w:val="24"/>
              </w:rPr>
            </w:pPr>
            <w:r>
              <w:rPr>
                <w:b w:val="0"/>
                <w:bCs/>
                <w:color w:val="auto"/>
                <w:sz w:val="24"/>
              </w:rPr>
              <w:t>q——设计暴雨强度，L/(s•hm</w:t>
            </w:r>
            <w:r>
              <w:rPr>
                <w:b w:val="0"/>
                <w:bCs/>
                <w:color w:val="auto"/>
                <w:sz w:val="24"/>
                <w:vertAlign w:val="superscript"/>
              </w:rPr>
              <w:t>2</w:t>
            </w:r>
            <w:r>
              <w:rPr>
                <w:b w:val="0"/>
                <w:bCs/>
                <w:color w:val="auto"/>
                <w:sz w:val="24"/>
              </w:rPr>
              <w:t>)，</w:t>
            </w:r>
          </w:p>
          <w:p>
            <w:pPr>
              <w:spacing w:line="360" w:lineRule="auto"/>
              <w:ind w:firstLine="480" w:firstLineChars="200"/>
              <w:rPr>
                <w:b w:val="0"/>
                <w:bCs/>
                <w:color w:val="auto"/>
                <w:sz w:val="24"/>
              </w:rPr>
            </w:pPr>
            <w:r>
              <w:rPr>
                <w:b w:val="0"/>
                <w:bCs/>
                <w:color w:val="auto"/>
                <w:sz w:val="24"/>
              </w:rPr>
              <w:t>暴雨强度</w:t>
            </w:r>
            <w:r>
              <w:rPr>
                <w:rFonts w:hint="eastAsia"/>
                <w:b w:val="0"/>
                <w:bCs/>
                <w:color w:val="auto"/>
                <w:sz w:val="24"/>
              </w:rPr>
              <w:t>q</w:t>
            </w:r>
            <w:r>
              <w:rPr>
                <w:b w:val="0"/>
                <w:bCs/>
                <w:color w:val="auto"/>
                <w:sz w:val="24"/>
              </w:rPr>
              <w:t>采取</w:t>
            </w:r>
            <w:r>
              <w:rPr>
                <w:rFonts w:hint="eastAsia"/>
                <w:b w:val="0"/>
                <w:bCs/>
                <w:color w:val="auto"/>
                <w:sz w:val="24"/>
                <w:lang w:val="en-US" w:eastAsia="zh-CN"/>
              </w:rPr>
              <w:t>伊春</w:t>
            </w:r>
            <w:r>
              <w:rPr>
                <w:b w:val="0"/>
                <w:bCs/>
                <w:color w:val="auto"/>
                <w:sz w:val="24"/>
              </w:rPr>
              <w:t>市暴雨强度计算公式：</w:t>
            </w:r>
          </w:p>
          <w:p>
            <w:pPr>
              <w:spacing w:line="360" w:lineRule="auto"/>
              <w:ind w:firstLine="480" w:firstLineChars="200"/>
              <w:jc w:val="center"/>
              <w:rPr>
                <w:b w:val="0"/>
                <w:bCs/>
                <w:color w:val="auto"/>
                <w:sz w:val="24"/>
              </w:rPr>
            </w:pPr>
            <w:r>
              <w:rPr>
                <w:b w:val="0"/>
                <w:bCs/>
                <w:color w:val="auto"/>
                <w:sz w:val="24"/>
              </w:rPr>
              <w:object>
                <v:shape id="_x0000_i1025" o:spt="75" type="#_x0000_t75" style="height:32.65pt;width:106.35pt;" o:ole="t" filled="f" coordsize="21600,21600">
                  <v:path/>
                  <v:fill on="f" focussize="0,0"/>
                  <v:stroke/>
                  <v:imagedata r:id="rId8" o:title=""/>
                  <o:lock v:ext="edit" aspectratio="t"/>
                  <w10:wrap type="none"/>
                  <w10:anchorlock/>
                </v:shape>
                <o:OLEObject Type="Embed" ProgID="Equation.3" ShapeID="_x0000_i1025" DrawAspect="Content" ObjectID="_1468075725" r:id="rId7">
                  <o:LockedField>false</o:LockedField>
                </o:OLEObject>
              </w:objec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78720" behindDoc="0" locked="0" layoutInCell="1" allowOverlap="1">
                      <wp:simplePos x="0" y="0"/>
                      <wp:positionH relativeFrom="column">
                        <wp:posOffset>2862580</wp:posOffset>
                      </wp:positionH>
                      <wp:positionV relativeFrom="paragraph">
                        <wp:posOffset>1331595</wp:posOffset>
                      </wp:positionV>
                      <wp:extent cx="702310" cy="285750"/>
                      <wp:effectExtent l="0" t="0" r="0" b="0"/>
                      <wp:wrapNone/>
                      <wp:docPr id="95" name="文本框 75"/>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rPr>
                                    <w:t>0.</w:t>
                                  </w: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225.4pt;margin-top:104.85pt;height:22.5pt;width:55.3pt;z-index:251678720;mso-width-relative:page;mso-height-relative:page;" filled="f" stroked="f" coordsize="21600,21600" o:gfxdata="UEsDBAoAAAAAAIdO4kAAAAAAAAAAAAAAAAAEAAAAZHJzL1BLAwQUAAAACACHTuJAiwMEj9wAAAAL&#10;AQAADwAAAGRycy9kb3ducmV2LnhtbE2PS0/DMBCE70j8B2uRuFE7UdJHGqdCkSokBIeWXrht4m0S&#10;4UeI3Qf8eswJjjs7mvmm3FyNZmea/OCshGQmgJFtnRpsJ+Hwtn1YAvMBrULtLEn4Ig+b6vamxEK5&#10;i93ReR86FkOsL1BCH8JYcO7bngz6mRvJxt/RTQZDPKeOqwkvMdxongox5wYHGxt6HKnuqf3Yn4yE&#10;53r7irsmNctvXT+9HB/Hz8N7LuX9XSLWwAJdw58ZfvEjOlSRqXEnqzzTErJcRPQgIRWrBbDoyOdJ&#10;BqyJSp4tgFcl/7+h+gFQSwMEFAAAAAgAh07iQKrSj5JCAgAAdQQAAA4AAABkcnMvZTJvRG9jLnht&#10;bK1UwU4bMRC9V+o/WL6XTQIhELFBKYiqEipItOrZ8XrZlWyPazvs0g9o/4BTL733u/iOPnsToLQH&#10;Dr0445nZN/PejHN03BvNbpQPLdmSj3dGnCkrqWrtdck/fTx7c8BZiMJWQpNVJb9VgR8vXr866txc&#10;TaghXSnPAGLDvHMlb2J086IIslFGhB1yyiJYkzci4uqvi8qLDuhGF5PRaL/oyFfOk1QhwHs6BPkG&#10;0b8EkOq6leqU5NooGwdUr7SIoBSa1gW+yN3WtZLxoq6DikyXHExjPlEE9iqdxeJIzK+9cE0rNy2I&#10;l7TwjJMRrUXRB6hTEQVb+/YvKNNKT4HquCPJFAORrAhYjEfPtLlqhFOZC6QO7kH08P9g5YebS8/a&#10;quSHU86sMJj4/d33+x+/7n9+Y7NpEqhzYY68K4fM2L+lHmuz9Qc4E+++9ib9ghFDHPLePsir+sgk&#10;nLPRZHeMiERocjCdTbP8xePHzof4TpFhySi5x/SyqOLmPEQ0gtRtSqpl6azVOk9QW9aVfH8XkH9E&#10;8IW2yaPyLmxgEqGh8WTFftVvWK6ougVJT8OeBCfPWrRyLkK8FB6Lge7xdOIFjloTStLG4qwh//Vf&#10;/pSPeSHKWYdFK3n4shZecabfW0zycLy3B9iYL3vT2QQX/zSyehqxa3NC2OUxHqmT2Uz5UW/N2pP5&#10;jBe2TFURElaidsnj1jyJw/rjhUq1XOYk7KIT8dxeOZmgBwmX60h1m3VPMg3aYAjpgm3M49i8nLTu&#10;T+856/Hf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wMEj9wAAAALAQAADwAAAAAAAAABACAA&#10;AAAiAAAAZHJzL2Rvd25yZXYueG1sUEsBAhQAFAAAAAgAh07iQKrSj5JCAgAAdQQAAA4AAAAAAAAA&#10;AQAgAAAAKw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rPr>
                              <w:t>0.</w:t>
                            </w:r>
                            <w:r>
                              <w:rPr>
                                <w:rFonts w:hint="eastAsia"/>
                                <w:lang w:val="en-US" w:eastAsia="zh-CN"/>
                              </w:rPr>
                              <w:t>5</w:t>
                            </w:r>
                          </w:p>
                        </w:txbxContent>
                      </v:textbox>
                    </v:shape>
                  </w:pict>
                </mc:Fallback>
              </mc:AlternateContent>
            </w:r>
            <w:r>
              <w:rPr>
                <w:b w:val="0"/>
                <w:bCs/>
                <w:color w:val="auto"/>
                <w:sz w:val="24"/>
              </w:rPr>
              <w:t>其中P为设计重现期，取2a，t为降雨历时，取15min，径流系数取0.3，厂区汇水面积</w:t>
            </w:r>
            <w:r>
              <w:rPr>
                <w:rFonts w:hint="eastAsia"/>
                <w:b w:val="0"/>
                <w:bCs/>
                <w:color w:val="auto"/>
                <w:sz w:val="24"/>
                <w:lang w:val="en-US" w:eastAsia="zh-CN"/>
              </w:rPr>
              <w:t>约</w:t>
            </w:r>
            <w:r>
              <w:rPr>
                <w:b w:val="0"/>
                <w:bCs/>
                <w:color w:val="auto"/>
                <w:sz w:val="24"/>
              </w:rPr>
              <w:t>为</w:t>
            </w:r>
            <w:r>
              <w:rPr>
                <w:rFonts w:hint="eastAsia"/>
                <w:b w:val="0"/>
                <w:bCs/>
                <w:color w:val="auto"/>
                <w:sz w:val="24"/>
                <w:lang w:val="en-US" w:eastAsia="zh-CN"/>
              </w:rPr>
              <w:t>1.5</w:t>
            </w:r>
            <w:r>
              <w:rPr>
                <w:b w:val="0"/>
                <w:bCs/>
                <w:color w:val="auto"/>
                <w:sz w:val="24"/>
              </w:rPr>
              <w:t>hm</w:t>
            </w:r>
            <w:r>
              <w:rPr>
                <w:b w:val="0"/>
                <w:bCs/>
                <w:color w:val="auto"/>
                <w:sz w:val="24"/>
                <w:vertAlign w:val="superscript"/>
              </w:rPr>
              <w:t>2</w:t>
            </w:r>
            <w:r>
              <w:rPr>
                <w:b w:val="0"/>
                <w:bCs/>
                <w:color w:val="auto"/>
                <w:sz w:val="24"/>
              </w:rPr>
              <w:t>，经计算，暴雨强度q值为</w:t>
            </w:r>
            <w:r>
              <w:rPr>
                <w:rFonts w:hint="eastAsia"/>
                <w:b w:val="0"/>
                <w:bCs/>
                <w:color w:val="auto"/>
                <w:sz w:val="24"/>
              </w:rPr>
              <w:t>217</w:t>
            </w:r>
            <w:r>
              <w:rPr>
                <w:b w:val="0"/>
                <w:bCs/>
                <w:color w:val="auto"/>
                <w:sz w:val="24"/>
              </w:rPr>
              <w:t>L/(s•hm</w:t>
            </w:r>
            <w:r>
              <w:rPr>
                <w:b w:val="0"/>
                <w:bCs/>
                <w:color w:val="auto"/>
                <w:sz w:val="24"/>
                <w:vertAlign w:val="superscript"/>
              </w:rPr>
              <w:t>2</w:t>
            </w:r>
            <w:r>
              <w:rPr>
                <w:b w:val="0"/>
                <w:bCs/>
                <w:color w:val="auto"/>
                <w:sz w:val="24"/>
              </w:rPr>
              <w:t>)，则初期雨水量为2</w:t>
            </w:r>
            <w:r>
              <w:rPr>
                <w:rFonts w:hint="eastAsia"/>
                <w:b w:val="0"/>
                <w:bCs/>
                <w:color w:val="auto"/>
                <w:sz w:val="24"/>
              </w:rPr>
              <w:t>17</w:t>
            </w:r>
            <w:r>
              <w:rPr>
                <w:b w:val="0"/>
                <w:bCs/>
                <w:color w:val="auto"/>
                <w:sz w:val="24"/>
              </w:rPr>
              <w:t>×0.3×</w:t>
            </w:r>
            <w:r>
              <w:rPr>
                <w:rFonts w:hint="eastAsia"/>
                <w:b w:val="0"/>
                <w:bCs/>
                <w:color w:val="auto"/>
                <w:sz w:val="24"/>
                <w:lang w:val="en-US" w:eastAsia="zh-CN"/>
              </w:rPr>
              <w:t>1.5</w:t>
            </w:r>
            <w:r>
              <w:rPr>
                <w:b w:val="0"/>
                <w:bCs/>
                <w:color w:val="auto"/>
                <w:sz w:val="24"/>
              </w:rPr>
              <w:t>×15×60÷1000=</w:t>
            </w:r>
            <w:r>
              <w:rPr>
                <w:rFonts w:hint="eastAsia"/>
                <w:b w:val="0"/>
                <w:bCs/>
                <w:color w:val="auto"/>
                <w:sz w:val="24"/>
                <w:lang w:val="en-US" w:eastAsia="zh-CN"/>
              </w:rPr>
              <w:t>87.8</w:t>
            </w:r>
            <w:r>
              <w:rPr>
                <w:b w:val="0"/>
                <w:bCs/>
                <w:color w:val="auto"/>
                <w:sz w:val="24"/>
              </w:rPr>
              <w:t>m</w:t>
            </w:r>
            <w:r>
              <w:rPr>
                <w:b w:val="0"/>
                <w:bCs/>
                <w:color w:val="auto"/>
                <w:sz w:val="24"/>
                <w:vertAlign w:val="superscript"/>
              </w:rPr>
              <w:t>3</w:t>
            </w:r>
            <w:r>
              <w:rPr>
                <w:b w:val="0"/>
                <w:bCs/>
                <w:color w:val="auto"/>
                <w:sz w:val="24"/>
              </w:rPr>
              <w:t>/次。初期雨水经厂区四周排水沟汇入</w:t>
            </w:r>
            <w:r>
              <w:rPr>
                <w:rFonts w:hint="eastAsia"/>
                <w:b w:val="0"/>
                <w:bCs/>
                <w:color w:val="auto"/>
                <w:sz w:val="24"/>
              </w:rPr>
              <w:t>厂区</w:t>
            </w:r>
            <w:r>
              <w:rPr>
                <w:b w:val="0"/>
                <w:bCs/>
                <w:color w:val="auto"/>
                <w:sz w:val="24"/>
              </w:rPr>
              <w:t>初期雨水池隔油沉淀后，用于</w:t>
            </w:r>
            <w:r>
              <w:rPr>
                <w:rFonts w:hint="eastAsia"/>
                <w:b w:val="0"/>
                <w:bCs/>
                <w:color w:val="auto"/>
                <w:sz w:val="24"/>
              </w:rPr>
              <w:t>洒水降尘</w:t>
            </w:r>
            <w:r>
              <w:rPr>
                <w:b w:val="0"/>
                <w:bCs/>
                <w:color w:val="auto"/>
                <w:sz w:val="24"/>
              </w:rPr>
              <w:t>，不外排。本项目每年</w:t>
            </w:r>
            <w:r>
              <w:rPr>
                <w:rFonts w:hint="eastAsia"/>
                <w:b w:val="0"/>
                <w:bCs/>
                <w:color w:val="auto"/>
                <w:sz w:val="24"/>
                <w:lang w:val="en-US" w:eastAsia="zh-CN"/>
              </w:rPr>
              <w:t>6</w:t>
            </w:r>
            <w:r>
              <w:rPr>
                <w:rFonts w:hint="eastAsia"/>
                <w:b w:val="0"/>
                <w:bCs/>
                <w:color w:val="auto"/>
                <w:sz w:val="24"/>
              </w:rPr>
              <w:t>月到</w:t>
            </w:r>
            <w:r>
              <w:rPr>
                <w:rFonts w:hint="eastAsia"/>
                <w:b w:val="0"/>
                <w:bCs/>
                <w:color w:val="auto"/>
                <w:sz w:val="24"/>
                <w:lang w:val="en-US" w:eastAsia="zh-CN"/>
              </w:rPr>
              <w:t>8</w:t>
            </w:r>
            <w:r>
              <w:rPr>
                <w:rFonts w:hint="eastAsia"/>
                <w:b w:val="0"/>
                <w:bCs/>
                <w:color w:val="auto"/>
                <w:sz w:val="24"/>
              </w:rPr>
              <w:t>月降雨，平均每月收集2次初期雨水，初期雨水量为</w:t>
            </w:r>
            <w:r>
              <w:rPr>
                <w:rFonts w:hint="eastAsia"/>
                <w:b w:val="0"/>
                <w:bCs/>
                <w:color w:val="auto"/>
                <w:sz w:val="24"/>
                <w:lang w:val="en-US" w:eastAsia="zh-CN"/>
              </w:rPr>
              <w:t>527</w:t>
            </w:r>
            <w:r>
              <w:rPr>
                <w:b w:val="0"/>
                <w:bCs/>
                <w:color w:val="auto"/>
                <w:sz w:val="24"/>
              </w:rPr>
              <w:t>m</w:t>
            </w:r>
            <w:r>
              <w:rPr>
                <w:b w:val="0"/>
                <w:bCs/>
                <w:color w:val="auto"/>
                <w:sz w:val="24"/>
                <w:vertAlign w:val="superscript"/>
              </w:rPr>
              <w:t>3</w:t>
            </w:r>
            <w:r>
              <w:rPr>
                <w:b w:val="0"/>
                <w:bCs/>
                <w:color w:val="auto"/>
                <w:sz w:val="24"/>
              </w:rPr>
              <w:t>/</w:t>
            </w:r>
            <w:r>
              <w:rPr>
                <w:rFonts w:hint="eastAsia"/>
                <w:b w:val="0"/>
                <w:bCs/>
                <w:color w:val="auto"/>
                <w:sz w:val="24"/>
              </w:rPr>
              <w:t>a</w:t>
            </w:r>
            <w:r>
              <w:rPr>
                <w:b w:val="0"/>
                <w:bCs/>
                <w:color w:val="auto"/>
                <w:sz w:val="24"/>
              </w:rPr>
              <w:t>。</w: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77696" behindDoc="0" locked="0" layoutInCell="1" allowOverlap="1">
                      <wp:simplePos x="0" y="0"/>
                      <wp:positionH relativeFrom="column">
                        <wp:posOffset>2473960</wp:posOffset>
                      </wp:positionH>
                      <wp:positionV relativeFrom="paragraph">
                        <wp:posOffset>22860</wp:posOffset>
                      </wp:positionV>
                      <wp:extent cx="398145" cy="242570"/>
                      <wp:effectExtent l="2540" t="0" r="18415" b="5080"/>
                      <wp:wrapNone/>
                      <wp:docPr id="94" name="直接箭头连接符 74"/>
                      <wp:cNvGraphicFramePr/>
                      <a:graphic xmlns:a="http://schemas.openxmlformats.org/drawingml/2006/main">
                        <a:graphicData uri="http://schemas.microsoft.com/office/word/2010/wordprocessingShape">
                          <wps:wsp>
                            <wps:cNvCnPr/>
                            <wps:spPr>
                              <a:xfrm flipV="1">
                                <a:off x="0" y="0"/>
                                <a:ext cx="398145" cy="242570"/>
                              </a:xfrm>
                              <a:prstGeom prst="straightConnector1">
                                <a:avLst/>
                              </a:prstGeom>
                              <a:noFill/>
                              <a:ln w="9525" cap="flat" cmpd="sng" algn="ctr">
                                <a:solidFill>
                                  <a:srgbClr val="000000"/>
                                </a:solidFill>
                                <a:prstDash val="dash"/>
                                <a:tailEnd type="arrow"/>
                              </a:ln>
                              <a:effectLst/>
                            </wps:spPr>
                            <wps:bodyPr/>
                          </wps:wsp>
                        </a:graphicData>
                      </a:graphic>
                    </wp:anchor>
                  </w:drawing>
                </mc:Choice>
                <mc:Fallback>
                  <w:pict>
                    <v:shape id="直接箭头连接符 74" o:spid="_x0000_s1026" o:spt="32" type="#_x0000_t32" style="position:absolute;left:0pt;flip:y;margin-left:194.8pt;margin-top:1.8pt;height:19.1pt;width:31.35pt;z-index:251677696;mso-width-relative:page;mso-height-relative:page;" filled="f" stroked="t" coordsize="21600,21600" o:gfxdata="UEsDBAoAAAAAAIdO4kAAAAAAAAAAAAAAAAAEAAAAZHJzL1BLAwQUAAAACACHTuJAn4vy+tcAAAAI&#10;AQAADwAAAGRycy9kb3ducmV2LnhtbE2PQU/DMAyF70j8h8hI3FjardtKaTrBUK9IDIQ4Zo3XViRO&#10;1WRb9+8xJ3bys97T8+dyMzkrTjiG3pOCdJaAQGq86alV8PlRP+QgQtRktPWECi4YYFPd3pS6MP5M&#10;73jaxVZwCYVCK+hiHAopQ9Oh02HmByT2Dn50OvI6ttKM+szlzsp5kqyk0z3xhU4PuO2w+dkdnYLn&#10;l+2hXk+0zFK5NvXrW/Z1sd9K3d+lyROIiFP8D8MfPqNDxUx7fyQThFWwyB9XHGXBg/1sOV+A2LNI&#10;c5BVKa8fqH4BUEsDBBQAAAAIAIdO4kDaAypSCwIAAOQDAAAOAAAAZHJzL2Uyb0RvYy54bWytU72O&#10;EzEQ7pF4B8s92SQk3F2UzRUJR4PgJH56x+vdteQ/zfiyyUvwAkhUQAVU1/M0cDwGY+8SHUdzBVtY&#10;Y3vnm/m++bw831vDdgpQe1fyyWjMmXLSV9o1JX/z+uLRKWcYhauE8U6V/KCQn68ePlh2YaGmvvWm&#10;UsAIxOGiCyVvYwyLokDZKitw5INydFl7sCLSFpqiAtERujXFdDx+UnQeqgBeKkQ63fSXfECE+wD6&#10;utZSbby8ssrFHhWUEZEoYasD8lXutq6VjC/rGlVkpuTENOaVilC8TWuxWopFAyK0Wg4tiPu0cIeT&#10;FdpR0SPURkTBrkD/A2W1BI++jiPpbdETyYoQi8n4jjavWhFU5kJSYziKjv8PVr7YXQLTVcnPZpw5&#10;YWniN++vf777dPPt64+P17++f0jxl8/sZJbE6gIuKGftLmHYYbiExHxfg2W10eEtuSprQezYPkt9&#10;OEqt9pFJOnx8djqZzTmTdDWdTecneRRFD5PgAmB8prxlKSg5RhC6aePaO0dD9dCXELvnGKkRSvyT&#10;kJKdv9DG5NkaxzoiN5+mYoL8WpNPKLSBOKNrOBOmoYcgI+Sm0RtdpeyEg9Bs1wbYTiT75C+JQNX+&#10;+i2V3ghs+/8qinpfRaHNU1exeAgkqwDw3ZBuXIJX2aADg6Rsr2WKtr46ZImLtKPh56qDUZO7bu8p&#10;vv04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4vy+tcAAAAIAQAADwAAAAAAAAABACAAAAAi&#10;AAAAZHJzL2Rvd25yZXYueG1sUEsBAhQAFAAAAAgAh07iQNoDKlILAgAA5AMAAA4AAAAAAAAAAQAg&#10;AAAAJgEAAGRycy9lMm9Eb2MueG1sUEsFBgAAAAAGAAYAWQEAAKMFAAAAAA==&#10;">
                      <v:fill on="f" focussize="0,0"/>
                      <v:stroke color="#000000" joinstyle="round" dashstyle="dash"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76672" behindDoc="0" locked="0" layoutInCell="1" allowOverlap="1">
                      <wp:simplePos x="0" y="0"/>
                      <wp:positionH relativeFrom="column">
                        <wp:posOffset>1306830</wp:posOffset>
                      </wp:positionH>
                      <wp:positionV relativeFrom="paragraph">
                        <wp:posOffset>225425</wp:posOffset>
                      </wp:positionV>
                      <wp:extent cx="445770" cy="285750"/>
                      <wp:effectExtent l="0" t="0" r="0" b="0"/>
                      <wp:wrapNone/>
                      <wp:docPr id="91" name="文本框 71"/>
                      <wp:cNvGraphicFramePr/>
                      <a:graphic xmlns:a="http://schemas.openxmlformats.org/drawingml/2006/main">
                        <a:graphicData uri="http://schemas.microsoft.com/office/word/2010/wordprocessingShape">
                          <wps:wsp>
                            <wps:cNvSpPr txBox="1"/>
                            <wps:spPr>
                              <a:xfrm>
                                <a:off x="0" y="0"/>
                                <a:ext cx="445770" cy="285750"/>
                              </a:xfrm>
                              <a:prstGeom prst="rect">
                                <a:avLst/>
                              </a:prstGeom>
                              <a:noFill/>
                              <a:ln w="6350">
                                <a:noFill/>
                              </a:ln>
                              <a:effectLst/>
                            </wps:spPr>
                            <wps:txbx>
                              <w:txbxContent>
                                <w:p>
                                  <w:pPr>
                                    <w:rPr>
                                      <w:rFonts w:hint="default"/>
                                      <w:lang w:val="en-US"/>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 o:spid="_x0000_s1026" o:spt="202" type="#_x0000_t202" style="position:absolute;left:0pt;margin-left:102.9pt;margin-top:17.75pt;height:22.5pt;width:35.1pt;z-index:251676672;mso-width-relative:page;mso-height-relative:page;" filled="f" stroked="f" coordsize="21600,21600" o:gfxdata="UEsDBAoAAAAAAIdO4kAAAAAAAAAAAAAAAAAEAAAAZHJzL1BLAwQUAAAACACHTuJA5Jr5etoAAAAJ&#10;AQAADwAAAGRycy9kb3ducmV2LnhtbE2Py07DMBRE90j8g3UrsaN2g1yikJsKRaqQECxaumHnxLdJ&#10;VD9C7D7g6zEruhzNaOZMubpYw040hcE7hMVcACPXej24DmH3sb7PgYWonFbGO0L4pgCr6vamVIX2&#10;Z7eh0zZ2LJW4UCiEPsax4Dy0PVkV5n4kl7y9n6yKSU4d15M6p3JreCbEkls1uLTQq5HqntrD9mgR&#10;Xuv1u9o0mc1/TP3ytn8ev3afEvFuthBPwCJd4n8Y/vATOlSJqfFHpwMzCJmQCT0iPEgJLAWyx2U6&#10;1yDkQgKvSn79oPoFUEsDBBQAAAAIAIdO4kCQ16CzQAIAAHUEAAAOAAAAZHJzL2Uyb0RvYy54bWyt&#10;VMFuEzEQvSPxD5bvdJOQNm3UTRVaFSFVtFJBnB2vt7uS7TG2093yAfAHnLhw57vyHTx7k7YUDj1w&#10;ccYzs2/mvRnn+KQ3mt0qH1qyJR/vjThTVlLV2puSf/xw/uqQsxCFrYQmq0p+pwI/Wbx8cdy5uZpQ&#10;Q7pSngHEhnnnSt7E6OZFEWSjjAh75JRFsCZvRMTV3xSVFx3QjS4mo9FB0ZGvnCepQoD3bAjyLaJ/&#10;DiDVdSvVGcm1UTYOqF5pEUEpNK0LfJG7rWsl42VdBxWZLjmYxnyiCOxVOovFsZjfeOGaVm5bEM9p&#10;4QknI1qLovdQZyIKtvbtX1CmlZ4C1XFPkikGIlkRsBiPnmhz3QinMhdIHdy96OH/wcr3t1eetVXJ&#10;j8acWWEw8c33b5sfvzY/v7LZOAnUuTBH3rVDZuzfUI+12fkDnIl3X3uTfsGIIQ557+7lVX1kEs7p&#10;dH82Q0QiNDncn+1n+YuHj50P8a0iw5JRco/pZVHF7UWIaASpu5RUy9J5q3WeoLasK/nBa0D+EcEX&#10;2iaPyruwhUmEhsaTFftVv2W5ouoOJD0NexKcPG/RyoUI8Up4LAa6x9OJlzhqTShJW4uzhvyXf/lT&#10;PuaFKGcdFq3k4fNaeMWZfmcxyaPxdArYmC9QaIKLfxxZPY7YtTkl7DKGhe6ymfKj3pm1J/MJL2yZ&#10;qiIkrETtksedeRqH9ccLlWq5zEnYRSfihb12MkEPEi7Xkeo2655kGrTBENIF25jHsX05ad0f33PW&#10;w7/F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mvl62gAAAAkBAAAPAAAAAAAAAAEAIAAAACIA&#10;AABkcnMvZG93bnJldi54bWxQSwECFAAUAAAACACHTuJAkNegs0ACAAB1BAAADgAAAAAAAAABACAA&#10;AAApAQAAZHJzL2Uyb0RvYy54bWxQSwUGAAAAAAYABgBZAQAA2wUAAAAA&#10;">
                      <v:fill on="f" focussize="0,0"/>
                      <v:stroke on="f" weight="0.5pt"/>
                      <v:imagedata o:title=""/>
                      <o:lock v:ext="edit" aspectratio="f"/>
                      <v:textbox>
                        <w:txbxContent>
                          <w:p>
                            <w:pPr>
                              <w:rPr>
                                <w:rFonts w:hint="default"/>
                                <w:lang w:val="en-US"/>
                              </w:rPr>
                            </w:pPr>
                            <w:r>
                              <w:rPr>
                                <w:rFonts w:hint="eastAsia"/>
                                <w:lang w:val="en-US" w:eastAsia="zh-CN"/>
                              </w:rPr>
                              <w:t>1.1</w:t>
                            </w:r>
                          </w:p>
                        </w:txbxContent>
                      </v:textbox>
                    </v:shape>
                  </w:pict>
                </mc:Fallback>
              </mc:AlternateContent>
            </w:r>
            <w:r>
              <w:rPr>
                <w:b w:val="0"/>
                <w:bCs/>
                <w:color w:val="auto"/>
                <w:sz w:val="24"/>
              </w:rPr>
              <mc:AlternateContent>
                <mc:Choice Requires="wps">
                  <w:drawing>
                    <wp:anchor distT="0" distB="0" distL="114300" distR="114300" simplePos="0" relativeHeight="251684864" behindDoc="0" locked="0" layoutInCell="1" allowOverlap="1">
                      <wp:simplePos x="0" y="0"/>
                      <wp:positionH relativeFrom="column">
                        <wp:posOffset>3248660</wp:posOffset>
                      </wp:positionH>
                      <wp:positionV relativeFrom="paragraph">
                        <wp:posOffset>20955</wp:posOffset>
                      </wp:positionV>
                      <wp:extent cx="702310" cy="285750"/>
                      <wp:effectExtent l="0" t="0" r="0" b="0"/>
                      <wp:wrapNone/>
                      <wp:docPr id="103" name="文本框 81"/>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1" o:spid="_x0000_s1026" o:spt="202" type="#_x0000_t202" style="position:absolute;left:0pt;margin-left:255.8pt;margin-top:1.65pt;height:22.5pt;width:55.3pt;z-index:251684864;mso-width-relative:page;mso-height-relative:page;" filled="f" stroked="f" coordsize="21600,21600" o:gfxdata="UEsDBAoAAAAAAIdO4kAAAAAAAAAAAAAAAAAEAAAAZHJzL1BLAwQUAAAACACHTuJAu52rNNoAAAAI&#10;AQAADwAAAGRycy9kb3ducmV2LnhtbE2PzU7DMBCE70i8g7WVuFEnDo2ikE2FIlVICA4tvXBzYjeJ&#10;aq9D7P7A02NOcBzNaOaban21hp317EdHCOkyAaapc2qkHmH/vrkvgPkgSUnjSCN8aQ/r+vamkqVy&#10;F9rq8y70LJaQLyXCEMJUcu67QVvpl27SFL2Dm60MUc49V7O8xHJruEiSnFs5UlwY5KSbQXfH3cki&#10;vDSbN7lthS2+TfP8eniaPvcfK8S7RZo8Agv6Gv7C8Isf0aGOTK07kfLMIKzSNI9RhCwDFv1cCAGs&#10;RXgoMuB1xf8fqH8AUEsDBBQAAAAIAIdO4kAaFCCVQgIAAHYEAAAOAAAAZHJzL2Uyb0RvYy54bWyt&#10;VM1uEzEQviPxDpbvdJP0L0TdVKFVEVJFKxXE2fF6uyvZHmM73S0PAG/AiQt3nqvPwWdvkobCoQcu&#10;znhm9pv5vhnn5LQ3mt0pH1qyJR/vjThTVlLV2tuSf/xw8WrKWYjCVkKTVSW/V4Gfzl++OOncTE2o&#10;IV0pzwBiw6xzJW9idLOiCLJRRoQ9csoiWJM3IuLqb4vKiw7oRheT0eio6MhXzpNUIcB7PgT5GtE/&#10;B5DqupXqnOTKKBsHVK+0iKAUmtYFPs/d1rWS8aqug4pMlxxMYz5RBPYyncX8RMxuvXBNK9ctiOe0&#10;8ISTEa1F0S3UuYiCrXz7F5RppadAddyTZIqBSFYELMajJ9rcNMKpzAVSB7cVPfw/WPn+7tqztsIm&#10;jPY5s8Jg5A/fvz38+PXw8yubjpNCnQszJN44pMb+DfXI3vgDnIl4X3uTfkGJIQ5977f6qj4yCefx&#10;aLI/RkQiNJkeHh9m/YvHj50P8a0iw5JRco/xZVXF3WWIaASpm5RUy9JFq3UeobasK/nRPiD/iOAL&#10;bZNH5WVYwyRCQ+PJiv2yX7NcUnUPkp6GRQlOXrRo5VKEeC08NgPd4+3EKxy1JpSktcVZQ/7Lv/wp&#10;HwNDlLMOm1by8HklvOJMv7MY5evxwQFgY74cHB5PcPG7keVuxK7MGWGZx3ilTmYz5Ue9MWtP5hOe&#10;2CJVRUhYidoljxvzLA77jycq1WKRk7CMTsRLe+Nkgh4kXKwi1W3WPck0aIMhpAvWMY9j/XTSvu/e&#10;c9bj38X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udqzTaAAAACAEAAA8AAAAAAAAAAQAgAAAA&#10;IgAAAGRycy9kb3ducmV2LnhtbFBLAQIUABQAAAAIAIdO4kAaFCCVQgIAAHYEAAAOAAAAAAAAAAEA&#10;IAAAACk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p>
          <w:p>
            <w:pPr>
              <w:adjustRightInd w:val="0"/>
              <w:snapToGrid w:val="0"/>
              <w:spacing w:line="360" w:lineRule="auto"/>
              <w:ind w:firstLine="480" w:firstLineChars="200"/>
              <w:rPr>
                <w:rFonts w:hint="eastAsia"/>
                <w:b w:val="0"/>
                <w:bCs/>
                <w:color w:val="auto"/>
                <w:sz w:val="24"/>
                <w:lang w:eastAsia="zh-CN"/>
              </w:rPr>
            </w:pPr>
            <w:r>
              <w:rPr>
                <w:b w:val="0"/>
                <w:bCs/>
                <w:color w:val="auto"/>
                <w:sz w:val="24"/>
              </w:rPr>
              <mc:AlternateContent>
                <mc:Choice Requires="wps">
                  <w:drawing>
                    <wp:anchor distT="0" distB="0" distL="114300" distR="114300" simplePos="0" relativeHeight="251661312" behindDoc="0" locked="0" layoutInCell="1" allowOverlap="1">
                      <wp:simplePos x="0" y="0"/>
                      <wp:positionH relativeFrom="column">
                        <wp:posOffset>1778635</wp:posOffset>
                      </wp:positionH>
                      <wp:positionV relativeFrom="paragraph">
                        <wp:posOffset>31115</wp:posOffset>
                      </wp:positionV>
                      <wp:extent cx="1143000" cy="578485"/>
                      <wp:effectExtent l="4445" t="4445" r="14605" b="7620"/>
                      <wp:wrapNone/>
                      <wp:docPr id="73" name="文本框 16"/>
                      <wp:cNvGraphicFramePr/>
                      <a:graphic xmlns:a="http://schemas.openxmlformats.org/drawingml/2006/main">
                        <a:graphicData uri="http://schemas.microsoft.com/office/word/2010/wordprocessingShape">
                          <wps:wsp>
                            <wps:cNvSpPr txBox="1"/>
                            <wps:spPr>
                              <a:xfrm>
                                <a:off x="3251835" y="5019040"/>
                                <a:ext cx="1143000" cy="578485"/>
                              </a:xfrm>
                              <a:prstGeom prst="rect">
                                <a:avLst/>
                              </a:prstGeom>
                              <a:solidFill>
                                <a:srgbClr val="FFFFFF"/>
                              </a:solidFill>
                              <a:ln w="6350">
                                <a:solidFill>
                                  <a:prstClr val="black"/>
                                </a:solidFill>
                              </a:ln>
                              <a:effectLst/>
                            </wps:spPr>
                            <wps:txbx>
                              <w:txbxContent>
                                <w:p>
                                  <w:pPr>
                                    <w:rPr>
                                      <w:rFonts w:hint="eastAsia"/>
                                    </w:rPr>
                                  </w:pPr>
                                </w:p>
                                <w:p>
                                  <w:r>
                                    <w:rPr>
                                      <w:rFonts w:hint="eastAsia"/>
                                    </w:rPr>
                                    <w:t>设备</w:t>
                                  </w:r>
                                  <w:r>
                                    <w:rPr>
                                      <w:rFonts w:hint="eastAsia"/>
                                      <w:lang w:val="en-US" w:eastAsia="zh-CN"/>
                                    </w:rPr>
                                    <w:t>车辆</w:t>
                                  </w:r>
                                  <w:r>
                                    <w:rPr>
                                      <w:rFonts w:hint="eastAsia"/>
                                    </w:rPr>
                                    <w:t>清洗水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26" o:spt="202" type="#_x0000_t202" style="position:absolute;left:0pt;margin-left:140.05pt;margin-top:2.45pt;height:45.55pt;width:90pt;z-index:251661312;mso-width-relative:page;mso-height-relative:page;" fillcolor="#FFFFFF" filled="t" stroked="t" coordsize="21600,21600" o:gfxdata="UEsDBAoAAAAAAIdO4kAAAAAAAAAAAAAAAAAEAAAAZHJzL1BLAwQUAAAACACHTuJAIWv36NQAAAAI&#10;AQAADwAAAGRycy9kb3ducmV2LnhtbE2PwWrDMBBE74X8g9hAb41kJ5jE9TrQQqH01tSX3BRrY5tK&#10;K2Mpcfr3VU7tcZhh5k21vzkrrjSFwTNCtlIgiFtvBu4Qmq+3py2IEDUbbT0Twg8F2NeLh0qXxs/8&#10;SddD7EQq4VBqhD7GsZQytD05HVZ+JE7e2U9OxySnTppJz6ncWZkrVUinB04LvR7ptaf2+3BxCO/F&#10;SzxSYz7MOl/7uZHtdLYB8XGZqWcQkW7xLwx3/IQOdWI6+QubICxCvlVZiiJsdiCSvynu+oSwKxTI&#10;upL/D9S/UEsDBBQAAAAIAIdO4kDKo0cRawIAANMEAAAOAAAAZHJzL2Uyb0RvYy54bWytVEtu2zAQ&#10;3RfoHQjuG0n+JI4ROXATuCgQNAHSomuaoiyiJIclaUvpAdobdNVN9z1XztEhJefbRRb1gp7hDN7M&#10;PL7RyWmnFdkJ5yWYkhYHOSXCcKik2ZT008fVmxklPjBTMQVGlPRGeHq6eP3qpLVzMYIGVCUcQRDj&#10;560taROCnWeZ543QzB+AFQaDNTjNArpuk1WOtYiuVTbK88OsBVdZB1x4j7fnfZAOiO4lgFDXkotz&#10;4FstTOhRnVAs4Ei+kdbTReq2rgUPl3XtRSCqpDhpSCcWQXsdz2xxwuYbx2wj+dACe0kLT2bSTBos&#10;egd1zgIjWyefQWnJHXiowwEHnfWDJEZwiiJ/ws11w6xIsyDV3t6R7v8fLP+wu3JEViU9GlNimMYX&#10;v/354/bXn9vf30lxGAlqrZ9j3rXFzNC9hQ5ls7/3eBnn7mqn4z9ORDA+Hk2L2XhKyU1Jp3lxnE8G&#10;qkUXCI8AxWSc5/gKPGYczSazaYTM7pGs8+GdAE2iUVKHT5kYZrsLH/rUfUos7EHJaiWVSo7brM+U&#10;IzuGz75KvwH9UZoypC3p4XiaJ+RHsYh9B7FWjH95joDdKhPriaS0oa9IV09LtEK37gYO11DdIIUO&#10;ehV6y1cSq1wwH66YQ9khHbiY4RKPWgG2BoNFSQPu27/uYz6qAaOUtCjjkvqvW+YEJeq9QZ0cFxOk&#10;noTkTKZHI3Tcw8j6YcRs9RkgZQV+AixPZswPam/WDvRn3N9lrIohZjjWLmnYm2ehXy7cfy6Wy5SE&#10;SrcsXJhryyN0JMzAchuglukhI009NyiA6KDWkxSGvYzL9NBPWfffo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Wv36NQAAAAIAQAADwAAAAAAAAABACAAAAAiAAAAZHJzL2Rvd25yZXYueG1sUEsB&#10;AhQAFAAAAAgAh07iQMqjRxFrAgAA0wQAAA4AAAAAAAAAAQAgAAAAIwEAAGRycy9lMm9Eb2MueG1s&#10;UEsFBgAAAAAGAAYAWQEAAAAGAAAAAA==&#10;">
                      <v:fill on="t" focussize="0,0"/>
                      <v:stroke weight="0.5pt" color="#000000" joinstyle="round"/>
                      <v:imagedata o:title=""/>
                      <o:lock v:ext="edit" aspectratio="f"/>
                      <v:textbox>
                        <w:txbxContent>
                          <w:p>
                            <w:pPr>
                              <w:rPr>
                                <w:rFonts w:hint="eastAsia"/>
                              </w:rPr>
                            </w:pPr>
                          </w:p>
                          <w:p>
                            <w:r>
                              <w:rPr>
                                <w:rFonts w:hint="eastAsia"/>
                              </w:rPr>
                              <w:t>设备</w:t>
                            </w:r>
                            <w:r>
                              <w:rPr>
                                <w:rFonts w:hint="eastAsia"/>
                                <w:lang w:val="en-US" w:eastAsia="zh-CN"/>
                              </w:rPr>
                              <w:t>车辆</w:t>
                            </w:r>
                            <w:r>
                              <w:rPr>
                                <w:rFonts w:hint="eastAsia"/>
                              </w:rPr>
                              <w:t>清洗水</w:t>
                            </w:r>
                          </w:p>
                        </w:txbxContent>
                      </v:textbox>
                    </v:shape>
                  </w:pict>
                </mc:Fallback>
              </mc:AlternateContent>
            </w:r>
            <w:r>
              <w:rPr>
                <w:b w:val="0"/>
                <w:bCs/>
                <w:color w:val="auto"/>
                <w:sz w:val="24"/>
              </w:rPr>
              <mc:AlternateContent>
                <mc:Choice Requires="wps">
                  <w:drawing>
                    <wp:anchor distT="0" distB="0" distL="114300" distR="114300" simplePos="0" relativeHeight="251669504" behindDoc="0" locked="0" layoutInCell="1" allowOverlap="1">
                      <wp:simplePos x="0" y="0"/>
                      <wp:positionH relativeFrom="column">
                        <wp:posOffset>2952750</wp:posOffset>
                      </wp:positionH>
                      <wp:positionV relativeFrom="paragraph">
                        <wp:posOffset>117475</wp:posOffset>
                      </wp:positionV>
                      <wp:extent cx="995680" cy="0"/>
                      <wp:effectExtent l="0" t="48895" r="13970" b="65405"/>
                      <wp:wrapNone/>
                      <wp:docPr id="81" name="直接箭头连接符 38"/>
                      <wp:cNvGraphicFramePr/>
                      <a:graphic xmlns:a="http://schemas.openxmlformats.org/drawingml/2006/main">
                        <a:graphicData uri="http://schemas.microsoft.com/office/word/2010/wordprocessingShape">
                          <wps:wsp>
                            <wps:cNvCnPr/>
                            <wps:spPr>
                              <a:xfrm flipH="1">
                                <a:off x="0" y="0"/>
                                <a:ext cx="995680" cy="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38" o:spid="_x0000_s1026" o:spt="32" type="#_x0000_t32" style="position:absolute;left:0pt;flip:x;margin-left:232.5pt;margin-top:9.25pt;height:0pt;width:78.4pt;z-index:251669504;mso-width-relative:page;mso-height-relative:page;" filled="f" stroked="t" coordsize="21600,21600" o:gfxdata="UEsDBAoAAAAAAIdO4kAAAAAAAAAAAAAAAAAEAAAAZHJzL1BLAwQUAAAACACHTuJA86by0dYAAAAJ&#10;AQAADwAAAGRycy9kb3ducmV2LnhtbE2PwU7DMBBE70j8g7VI3KidqomqEKcHECe4UJCq3tx4iVPi&#10;dYjdJvw9izjQ486MZudVm9n34oxj7AJpyBYKBFITbEethve3p7s1iJgMWdMHQg3fGGFTX19VprRh&#10;olc8b1MruIRiaTS4lIZSytg49CYuwoDE3kcYvUl8jq20o5m43PdyqVQhvemIPzgz4IPD5nN78hp2&#10;L2qfz2F0x/3Xyj13j+3u6Cetb28ydQ8i4Zz+w/A7n6dDzZsO4UQ2il7DqsiZJbGxzkFwoFhmzHL4&#10;E2RdyUuC+gdQSwMEFAAAAAgAh07iQGfdon8EAgAA4AMAAA4AAABkcnMvZTJvRG9jLnhtbK1TzY7T&#10;MBC+I/EOlu80bVFX3arpHloWDggqAQ/gOk5iyX+a8TbtS/ACSJyAE3DaO08Dy2MwdrLVslz2QA7W&#10;jCfzzXzfjJcXB2vYXgFq70o+GY05U076Srum5O/eXj6Zc4ZRuEoY71TJjwr5xerxo2UXFmrqW28q&#10;BYxAHC66UPI2xrAoCpStsgJHPihHwdqDFZFcaIoKREfo1hTT8fis6DxUAbxUiHS76YN8QISHAPq6&#10;1lJtvLyyysUeFZQRkShhqwPyVe62rpWMr+saVWSm5MQ05pOKkL1LZ7FaikUDIrRaDi2Ih7Rwj5MV&#10;2lHRE9RGRMGuQP8DZbUEj76OI+lt0RPJihCLyfieNm9aEVTmQlJjOImO/w9Wvtpvgemq5PMJZ05Y&#10;mvjNh+tf7z/ffP/289P17x8fk/31C3s6T2J1AReUs3ZbGDwMW0jMDzVYVhsdXtBWZS2IHTtkqY8n&#10;qdUhMkmX5+ezszkNQd6Gih4hIQXA+Fx5y5JRcowgdNPGtXeO5umhRxf7lxipB0q8TUjJzl9qY/JY&#10;jWMdVZpNZ1RH0KrWtCJk2kB00TWcCdPQG5ARcr/oja5SdsJBaHZrA2wv0ubkL/Gnan/9lkpvBLb9&#10;fznU71QU2jxzFYvHQJIKAN8N+cYlfJWXc6CQVO11TNbOV8csb5E8GnwuOyxp2qy7Ptl3H+b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m8tHWAAAACQEAAA8AAAAAAAAAAQAgAAAAIgAAAGRycy9k&#10;b3ducmV2LnhtbFBLAQIUABQAAAAIAIdO4kBn3aJ/BAIAAOADAAAOAAAAAAAAAAEAIAAAACUBAABk&#10;cnMvZTJvRG9jLnhtbFBLBQYAAAAABgAGAFkBAACbBQAAAAA=&#10;">
                      <v:fill on="f" focussize="0,0"/>
                      <v:stroke color="#000000" joinstyle="round" endarrow="open"/>
                      <v:imagedata o:title=""/>
                      <o:lock v:ext="edit" aspectratio="f"/>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81792" behindDoc="0" locked="0" layoutInCell="1" allowOverlap="1">
                      <wp:simplePos x="0" y="0"/>
                      <wp:positionH relativeFrom="column">
                        <wp:posOffset>2849880</wp:posOffset>
                      </wp:positionH>
                      <wp:positionV relativeFrom="paragraph">
                        <wp:posOffset>130810</wp:posOffset>
                      </wp:positionV>
                      <wp:extent cx="702310" cy="285750"/>
                      <wp:effectExtent l="0" t="0" r="0" b="0"/>
                      <wp:wrapNone/>
                      <wp:docPr id="100" name="文本框 80"/>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0" o:spid="_x0000_s1026" o:spt="202" type="#_x0000_t202" style="position:absolute;left:0pt;margin-left:224.4pt;margin-top:10.3pt;height:22.5pt;width:55.3pt;z-index:251681792;mso-width-relative:page;mso-height-relative:page;" filled="f" stroked="f" coordsize="21600,21600" o:gfxdata="UEsDBAoAAAAAAIdO4kAAAAAAAAAAAAAAAAAEAAAAZHJzL1BLAwQUAAAACACHTuJA2utg6doAAAAJ&#10;AQAADwAAAGRycy9kb3ducmV2LnhtbE2PzU7DMBCE70i8g7VI3KjdKIlCiFOhSBUSooeWXrhtYjeJ&#10;sNchdn/g6WtOcBzNaOabanWxhp307EdHEpYLAUxT59RIvYT9+/qhAOYDkkLjSEv41h5W9e1NhaVy&#10;Z9rq0y70LJaQL1HCEMJUcu67QVv0Czdpit7BzRZDlHPP1YznWG4NT4TIucWR4sKAk24G3X3ujlbC&#10;a7Pe4LZNbPFjmpe3w/P0tf/IpLy/W4onYEFfwl8YfvEjOtSRqXVHUp4ZCWlaRPQgIRE5sBjIsscU&#10;WCshz3LgdcX/P6ivUEsDBBQAAAAIAIdO4kDRacXmQAIAAHYEAAAOAAAAZHJzL2Uyb0RvYy54bWyt&#10;VM1uEzEQviPxDpbvdJM0aUvUTRUaBSFVtFJBnB2vt7uS7TG2093yAPAGnLhw57n6HHz2pj8UDj1w&#10;ceZvv5n5ZibHJ73R7Fr50JIt+XhvxJmykqrWXpX844f1qyPOQhS2EpqsKvmNCvxk8fLFcefmakIN&#10;6Up5BhAb5p0reROjmxdFkI0yIuyRUxbOmrwREaq/KiovOqAbXUxGo4OiI185T1KFAOtqcPIdon8O&#10;INV1K9WK5NYoGwdUr7SIaCk0rQt8kautayXjeV0HFZkuOTqN+UUSyJv0FotjMb/ywjWt3JUgnlPC&#10;k56MaC2S3kOtRBRs69u/oEwrPQWq454kUwyNZEbQxXj0hJvLRjiVewHVwd2THv4frHx/feFZW2ET&#10;RuDECoOR337/dvvj1+3Pr+woM9S5MEfgpUNo7N9Qj+jEXLIHGFPjfe1N+kVLDH5g3dzzq/rIJIyH&#10;o8n+GB4J1+RodjjL6MXDx86H+FaRYUkoucf4Mqvi+ixEJEToXUjKZWndap1HqC3rSn6wD8g/PPhC&#10;22RReRl2MA+FJyn2m37XzYaqGzTpaViU4OS6RSlnIsQL4bEZqB63E8/x1JqQknYSZw35L/+yp3gM&#10;DF7OOmxaycPnrfCKM/3OYpSvx9MpYGNWprPDCRT/2LN57LFbc0pY5jGu1Mkspvio78Tak/mEE1um&#10;rHAJK5G75PFOPI3D/uNEpVoucxCW0Yl4Zi+dTNADhcttpLrNvCeaBm4whKRgHfM4dqeT9v2xnqMe&#10;/i4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62Dp2gAAAAkBAAAPAAAAAAAAAAEAIAAAACIA&#10;AABkcnMvZG93bnJldi54bWxQSwECFAAUAAAACACHTuJA0WnF5kACAAB2BAAADgAAAAAAAAABACAA&#10;AAAp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b w:val="0"/>
                <w:bCs/>
                <w:color w:val="auto"/>
                <w:sz w:val="24"/>
              </w:rPr>
              <mc:AlternateContent>
                <mc:Choice Requires="wps">
                  <w:drawing>
                    <wp:anchor distT="0" distB="0" distL="114300" distR="114300" simplePos="0" relativeHeight="251674624" behindDoc="0" locked="0" layoutInCell="1" allowOverlap="1">
                      <wp:simplePos x="0" y="0"/>
                      <wp:positionH relativeFrom="column">
                        <wp:posOffset>1436370</wp:posOffset>
                      </wp:positionH>
                      <wp:positionV relativeFrom="paragraph">
                        <wp:posOffset>36195</wp:posOffset>
                      </wp:positionV>
                      <wp:extent cx="8890" cy="2660650"/>
                      <wp:effectExtent l="4445" t="0" r="5715" b="6350"/>
                      <wp:wrapNone/>
                      <wp:docPr id="86" name="直接连接符 57"/>
                      <wp:cNvGraphicFramePr/>
                      <a:graphic xmlns:a="http://schemas.openxmlformats.org/drawingml/2006/main">
                        <a:graphicData uri="http://schemas.microsoft.com/office/word/2010/wordprocessingShape">
                          <wps:wsp>
                            <wps:cNvCnPr/>
                            <wps:spPr>
                              <a:xfrm flipH="1">
                                <a:off x="0" y="0"/>
                                <a:ext cx="8890" cy="2660650"/>
                              </a:xfrm>
                              <a:prstGeom prst="line">
                                <a:avLst/>
                              </a:prstGeom>
                              <a:noFill/>
                              <a:ln w="9525" cap="flat" cmpd="sng" algn="ctr">
                                <a:solidFill>
                                  <a:srgbClr val="000000"/>
                                </a:solidFill>
                                <a:prstDash val="solid"/>
                              </a:ln>
                              <a:effectLst/>
                            </wps:spPr>
                            <wps:bodyPr/>
                          </wps:wsp>
                        </a:graphicData>
                      </a:graphic>
                    </wp:anchor>
                  </w:drawing>
                </mc:Choice>
                <mc:Fallback>
                  <w:pict>
                    <v:line id="直接连接符 57" o:spid="_x0000_s1026" o:spt="20" style="position:absolute;left:0pt;flip:x;margin-left:113.1pt;margin-top:2.85pt;height:209.5pt;width:0.7pt;z-index:251674624;mso-width-relative:page;mso-height-relative:page;" filled="f" stroked="t" coordsize="21600,21600" o:gfxdata="UEsDBAoAAAAAAIdO4kAAAAAAAAAAAAAAAAAEAAAAZHJzL1BLAwQUAAAACACHTuJAvmJVjdcAAAAJ&#10;AQAADwAAAGRycy9kb3ducmV2LnhtbE2PQUvEMBSE74L/ITzBm5tsXFutfV1E1IsguFbPafNsi81L&#10;abLd9d8bT3ocZpj5ptwe3SgWmsPgGWG9UiCIW28H7hDqt8eLaxAhGrZm9EwI3xRgW52elKaw/sCv&#10;tOxiJ1IJh8Ig9DFOhZSh7cmZsPITcfI+/exMTHLupJ3NIZW7UWqlMunMwGmhNxPd99R+7fYO4e7j&#10;+eHyZWmcH+1NV79bV6snjXh+tla3ICId418YfvETOlSJqfF7tkGMCFpnOkURrnIQydc6z0A0CBu9&#10;yUFWpfz/oPoBUEsDBBQAAAAIAIdO4kBS+5lB7AEAALcDAAAOAAAAZHJzL2Uyb0RvYy54bWytU0tu&#10;2zAQ3RfoHQjuaykGrDiC5SxiJFkUqYG2B6ApUiLAHziMZV+iFyjQXbvqsvvepskxOqRUI003WdQL&#10;YoYzfjPv8Wl1eTCa7EUA5WxDz2YlJcJy1yrbNfTjh+s3S0ogMtsy7axo6FEAvVy/frUafC3mrne6&#10;FYEgiIV68A3tY/R1UQDvhWEwc15YLEoXDIuYhq5oAxsQ3ehiXpZVMbjQ+uC4AMDbzVikE2J4CaCT&#10;UnGxcfzeCBtH1CA0i0gJeuWBrvO2Ugoe30kJIhLdUGQa84lDMN6ls1ivWN0F5nvFpxXYS1Z4xskw&#10;ZXHoCWrDIiP3Qf0DZRQPDpyMM+5MMRLJiiCLs/KZNu975kXmglKDP4kO/w+W3+23gai2ocuKEssM&#10;vvjD5x+/Pn19/PkFz4fv38jiPMk0eKix+8puw5SB34bE+SCDIVIrf4t+yiogL3LIIh9PIotDJBwv&#10;l8sLFJ9jYV5VZbXIb1CMKAnNB4g3whmSgoZqZZMErGb7txBxMrb+aUnX1l0rrfMzakuGhl4s5gvE&#10;Z2hNiZbA0HikB7ajhOkOPc9jyIjgtGrTvxMOhG53pQPZs+SU/EuscdpfbWn0hkE/9uXS1KZtghHZ&#10;c9OmSbJRpBTtXHvM2hUpw/fM6JP3kmGe5hg//d7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YlWN1wAAAAkBAAAPAAAAAAAAAAEAIAAAACIAAABkcnMvZG93bnJldi54bWxQSwECFAAUAAAACACH&#10;TuJAUvuZQewBAAC3AwAADgAAAAAAAAABACAAAAAmAQAAZHJzL2Uyb0RvYy54bWxQSwUGAAAAAAYA&#10;BgBZAQAAhAUAAAAA&#10;">
                      <v:fill on="f" focussize="0,0"/>
                      <v:stroke color="#000000" joinstyle="round"/>
                      <v:imagedata o:title=""/>
                      <o:lock v:ext="edit" aspectratio="f"/>
                    </v:line>
                  </w:pict>
                </mc:Fallback>
              </mc:AlternateContent>
            </w:r>
            <w:r>
              <w:rPr>
                <w:b w:val="0"/>
                <w:bCs/>
                <w:color w:val="auto"/>
                <w:sz w:val="24"/>
              </w:rPr>
              <mc:AlternateContent>
                <mc:Choice Requires="wps">
                  <w:drawing>
                    <wp:anchor distT="0" distB="0" distL="114300" distR="114300" simplePos="0" relativeHeight="251672576" behindDoc="0" locked="0" layoutInCell="1" allowOverlap="1">
                      <wp:simplePos x="0" y="0"/>
                      <wp:positionH relativeFrom="column">
                        <wp:posOffset>1445260</wp:posOffset>
                      </wp:positionH>
                      <wp:positionV relativeFrom="paragraph">
                        <wp:posOffset>24130</wp:posOffset>
                      </wp:positionV>
                      <wp:extent cx="291465" cy="12065"/>
                      <wp:effectExtent l="0" t="45720" r="13335" b="56515"/>
                      <wp:wrapNone/>
                      <wp:docPr id="84" name="直接箭头连接符 52"/>
                      <wp:cNvGraphicFramePr/>
                      <a:graphic xmlns:a="http://schemas.openxmlformats.org/drawingml/2006/main">
                        <a:graphicData uri="http://schemas.microsoft.com/office/word/2010/wordprocessingShape">
                          <wps:wsp>
                            <wps:cNvCnPr/>
                            <wps:spPr>
                              <a:xfrm flipV="1">
                                <a:off x="0" y="0"/>
                                <a:ext cx="291465" cy="1206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52" o:spid="_x0000_s1026" o:spt="32" type="#_x0000_t32" style="position:absolute;left:0pt;flip:y;margin-left:113.8pt;margin-top:1.9pt;height:0.95pt;width:22.95pt;z-index:251672576;mso-width-relative:page;mso-height-relative:page;" filled="f" stroked="t" coordsize="21600,21600" o:gfxdata="UEsDBAoAAAAAAIdO4kAAAAAAAAAAAAAAAAAEAAAAZHJzL1BLAwQUAAAACACHTuJAgkkhDtYAAAAH&#10;AQAADwAAAGRycy9kb3ducmV2LnhtbE2PMU/DMBSEdyT+g/WQ2KjdlDQoxOkAYoKFglR1c+NHnBI/&#10;h9htwr/nMcF4utPdd9Vm9r044xi7QBqWCwUCqQm2o1bD+9vTzR2ImAxZ0wdCDd8YYVNfXlSmtGGi&#10;VzxvUyu4hGJpNLiUhlLK2Dj0Ji7CgMTeRxi9SSzHVtrRTFzue5kptZbedMQLzgz44LD53J68ht2L&#10;2udzGN1x/3XrnrvHdnf0k9bXV0t1DyLhnP7C8IvP6FAz0yGcyEbRa8iyYs1RDSt+wH5WrHIQBw15&#10;AbKu5H/++gdQSwMEFAAAAAgAh07iQNREskIIAgAA5AMAAA4AAABkcnMvZTJvRG9jLnhtbK1TzW4T&#10;MRC+I/EOlu9kk6ip2lU2PSSUC4JK/NwnXu+uJf9p7GaTl+AFkDgBJ+DUO08D5TEYe5eolEsP+GDN&#10;eDzfzPd5vLzYG812EoNytuKzyZQzaYWrlW0r/ub15ZMzzkIEW4N2Vlb8IAO/WD1+tOx9Keeuc7qW&#10;yAjEhrL3Fe9i9GVRBNFJA2HivLQUbBwaiORiW9QIPaEbXcyn09Oid1h7dEKGQKebIchHRHwIoGsa&#10;JeTGiWsjbRxQUWqIRCl0yge+yt02jRTxZdMEGZmuODGNeaciZG/TXqyWULYIvlNibAEe0sI9TgaU&#10;paJHqA1EYNeo/oEySqALrokT4UwxEMmKEIvZ9J42rzrwMnMhqYM/ih7+H6x4sbtCpuqKn51wZsHQ&#10;i9++v/n57tPtt68/Pt78+v4h2V8+s8U8idX7UFLO2l7h6AV/hYn5vkHDGq38W5qqrAWxY/ss9eEo&#10;tdxHJuhwfj47OV1wJig0m0/JJLhiQEloHkN8Jp1hyah4iAiq7eLaWUtv6nCoALvnIQ6JfxJSsnWX&#10;Sms6h1Jb1lf8fDFPtYDGtaExIdN4ohxsyxnolv6BiJh7Dk6rOmWn5IDtdq2R7SBNT15jm39dS6U3&#10;ELrhXg6la1BGUPqprVk8eJIVEF0/5mub4jIP6EghKTtomaytqw9Z4iJ59PhZnXFQ03Td9cm++zl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SSEO1gAAAAcBAAAPAAAAAAAAAAEAIAAAACIAAABk&#10;cnMvZG93bnJldi54bWxQSwECFAAUAAAACACHTuJA1ESyQggCAADkAwAADgAAAAAAAAABACAAAAAl&#10;AQAAZHJzL2Uyb0RvYy54bWxQSwUGAAAAAAYABgBZAQAAnwUAAAAA&#10;">
                      <v:fill on="f" focussize="0,0"/>
                      <v:stroke color="#000000" joinstyle="round"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64384" behindDoc="0" locked="0" layoutInCell="1" allowOverlap="1">
                      <wp:simplePos x="0" y="0"/>
                      <wp:positionH relativeFrom="column">
                        <wp:posOffset>2942590</wp:posOffset>
                      </wp:positionH>
                      <wp:positionV relativeFrom="paragraph">
                        <wp:posOffset>148590</wp:posOffset>
                      </wp:positionV>
                      <wp:extent cx="303530" cy="4445"/>
                      <wp:effectExtent l="0" t="47625" r="1270" b="62230"/>
                      <wp:wrapNone/>
                      <wp:docPr id="76" name="直接箭头连接符 21"/>
                      <wp:cNvGraphicFramePr/>
                      <a:graphic xmlns:a="http://schemas.openxmlformats.org/drawingml/2006/main">
                        <a:graphicData uri="http://schemas.microsoft.com/office/word/2010/wordprocessingShape">
                          <wps:wsp>
                            <wps:cNvCnPr/>
                            <wps:spPr>
                              <a:xfrm flipV="1">
                                <a:off x="4255770" y="5157470"/>
                                <a:ext cx="303530" cy="444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21" o:spid="_x0000_s1026" o:spt="32" type="#_x0000_t32" style="position:absolute;left:0pt;flip:y;margin-left:231.7pt;margin-top:11.7pt;height:0.35pt;width:23.9pt;z-index:251664384;mso-width-relative:page;mso-height-relative:page;" filled="f" stroked="t" coordsize="21600,21600" o:gfxdata="UEsDBAoAAAAAAIdO4kAAAAAAAAAAAAAAAAAEAAAAZHJzL1BLAwQUAAAACACHTuJAK+Do59cAAAAJ&#10;AQAADwAAAGRycy9kb3ducmV2LnhtbE2PwU7DMAyG70i8Q2QkbixJ6SZUmu4A4gQXBtK0W9aYpqNJ&#10;SpKt5e3xTuxk2f70+3O9nt3AThhTH7wCuRDA0LfB9L5T8PnxcvcALGXtjR6CRwW/mGDdXF/VujJh&#10;8u942uSOUYhPlVZgcx4rzlNr0em0CCN62n2F6HSmNnbcRD1RuBt4IcSKO917umD1iE8W2+/N0SnY&#10;vondcg7RHnY/pX3tn7vtwU1K3d5I8Qgs45z/YTjrkzo05LQPR28SGxSUq/uSUAXFuRKwlLIAtqdB&#10;KYE3Nb/8oPkDUEsDBBQAAAAIAIdO4kBUhEP0EgIAAO8DAAAOAAAAZHJzL2Uyb0RvYy54bWytU72O&#10;EzEQ7pF4B8s92fztBaJsrkg4GgSR+Okdr71ryX8a+7LJS/ACSFRABVTX8zRwPAZj73I6juYKtrBm&#10;dma+me/zeHV+NJocBATlbEUnozElwnJXK9tU9M3ri0ePKQmR2ZppZ0VFTyLQ8/XDB6vOL8XUtU7X&#10;AgiC2LDsfEXbGP2yKAJvhWFh5LywGJQODIvoQlPUwDpEN7qYjsdnReeg9uC4CAH/bvsgHRDhPoBO&#10;SsXF1vFLI2zsUUFoFpFSaJUPdJ2nlVLw+FLKICLRFUWmMZ/YBO19Oov1ii0bYL5VfBiB3WeEO5wM&#10;Uxab3kBtWWTkEtQ/UEZxcMHJOOLOFD2RrAiymIzvaPOqZV5kLih18Deih/8Hy18cdkBUXdHFGSWW&#10;Gbzx6/dXP999uv729cfHq1/fPyT7y2cynSSxOh+WWLOxOxi84HeQmB8lGCK18m9xq7IWyI4cKzqf&#10;luVigYKfKlpOysUc7Sy7OEbCMWE2npUzjHNMmM/nZYoWPWAC9hDiM+EMSUZFQwSmmjZunLV4vQ76&#10;ZuzwPMS+8E9BKrbuQmmd22lLuoo+KacltmK4uRI3Bk3jkX2wDSVMN/gkeIQ8fnBa1ak64QRo9hsN&#10;5MDSIuVvGPOvtNR6y0Lb5+VQzzUypZ/amsSTR4UZgOuGem0Tvsi7OlBIIveyJmvv6lNWu0ge7kFW&#10;Z9jZtGi3fbRvv9P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vg6OfXAAAACQEAAA8AAAAAAAAA&#10;AQAgAAAAIgAAAGRycy9kb3ducmV2LnhtbFBLAQIUABQAAAAIAIdO4kBUhEP0EgIAAO8DAAAOAAAA&#10;AAAAAAEAIAAAACYBAABkcnMvZTJvRG9jLnhtbFBLBQYAAAAABgAGAFkBAACqBQAAAAA=&#10;">
                      <v:fill on="f" focussize="0,0"/>
                      <v:stroke color="#000000" joinstyle="round"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66432" behindDoc="0" locked="0" layoutInCell="1" allowOverlap="1">
                      <wp:simplePos x="0" y="0"/>
                      <wp:positionH relativeFrom="column">
                        <wp:posOffset>3220085</wp:posOffset>
                      </wp:positionH>
                      <wp:positionV relativeFrom="paragraph">
                        <wp:posOffset>157480</wp:posOffset>
                      </wp:positionV>
                      <wp:extent cx="8890" cy="840105"/>
                      <wp:effectExtent l="4445" t="0" r="5715" b="17145"/>
                      <wp:wrapNone/>
                      <wp:docPr id="78" name="直接连接符 32"/>
                      <wp:cNvGraphicFramePr/>
                      <a:graphic xmlns:a="http://schemas.openxmlformats.org/drawingml/2006/main">
                        <a:graphicData uri="http://schemas.microsoft.com/office/word/2010/wordprocessingShape">
                          <wps:wsp>
                            <wps:cNvCnPr/>
                            <wps:spPr>
                              <a:xfrm flipH="1">
                                <a:off x="4541520" y="5166360"/>
                                <a:ext cx="8890" cy="840105"/>
                              </a:xfrm>
                              <a:prstGeom prst="line">
                                <a:avLst/>
                              </a:prstGeom>
                              <a:noFill/>
                              <a:ln w="9525" cap="flat" cmpd="sng" algn="ctr">
                                <a:solidFill>
                                  <a:srgbClr val="000000"/>
                                </a:solidFill>
                                <a:prstDash val="solid"/>
                              </a:ln>
                              <a:effectLst/>
                            </wps:spPr>
                            <wps:bodyPr/>
                          </wps:wsp>
                        </a:graphicData>
                      </a:graphic>
                    </wp:anchor>
                  </w:drawing>
                </mc:Choice>
                <mc:Fallback>
                  <w:pict>
                    <v:line id="直接连接符 32" o:spid="_x0000_s1026" o:spt="20" style="position:absolute;left:0pt;flip:x;margin-left:253.55pt;margin-top:12.4pt;height:66.15pt;width:0.7pt;z-index:251666432;mso-width-relative:page;mso-height-relative:page;" filled="f" stroked="t" coordsize="21600,21600" o:gfxdata="UEsDBAoAAAAAAIdO4kAAAAAAAAAAAAAAAAAEAAAAZHJzL1BLAwQUAAAACACHTuJA+9fzHNYAAAAK&#10;AQAADwAAAGRycy9kb3ducmV2LnhtbE2PQUvEMBCF74L/IYzgzU1ara616SKiXoQF1+o5bca2mExK&#10;k+2u/97xpMfhfbz5XrU5eicWnOMYSEO2UiCQumBH6jU0b08XaxAxGbLGBUIN3xhhU5+eVKa04UCv&#10;uOxSL7iEYmk0DClNpZSxG9CbuAoTEmefYfYm8Tn30s7mwOXeyVypa+nNSPxhMBM+DNh97fZew/3H&#10;y+Pldml9cPa2b96tb9RzrvX5WabuQCQ8pj8YfvVZHWp2asOebBROQ6FuMkY15Fc8gYFCrQsQLZMF&#10;J7Ku5P8J9Q9QSwMEFAAAAAgAh07iQPJ72c32AQAAwgMAAA4AAABkcnMvZTJvRG9jLnhtbK1TzW4T&#10;MRC+I/EOlu9kkzQb0lU2PTQqHBBEgj6A47V3LflPHjebvAQvgMQNThy5920oj9Gxd6lKufTAHqwZ&#10;z/jzfJ+/XV8cjSYHEUA5W9PZZEqJsNw1yrY1vf509WpFCURmG6adFTU9CaAXm5cv1r2vxNx1Tjci&#10;EASxUPW+pl2MvioK4J0wDCbOC4tF6YJhEdPQFk1gPaIbXcyn02XRu9D44LgAwN3tUKQjYngOoJNS&#10;cbF1/MYIGwfUIDSLSAk65YFu8rRSCh4/SAkiEl1TZBrzipdgvE9rsVmzqg3Md4qPI7DnjPCEk2HK&#10;4qUPUFsWGbkJ6h8oo3hw4GSccGeKgUhWBFnMpk+0+dgxLzIXlBr8g+jw/2D5+8MuENXU9DW+u2UG&#10;X/zuy89fn7/9vv2K692P7+RsnmTqPVTYfWl3YczA70LifJTBEKmVf4t+yiogL3Ks6aJczMo5Sn2q&#10;aTlbLs+Wo+DiGAnHhtXqHKscy6sF0i/TPcUAmIB9gPhGOENSUFOtbFKDVezwDuLQ+qclbVt3pbTG&#10;fVZpS/qanpfzEuEZulSiOzA0HpmCbSlhukX78xgyIjitmnQ6HYbQ7i91IAeWTJO/cbC/2tLVWwbd&#10;0JdLY5u2CUZk+42TJvUGvVK0d80py1ikDJ820x5tmLzzOMf48a+3u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1/Mc1gAAAAoBAAAPAAAAAAAAAAEAIAAAACIAAABkcnMvZG93bnJldi54bWxQSwEC&#10;FAAUAAAACACHTuJA8nvZzfYBAADCAwAADgAAAAAAAAABACAAAAAlAQAAZHJzL2Uyb0RvYy54bWxQ&#10;SwUGAAAAAAYABgBZAQAAjQUAAAAA&#10;">
                      <v:fill on="f" focussize="0,0"/>
                      <v:stroke color="#000000" joinstyle="round"/>
                      <v:imagedata o:title=""/>
                      <o:lock v:ext="edit" aspectratio="f"/>
                    </v:lin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63360" behindDoc="0" locked="0" layoutInCell="1" allowOverlap="1">
                      <wp:simplePos x="0" y="0"/>
                      <wp:positionH relativeFrom="column">
                        <wp:posOffset>3590925</wp:posOffset>
                      </wp:positionH>
                      <wp:positionV relativeFrom="paragraph">
                        <wp:posOffset>189230</wp:posOffset>
                      </wp:positionV>
                      <wp:extent cx="1003935" cy="285750"/>
                      <wp:effectExtent l="4445" t="4445" r="20320" b="14605"/>
                      <wp:wrapNone/>
                      <wp:docPr id="75" name="文本框 20"/>
                      <wp:cNvGraphicFramePr/>
                      <a:graphic xmlns:a="http://schemas.openxmlformats.org/drawingml/2006/main">
                        <a:graphicData uri="http://schemas.microsoft.com/office/word/2010/wordprocessingShape">
                          <wps:wsp>
                            <wps:cNvSpPr txBox="1"/>
                            <wps:spPr>
                              <a:xfrm>
                                <a:off x="0" y="0"/>
                                <a:ext cx="1003935" cy="285750"/>
                              </a:xfrm>
                              <a:prstGeom prst="rect">
                                <a:avLst/>
                              </a:prstGeom>
                              <a:solidFill>
                                <a:srgbClr val="FFFFFF"/>
                              </a:solidFill>
                              <a:ln w="6350">
                                <a:solidFill>
                                  <a:prstClr val="black"/>
                                </a:solidFill>
                              </a:ln>
                              <a:effectLst/>
                            </wps:spPr>
                            <wps:txbx>
                              <w:txbxContent>
                                <w:p>
                                  <w:r>
                                    <w:rPr>
                                      <w:rFonts w:hint="eastAsia"/>
                                    </w:rPr>
                                    <w:t>隔油沉淀池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282.75pt;margin-top:14.9pt;height:22.5pt;width:79.05pt;z-index:251663360;mso-width-relative:page;mso-height-relative:page;" fillcolor="#FFFFFF" filled="t" stroked="t" coordsize="21600,21600" o:gfxdata="UEsDBAoAAAAAAIdO4kAAAAAAAAAAAAAAAAAEAAAAZHJzL1BLAwQUAAAACACHTuJAfXpr2NYAAAAJ&#10;AQAADwAAAGRycy9kb3ducmV2LnhtbE2PwU7DMAyG70i8Q2QkbixdS8soTSeBhIS4sfXCLWu8tiJx&#10;qiRbx9tjTnCz5U+/v7/ZXpwVZwxx8qRgvcpAIPXeTDQo6PavdxsQMWky2npCBd8YYdteXzW6Nn6h&#10;Dzzv0iA4hGKtFYwpzbWUsR/R6bjyMxLfjj44nXgNgzRBLxzurMyzrJJOT8QfRj3jy4j91+7kFLxV&#10;z+kTO/NuirzwSyf7cLRRqdubdfYEIuEl/cHwq8/q0LLTwZ/IRGEVlFVZMqogf+QKDDzkRQXiwMP9&#10;BmTbyP8N2h9QSwMEFAAAAAgAh07iQIeegMdgAgAAxwQAAA4AAABkcnMvZTJvRG9jLnhtbK1UwW4T&#10;MRC9I/EPlu90k7ShbdRNFVoFIVW0UkGcHa83a+H1GNvJbvkA+ANOXLjzXf0Onp00LS2HHsjBmfGM&#10;38y8mdmT0741bK180GRLPtwbcKaspErbZck/fpi/OuIsRGErYciqkt+owE+nL1+cdG6iRtSQqZRn&#10;ALFh0rmSNzG6SVEE2ahWhD1yysJYk29FhOqXReVFB/TWFKPB4HXRka+cJ6lCwO35xsi3iP45gFTX&#10;WqpzkqtW2bhB9cqIiJJCo13g05xtXSsZL+s6qMhMyVFpzCeCQF6ks5ieiMnSC9douU1BPCeFRzW1&#10;QlsE3UGdiyjYyusnUK2WngLVcU9SW2wKyYygiuHgETfXjXAq1wKqg9uRHv4frHy/vvJMVyU/HHNm&#10;RYuO3/74fvvz9+2vb2yUCepcmMDv2sEz9m+ox9gk4tJ9wGWqu699m/5REYMd9N7s6FV9ZDI9Ggz2&#10;j/cRRsI2OhofjjN8cf/a+RDfKmpZEkru0b7MqlhfhIiIcL1zScECGV3NtTFZ8cvFmfFsLdDqef6l&#10;JPHkLzdjWVfy1/uI/QQiYe8gFkbIz08RgGdseqnydG3zuqciSbFf9Ft+FlTdgDZPm8kLTs41olyI&#10;EK+Ex6iBKSxjvMRRG0JqtJU4a8h//dd98scEwMpZh9EtefiyEl5xZt5ZzMbx8OAgzXpWDsaH6CLz&#10;Dy2Lhxa7as8IlA2x9k5mMflHcyfWntpP2NlZigqTsBKxSx7vxLO4WSjsvFSzWXbCdDsRL+y1kwk6&#10;EWZptopU69zIRNOGG7QoKZjv3KztLqYFeqhnr/vvz/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Xpr2NYAAAAJAQAADwAAAAAAAAABACAAAAAiAAAAZHJzL2Rvd25yZXYueG1sUEsBAhQAFAAAAAgA&#10;h07iQIeegMdgAgAAxwQAAA4AAAAAAAAAAQAgAAAAJQEAAGRycy9lMm9Eb2MueG1sUEsFBgAAAAAG&#10;AAYAWQEAAPcFAAAAAA==&#10;">
                      <v:fill on="t" focussize="0,0"/>
                      <v:stroke weight="0.5pt" color="#000000" joinstyle="round"/>
                      <v:imagedata o:title=""/>
                      <o:lock v:ext="edit" aspectratio="f"/>
                      <v:textbox>
                        <w:txbxContent>
                          <w:p>
                            <w:r>
                              <w:rPr>
                                <w:rFonts w:hint="eastAsia"/>
                              </w:rPr>
                              <w:t>隔油沉淀池</w:t>
                            </w:r>
                          </w:p>
                        </w:txbxContent>
                      </v:textbox>
                    </v:shape>
                  </w:pict>
                </mc:Fallback>
              </mc:AlternateContent>
            </w:r>
            <w:r>
              <w:rPr>
                <w:b w:val="0"/>
                <w:bCs/>
                <w:color w:val="auto"/>
                <w:sz w:val="24"/>
              </w:rPr>
              <mc:AlternateContent>
                <mc:Choice Requires="wps">
                  <w:drawing>
                    <wp:anchor distT="0" distB="0" distL="114300" distR="114300" simplePos="0" relativeHeight="251682816" behindDoc="0" locked="0" layoutInCell="1" allowOverlap="1">
                      <wp:simplePos x="0" y="0"/>
                      <wp:positionH relativeFrom="column">
                        <wp:posOffset>3161665</wp:posOffset>
                      </wp:positionH>
                      <wp:positionV relativeFrom="paragraph">
                        <wp:posOffset>136525</wp:posOffset>
                      </wp:positionV>
                      <wp:extent cx="702310" cy="285750"/>
                      <wp:effectExtent l="0" t="0" r="0" b="0"/>
                      <wp:wrapNone/>
                      <wp:docPr id="101" name="文本框 84"/>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4" o:spid="_x0000_s1026" o:spt="202" type="#_x0000_t202" style="position:absolute;left:0pt;margin-left:248.95pt;margin-top:10.75pt;height:22.5pt;width:55.3pt;z-index:251682816;mso-width-relative:page;mso-height-relative:page;" filled="f" stroked="f" coordsize="21600,21600" o:gfxdata="UEsDBAoAAAAAAIdO4kAAAAAAAAAAAAAAAAAEAAAAZHJzL1BLAwQUAAAACACHTuJAzquA59oAAAAJ&#10;AQAADwAAAGRycy9kb3ducmV2LnhtbE2Py07DMBBF90j8gzVI7KidiIQ0xKlQpAoJwaKlG3ZO7CYR&#10;9jjE7gO+nmFVdnc0R3fOVKuzs+xo5jB6lJAsBDCDndcj9hJ27+u7AliICrWyHo2EbxNgVV9fVarU&#10;/oQbc9zGnlEJhlJJGGKcSs5DNxinwsJPBmm397NTkca553pWJyp3lqdC5NypEenCoCbTDKb73B6c&#10;hJdm/aY2beqKH9s8v+6fpq/dRybl7U0iHoFFc44XGP70SR1qcmr9AXVgVsL98mFJqIQ0yYARkIuC&#10;Qkshz4DXFf//Qf0LUEsDBBQAAAAIAIdO4kCFfW7RQgIAAHYEAAAOAAAAZHJzL2Uyb0RvYy54bWyt&#10;VM1uEzEQviPxDpbvdJM0/SHKpgqtipAqWqkgzo7X213J9hjb6W55AHgDTly481x9Dj57k7QUDj1w&#10;ccYzs9/M980485PeaHarfGjJlny8N+JMWUlVa29K/vHD+atjzkIUthKarCr5nQr8ZPHyxbxzMzWh&#10;hnSlPAOIDbPOlbyJ0c2KIshGGRH2yCmLYE3eiIirvykqLzqgG11MRqPDoiNfOU9ShQDv2RDkG0T/&#10;HECq61aqM5Jro2wcUL3SIoJSaFoX+CJ3W9dKxsu6DioyXXIwjflEEdirdBaLuZjdeOGaVm5aEM9p&#10;4QknI1qLojuoMxEFW/v2LyjTSk+B6rgnyRQDkawIWIxHT7S5boRTmQukDm4nevh/sPL97ZVnbYVN&#10;GI05s8Jg5Pffv93/+HX/8ys7niaFOhdmSLx2SI39G+qRvfUHOBPxvvYm/YISQxz63u30VX1kEs6j&#10;0WR/jIhEaHJ8cHSQ9S8ePnY+xLeKDEtGyT3Gl1UVtxchohGkblNSLUvnrdZ5hNqyruSH+4D8I4Iv&#10;tE0elZdhA5MIDY0nK/arfsNyRdUdSHoaFiU4ed6ilQsR4pXw2Ax0j7cTL3HUmlCSNhZnDfkv//Kn&#10;fAwMUc46bFrJw+e18Ioz/c5ilK/H0ylgY75MD44muPjHkdXjiF2bU8IyY1joLpspP+qtWXsyn/DE&#10;lqkqQsJK1C553Jqncdh/PFGplsuchGV0Il7YaycT9CDhch2pbrPuSaZBGwwhXbCOeRybp5P2/fE9&#10;Zz38X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6rgOfaAAAACQEAAA8AAAAAAAAAAQAgAAAA&#10;IgAAAGRycy9kb3ducmV2LnhtbFBLAQIUABQAAAAIAIdO4kCFfW7RQgIAAHYEAAAOAAAAAAAAAAEA&#10;IAAAACk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6.4</w:t>
                            </w:r>
                          </w:p>
                        </w:txbxContent>
                      </v:textbox>
                    </v:shape>
                  </w:pict>
                </mc:Fallback>
              </mc:AlternateContent>
            </w:r>
            <w:r>
              <w:rPr>
                <w:b w:val="0"/>
                <w:bCs/>
                <w:color w:val="auto"/>
                <w:sz w:val="24"/>
              </w:rPr>
              <mc:AlternateContent>
                <mc:Choice Requires="wps">
                  <w:drawing>
                    <wp:anchor distT="0" distB="0" distL="114300" distR="114300" simplePos="0" relativeHeight="251671552" behindDoc="0" locked="0" layoutInCell="1" allowOverlap="1">
                      <wp:simplePos x="0" y="0"/>
                      <wp:positionH relativeFrom="column">
                        <wp:posOffset>3949065</wp:posOffset>
                      </wp:positionH>
                      <wp:positionV relativeFrom="paragraph">
                        <wp:posOffset>506095</wp:posOffset>
                      </wp:positionV>
                      <wp:extent cx="6985" cy="1261745"/>
                      <wp:effectExtent l="48895" t="0" r="58420" b="14605"/>
                      <wp:wrapNone/>
                      <wp:docPr id="83" name="直接箭头连接符 42"/>
                      <wp:cNvGraphicFramePr/>
                      <a:graphic xmlns:a="http://schemas.openxmlformats.org/drawingml/2006/main">
                        <a:graphicData uri="http://schemas.microsoft.com/office/word/2010/wordprocessingShape">
                          <wps:wsp>
                            <wps:cNvCnPr/>
                            <wps:spPr>
                              <a:xfrm flipH="1">
                                <a:off x="0" y="0"/>
                                <a:ext cx="6985" cy="126174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2" o:spid="_x0000_s1026" o:spt="32" type="#_x0000_t32" style="position:absolute;left:0pt;flip:x;margin-left:310.95pt;margin-top:39.85pt;height:99.35pt;width:0.55pt;z-index:251671552;mso-width-relative:page;mso-height-relative:page;" filled="f" stroked="t" coordsize="21600,21600" o:gfxdata="UEsDBAoAAAAAAIdO4kAAAAAAAAAAAAAAAAAEAAAAZHJzL1BLAwQUAAAACACHTuJAotlBaNkAAAAK&#10;AQAADwAAAGRycy9kb3ducmV2LnhtbE2PMU/DMBCFdyT+g3VIbNROKEkbcukAYoKFglR1c+MjTont&#10;YLtN+PeYCcbTfXrve/VmNgM7kw+9swjZQgAj2zrV2w7h/e3pZgUsRGmVHJwlhG8KsGkuL2pZKTfZ&#10;VzpvY8dSiA2VRNAxjhXnodVkZFi4kWz6fThvZEyn77jyckrhZuC5EAU3srepQcuRHjS1n9uTQdi9&#10;iP3d7Lw+7r+W+rl/7HZHMyFeX2XiHlikOf7B8Kuf1KFJTgd3siqwAaHIs3VCEcp1CSwBRX6bxh0Q&#10;8nK1BN7U/P+E5gdQSwMEFAAAAAgAh07iQAZjS1krAgAALwQAAA4AAABkcnMvZTJvRG9jLnhtbK1T&#10;S44TMRDdI3EHy3vSSZiEpJXOLBIGFnwiAQeouN3dlvyT7Uknl+ACSKyAFbCaPaeB4RiU7Uw0DJtZ&#10;0AurXO56rvfqeXG+V5LsuPPC6IqOBkNKuGamFrqt6Lu3F49mlPgAugZpNK/ogXt6vnz4YNHbko9N&#10;Z2TNHUEQ7cveVrQLwZZF4VnHFfiBsVzjYWOcgoBb1xa1gx7RlSzGw+G06I2rrTOMe4/ZdT6kR0R3&#10;H0DTNILxtWGXiuuQUR2XEJCS74T1dJm6bRrOwuum8TwQWVFkGtKKl2C8jWuxXEDZOrCdYMcW4D4t&#10;3OGkQGi89AS1hgDk0ol/oJRgznjThAEzqshEkiLIYjS8o82bDixPXFBqb0+i+/8Hy17tNo6IuqKz&#10;x5RoUDjx6w9Xv95/vv7+7eenq98/Psb46xdyNo5i9daXWLPSG3fcebtxkfm+cYo0Utjn6KqkBbIj&#10;+yT14SQ13wfCMDmdzyaUMDwYjaejJ2eTCF5klIhmnQ/PuFEkBhX1wYFou7AyWuNMjcs3wO6FD7nw&#10;piAWa3MhpMQ8lFKTvqLzyTjeBmjXBm2CobJI2euWEpAtvgMWXOrZGynqWB2LvWu3K+nIDqJ70pd/&#10;6qDmOTufYDq7yEN4aeqcHg1v8sjpCJP4/YUfe16D73JNOspQAYR8qmsSDhbnAc6ZnkYeiteUSI79&#10;xigTlzq2ypPXj2rEIeWxxGhr6kOaVhF36KPUyNHz0ai39xjffuf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LZQWjZAAAACgEAAA8AAAAAAAAAAQAgAAAAIgAAAGRycy9kb3ducmV2LnhtbFBLAQIU&#10;ABQAAAAIAIdO4kAGY0tZKwIAAC8EAAAOAAAAAAAAAAEAIAAAACgBAABkcnMvZTJvRG9jLnhtbFBL&#10;BQYAAAAABgAGAFkBAADFBQAAAAA=&#10;">
                      <v:fill on="f" focussize="0,0"/>
                      <v:stroke color="#000000" joinstyle="round"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68480" behindDoc="0" locked="0" layoutInCell="1" allowOverlap="1">
                      <wp:simplePos x="0" y="0"/>
                      <wp:positionH relativeFrom="column">
                        <wp:posOffset>3963670</wp:posOffset>
                      </wp:positionH>
                      <wp:positionV relativeFrom="paragraph">
                        <wp:posOffset>-407035</wp:posOffset>
                      </wp:positionV>
                      <wp:extent cx="9525" cy="593090"/>
                      <wp:effectExtent l="47625" t="0" r="57150" b="16510"/>
                      <wp:wrapNone/>
                      <wp:docPr id="80" name="直接箭头连接符 34"/>
                      <wp:cNvGraphicFramePr/>
                      <a:graphic xmlns:a="http://schemas.openxmlformats.org/drawingml/2006/main">
                        <a:graphicData uri="http://schemas.microsoft.com/office/word/2010/wordprocessingShape">
                          <wps:wsp>
                            <wps:cNvCnPr/>
                            <wps:spPr>
                              <a:xfrm flipH="1" flipV="1">
                                <a:off x="0" y="0"/>
                                <a:ext cx="9525" cy="5930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34" o:spid="_x0000_s1026" o:spt="32" type="#_x0000_t32" style="position:absolute;left:0pt;flip:x y;margin-left:312.1pt;margin-top:-32.05pt;height:46.7pt;width:0.75pt;z-index:251668480;mso-width-relative:page;mso-height-relative:page;" filled="f" stroked="t" coordsize="21600,21600" o:gfxdata="UEsDBAoAAAAAAIdO4kAAAAAAAAAAAAAAAAAEAAAAZHJzL1BLAwQUAAAACACHTuJAbyDG0dkAAAAK&#10;AQAADwAAAGRycy9kb3ducmV2LnhtbE2PTU/DMAyG70j8h8hI3La06dZBabrDJCROIAYaHLPGtNUa&#10;p2qyr3+Pd9qOlp/39eNyeXK9OOAYOk8a0mkCAqn2tqNGw/fX6+QJRIiGrOk9oYYzBlhW93elKaw/&#10;0ice1rERXEKhMBraGIdCylC36EyY+gGJd39+dCbyODbSjubI5a6XKkly6UxHfKE1A65arHfrvWON&#10;34/5LmLYkMyy95+YrfAtnLV+fEiTFxART/EKw0WfM1Cx09bvyQbRa8jVTDGqYZLPUhBM5Gq+ALHV&#10;oJ4zkFUpb1+o/gFQSwMEFAAAAAgAh07iQDToLForAgAAOAQAAA4AAABkcnMvZTJvRG9jLnhtbK1T&#10;vY4TMRDukXgHyz3ZTY6gS5TNFQkHBT+R+Okdr3fXkv809mWTl+AFkKjgKqC6nqeB4zEY23vRcTRX&#10;sIU1ntn55vtmxouzvVZkJ8BLayo6HpWUCMNtLU1b0Xdvzx+dUuIDMzVT1oiKHoSnZ8uHDxa9m4uJ&#10;7ayqBRAEMX7eu4p2Ibh5UXjeCc38yDphMNhY0CzgFdqiBtYjulbFpCyfFL2F2oHlwnv0rnOQDohw&#10;H0DbNJKLteUXWpiQUUEoFlCS76TzdJnYNo3g4XXTeBGIqigqDenEImhv41ksF2zeAnOd5AMFdh8K&#10;dzRpJg0WPUKtWWDkAuQ/UFpysN42YcStLrKQ1BFUMS7v9OZNx5xIWrDV3h2b7v8fLH+12wCRdUVP&#10;sSWGaZz49cerXx++XH//9vPz1e8fn6L99ZKcPI7N6p2fY87KbGC4ebeBqHzfgCaNku45bhVN1vto&#10;xRjqJPvU9MOx6WIfCEfnbDqZUsIxMJ2dlLM0kiLDxVQHPjwTVpNoVNQHYLLtwsoag8O1kAuw3Qsf&#10;kBAm3iTEZGPPpVJpxsqQ/liM4d42uC9YVzvU7k1LCVMtPggeIFH2Vsk6ZkccD+12pYDsWFyj9OWf&#10;OlaL7J1N0Z3XybPw0tbZPS5v/EhtgEk0/8KPnNfMdzknhTJUYFI9NTUJB4eDYQC2p1GHFjUlSiDf&#10;aGXhykSqIi390I04rTyfaG1tfUhjK+INFyoRGZY/buztO9q3H/z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8gxtHZAAAACgEAAA8AAAAAAAAAAQAgAAAAIgAAAGRycy9kb3ducmV2LnhtbFBLAQIU&#10;ABQAAAAIAIdO4kA06CxaKwIAADgEAAAOAAAAAAAAAAEAIAAAACgBAABkcnMvZTJvRG9jLnhtbFBL&#10;BQYAAAAABgAGAFkBAADFBQAAAAA=&#10;">
                      <v:fill on="f" focussize="0,0"/>
                      <v:stroke color="#000000" joinstyle="round" endarrow="open"/>
                      <v:imagedata o:title=""/>
                      <o:lock v:ext="edit" aspectratio="f"/>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85888" behindDoc="0" locked="0" layoutInCell="1" allowOverlap="1">
                      <wp:simplePos x="0" y="0"/>
                      <wp:positionH relativeFrom="column">
                        <wp:posOffset>2867025</wp:posOffset>
                      </wp:positionH>
                      <wp:positionV relativeFrom="paragraph">
                        <wp:posOffset>254635</wp:posOffset>
                      </wp:positionV>
                      <wp:extent cx="702310" cy="285750"/>
                      <wp:effectExtent l="0" t="0" r="0" b="0"/>
                      <wp:wrapNone/>
                      <wp:docPr id="104" name="文本框 82"/>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2" o:spid="_x0000_s1026" o:spt="202" type="#_x0000_t202" style="position:absolute;left:0pt;margin-left:225.75pt;margin-top:20.05pt;height:22.5pt;width:55.3pt;z-index:251685888;mso-width-relative:page;mso-height-relative:page;" filled="f" stroked="f" coordsize="21600,21600" o:gfxdata="UEsDBAoAAAAAAIdO4kAAAAAAAAAAAAAAAAAEAAAAZHJzL1BLAwQUAAAACACHTuJA4kVE2tkAAAAJ&#10;AQAADwAAAGRycy9kb3ducmV2LnhtbE2PTUvDQBCG74L/YRnBm93dYEqI2RQJFEHsobUXb5PsNgnu&#10;R8xuP/TXdzzp7R3m4Z1nqtXFWXYycxyDVyAXApjxXdCj7xXs39cPBbCY0Gu0wRsF3ybCqr69qbDU&#10;4ey35rRLPaMSH0tUMKQ0lZzHbjAO4yJMxtPuEGaHica553rGM5U7yzMhltzh6OnCgJNpBtN97o5O&#10;wWuz3uC2zVzxY5uXt8Pz9LX/yJW6v5PiCVgyl/QHw68+qUNNTm04eh2ZVfCYy5xQCkICIyBfZhRa&#10;BUUugdcV//9BfQVQSwMEFAAAAAgAh07iQDkfnqBCAgAAdgQAAA4AAABkcnMvZTJvRG9jLnhtbK1U&#10;zW4TMRC+I/EOlu90kzT9IcqmCq2KkCpaqSDOjtfbXcn2GNvpbnkAeANOXLjzXH0OPnuTtBQOPXBx&#10;xjOz38z3zTjzk95odqt8aMmWfLw34kxZSVVrb0r+8cP5q2POQhS2EpqsKvmdCvxk8fLFvHMzNaGG&#10;dKU8A4gNs86VvInRzYoiyEYZEfbIKYtgTd6IiKu/KSovOqAbXUxGo8OiI185T1KFAO/ZEOQbRP8c&#10;QKrrVqozkmujbBxQvdIiglJoWhf4Indb10rGy7oOKjJdcjCN+UQR2Kt0Fou5mN144ZpWbloQz2nh&#10;CScjWouiO6gzEQVb+/YvKNNKT4HquCfJFAORrAhYjEdPtLluhFOZC6QObid6+H+w8v3tlWdthU0Y&#10;TTmzwmDk99+/3f/4df/zKzueJIU6F2ZIvHZIjf0b6pG99Qc4E/G+9ib9ghJDHPre7fRVfWQSzqPR&#10;ZH+MiERocnxwdJD1Lx4+dj7Et4oMS0bJPcaXVRW3FyGiEaRuU1ItS+et1nmE2rKu5If7gPwjgi+0&#10;TR6Vl2EDkwgNjScr9qt+w3JF1R1IehoWJTh53qKVCxHilfDYDHSPtxMvcdSaUJI2FmcN+S//8qd8&#10;DAxRzjpsWsnD57XwijP9zmKUr8fTKWBjvkwPjia4+MeR1eOIXZtTwjKP8UqdzGbKj3pr1p7MJzyx&#10;ZaqKkLAStUset+ZpHPYfT1Sq5TInYRmdiBf22skEPUi4XEeq26x7kmnQBkNIF6xjHsfm6aR9f3zP&#10;WQ9/F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kVE2tkAAAAJAQAADwAAAAAAAAABACAAAAAi&#10;AAAAZHJzL2Rvd25yZXYueG1sUEsBAhQAFAAAAAgAh07iQDkfnqBCAgAAdgQAAA4AAAAAAAAAAQAg&#10;AAAAKA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4.4</w:t>
                            </w:r>
                          </w:p>
                        </w:txbxContent>
                      </v:textbox>
                    </v:shape>
                  </w:pict>
                </mc:Fallback>
              </mc:AlternateContent>
            </w:r>
            <w:r>
              <w:rPr>
                <w:b w:val="0"/>
                <w:bCs/>
                <w:color w:val="auto"/>
                <w:sz w:val="24"/>
              </w:rPr>
              <mc:AlternateContent>
                <mc:Choice Requires="wps">
                  <w:drawing>
                    <wp:anchor distT="0" distB="0" distL="114300" distR="114300" simplePos="0" relativeHeight="251667456" behindDoc="0" locked="0" layoutInCell="1" allowOverlap="1">
                      <wp:simplePos x="0" y="0"/>
                      <wp:positionH relativeFrom="column">
                        <wp:posOffset>3228975</wp:posOffset>
                      </wp:positionH>
                      <wp:positionV relativeFrom="paragraph">
                        <wp:posOffset>90805</wp:posOffset>
                      </wp:positionV>
                      <wp:extent cx="259715" cy="5080"/>
                      <wp:effectExtent l="0" t="47625" r="6985" b="61595"/>
                      <wp:wrapNone/>
                      <wp:docPr id="79" name="直接箭头连接符 33"/>
                      <wp:cNvGraphicFramePr/>
                      <a:graphic xmlns:a="http://schemas.openxmlformats.org/drawingml/2006/main">
                        <a:graphicData uri="http://schemas.microsoft.com/office/word/2010/wordprocessingShape">
                          <wps:wsp>
                            <wps:cNvCnPr/>
                            <wps:spPr>
                              <a:xfrm flipV="1">
                                <a:off x="0" y="0"/>
                                <a:ext cx="259715" cy="508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33" o:spid="_x0000_s1026" o:spt="32" type="#_x0000_t32" style="position:absolute;left:0pt;flip:y;margin-left:254.25pt;margin-top:7.15pt;height:0.4pt;width:20.45pt;z-index:251667456;mso-width-relative:page;mso-height-relative:page;" filled="f" stroked="t" coordsize="21600,21600" o:gfxdata="UEsDBAoAAAAAAIdO4kAAAAAAAAAAAAAAAAAEAAAAZHJzL1BLAwQUAAAACACHTuJAm17c4tcAAAAJ&#10;AQAADwAAAGRycy9kb3ducmV2LnhtbE2PsU7DMBCGdyTewTokNmoHYlTSOB1ATLBQkKpubnyNU2I7&#10;2G4T3p5jgvHu//Tfd/V6dgM7Y0x98AqKhQCGvg2m952Cj/fnmyWwlLU3eggeFXxjgnVzeVHryoTJ&#10;v+F5kztGJT5VWoHNeaw4T61Fp9MijOgpO4TodKYxdtxEPVG5G/itEPfc6d7TBatHfLTYfm5OTsH2&#10;VezkHKI97r5K+9I/ddujm5S6virECljGOf/B8KtP6tCQ0z6cvElsUCDFUhJKQXkHjABZPpTA9rSQ&#10;BfCm5v8/aH4AUEsDBBQAAAAIAIdO4kAoQjB0CQIAAOMDAAAOAAAAZHJzL2Uyb0RvYy54bWytU81u&#10;EzEQviPxDpbvZJNUoU2UTQ8J5YKgEj93x+vdteQ/zbjZ5CV4ASROwIly6p2ngfIYjL1LVMqlB/Zg&#10;zXh2vpnvm/HyfG8N2ylA7V3JJ6MxZ8pJX2nXlPztm4snZ5xhFK4SxjtV8oNCfr56/GjZhYWa+tab&#10;SgEjEIeLLpS8jTEsigJlq6zAkQ/KUbD2YEUkF5qiAtERujXFdDx+WnQeqgBeKkS63fRBPiDCQwB9&#10;XWupNl5eWeVijwrKiEiUsNUB+Sp3W9dKxld1jSoyU3JiGvNJRcjeprNYLcWiARFaLYcWxENauMfJ&#10;Cu2o6BFqI6JgV6D/gbJagkdfx5H0tuiJZEWIxWR8T5vXrQgqcyGpMRxFx/8HK1/uLoHpquSnc86c&#10;sDTx2w83P99/vv12/ePTza/vH5P99Qs7OUlidQEXlLN2lzB4GC4hMd/XYFltdHhHW5W1IHZsn6U+&#10;HKVW+8gkXU5n89PJjDNJodn4LA+i6EESWACMz5W3LBklxwhCN21ce+dopB76AmL3AiO1QYl/ElKy&#10;8xfamDxZ41hX8vlsmkoJ2taatoRMG4gxuoYzYRp6BjJCbhm90VXKTjgIzXZtgO1EWp78JQmo2l+/&#10;pdIbgW3/Xw71axWFNs9cxeIhkKoCwHdDvnEJX+X9HCgkYXspk7X11SErXCSPZp/LDnualuuuT/bd&#10;t7n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te3OLXAAAACQEAAA8AAAAAAAAAAQAgAAAAIgAA&#10;AGRycy9kb3ducmV2LnhtbFBLAQIUABQAAAAIAIdO4kAoQjB0CQIAAOMDAAAOAAAAAAAAAAEAIAAA&#10;ACYBAABkcnMvZTJvRG9jLnhtbFBLBQYAAAAABgAGAFkBAAChBQAAAAA=&#10;">
                      <v:fill on="f" focussize="0,0"/>
                      <v:stroke color="#000000" joinstyle="round" endarrow="open"/>
                      <v:imagedata o:title=""/>
                      <o:lock v:ext="edit" aspectratio="f"/>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86912" behindDoc="0" locked="0" layoutInCell="1" allowOverlap="1">
                      <wp:simplePos x="0" y="0"/>
                      <wp:positionH relativeFrom="column">
                        <wp:posOffset>840105</wp:posOffset>
                      </wp:positionH>
                      <wp:positionV relativeFrom="paragraph">
                        <wp:posOffset>34925</wp:posOffset>
                      </wp:positionV>
                      <wp:extent cx="702310" cy="285750"/>
                      <wp:effectExtent l="0" t="0" r="0" b="0"/>
                      <wp:wrapNone/>
                      <wp:docPr id="105" name="文本框 85"/>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26" o:spt="202" type="#_x0000_t202" style="position:absolute;left:0pt;margin-left:66.15pt;margin-top:2.75pt;height:22.5pt;width:55.3pt;z-index:251686912;mso-width-relative:page;mso-height-relative:page;" filled="f" stroked="f" coordsize="21600,21600" o:gfxdata="UEsDBAoAAAAAAIdO4kAAAAAAAAAAAAAAAAAEAAAAZHJzL1BLAwQUAAAACACHTuJAbLDfgdgAAAAI&#10;AQAADwAAAGRycy9kb3ducmV2LnhtbE2Py07DMBBF90j8gzVI7KjdlKAS4lQoUoWEYNHSDbtJ7CYR&#10;9jjE7gO+nmEFy6N7dedMuTp7J452ikMgDfOZAmGpDWagTsPubX2zBBETkkEXyGr4shFW1eVFiYUJ&#10;J9rY4zZ1gkcoFqihT2kspIxtbz3GWRgtcbYPk8fEOHXSTHjice9kptSd9DgQX+hxtHVv24/twWt4&#10;rtevuGkyv/x29dPL/nH83L3nWl9fzdUDiGTP6a8Mv/qsDhU7NeFAJgrHvMgWXNWQ5yA4z26zexAN&#10;s8pBVqX8/0D1A1BLAwQUAAAACACHTuJAMleAy0ICAAB2BAAADgAAAGRycy9lMm9Eb2MueG1srVTB&#10;bhMxEL0j8Q+W73STtGlLlE0VWhUhVbRSQZwdr7e7ku0xttPd8gHwB5y4cOe7+h08e5O0FA49cHHG&#10;M7Nv5r0ZZ37SG81ulQ8t2ZKP90acKSupau1NyT9+OH91zFmIwlZCk1Ulv1OBnyxevph3bqYm1JCu&#10;lGcAsWHWuZI3MbpZUQTZKCPCHjllEazJGxFx9TdF5UUHdKOLyWh0WHTkK+dJqhDgPRuCfIPonwNI&#10;dd1KdUZybZSNA6pXWkRQCk3rAl/kbutayXhZ10FFpksOpjGfKAJ7lc5iMRezGy9c08pNC+I5LTzh&#10;ZERrUXQHdSaiYGvf/gVlWukpUB33JJliIJIVAYvx6Ik2141wKnOB1MHtRA//D1a+v73yrK2wCaMp&#10;Z1YYjPz++7f7H7/uf35lx9OkUOfCDInXDqmxf0M9srf+AGci3tfepF9QYohD37udvqqPTMJ5NJrs&#10;jxGRCE2Op0fTrH/x8LHzIb5VZFgySu4xvqyquL0IEY0gdZuSalk6b7XOI9SWdSU/3AfkHxF8oW3y&#10;qLwMG5hEaGg8WbFf9RuWK6ruQNLTsCjByfMWrVyIEK+Ex2age7ydeImj1oSStLE4a8h/+Zc/5WNg&#10;iHLWYdNKHj6vhVec6XcWo3w9PjgAbMyXg+nRBBf/OLJ6HLFrc0pY5jFeqZPZTPlRb83ak/mEJ7ZM&#10;VRESVqJ2yePWPI3D/uOJSrVc5iQsoxPxwl47maAHCZfrSHWbdU8yDdpgCOmCdczj2DydtO+P7znr&#10;4e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ssN+B2AAAAAgBAAAPAAAAAAAAAAEAIAAAACIA&#10;AABkcnMvZG93bnJldi54bWxQSwECFAAUAAAACACHTuJAMleAy0ICAAB2BAAADgAAAAAAAAABACAA&#10;AAAn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b w:val="0"/>
                <w:bCs/>
                <w:color w:val="auto"/>
                <w:sz w:val="24"/>
              </w:rPr>
              <mc:AlternateContent>
                <mc:Choice Requires="wps">
                  <w:drawing>
                    <wp:anchor distT="0" distB="0" distL="114300" distR="114300" simplePos="0" relativeHeight="251665408" behindDoc="0" locked="0" layoutInCell="1" allowOverlap="1">
                      <wp:simplePos x="0" y="0"/>
                      <wp:positionH relativeFrom="column">
                        <wp:posOffset>2961005</wp:posOffset>
                      </wp:positionH>
                      <wp:positionV relativeFrom="paragraph">
                        <wp:posOffset>217170</wp:posOffset>
                      </wp:positionV>
                      <wp:extent cx="259715" cy="5080"/>
                      <wp:effectExtent l="0" t="47625" r="6985" b="61595"/>
                      <wp:wrapNone/>
                      <wp:docPr id="77" name="直接箭头连接符 23"/>
                      <wp:cNvGraphicFramePr/>
                      <a:graphic xmlns:a="http://schemas.openxmlformats.org/drawingml/2006/main">
                        <a:graphicData uri="http://schemas.microsoft.com/office/word/2010/wordprocessingShape">
                          <wps:wsp>
                            <wps:cNvCnPr/>
                            <wps:spPr>
                              <a:xfrm flipV="1">
                                <a:off x="0" y="0"/>
                                <a:ext cx="259715" cy="508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23" o:spid="_x0000_s1026" o:spt="32" type="#_x0000_t32" style="position:absolute;left:0pt;flip:y;margin-left:233.15pt;margin-top:17.1pt;height:0.4pt;width:20.45pt;z-index:251665408;mso-width-relative:page;mso-height-relative:page;" filled="f" stroked="t" coordsize="21600,21600" o:gfxdata="UEsDBAoAAAAAAIdO4kAAAAAAAAAAAAAAAAAEAAAAZHJzL1BLAwQUAAAACACHTuJAkUbzStcAAAAJ&#10;AQAADwAAAGRycy9kb3ducmV2LnhtbE2PPU/DMBCGdyT+g3VIbNRumwQU4nQAMcFCQaq6ufERp8Tn&#10;ELtN+PccE2z38ei956rN7HtxxjF2gTQsFwoEUhNsR62G97enmzsQMRmypg+EGr4xwqa+vKhMacNE&#10;r3jeplZwCMXSaHApDaWUsXHoTVyEAYl3H2H0JnE7ttKOZuJw38uVUoX0piO+4MyADw6bz+3Ja9i9&#10;qH0+h9Ed91+Ze+4e293RT1pfXy3VPYiEc/qD4Vef1aFmp0M4kY2i15AVxZpRDetsBYKBXN1yceBB&#10;rkDWlfz/Qf0DUEsDBBQAAAAIAIdO4kCiocqRCAIAAOMDAAAOAAAAZHJzL2Uyb0RvYy54bWytU72O&#10;EzEQ7pF4B8s92SQo5C7K5oqEo0EQiZ/e8Xp3LflPM75s8hK8ABIVUAHV9TwNHI/B2LtEx9FcwRbW&#10;jGfnm/m+GS8vDtawvQLU3pV8Mhpzppz0lXZNyd+8vnx0xhlG4SphvFMlPyrkF6uHD5ZdWKipb72p&#10;FDACcbjoQsnbGMOiKFC2ygoc+aAcBWsPVkRyoSkqEB2hW1NMx+MnReehCuClQqTbTR/kAyLcB9DX&#10;tZZq4+WVVS72qKCMiEQJWx2Qr3K3da1kfFnXqCIzJSemMZ9UhOxdOovVUiwaEKHVcmhB3KeFO5ys&#10;0I6KnqA2Igp2BfofKKslePR1HElvi55IVoRYTMZ3tHnViqAyF5Iaw0l0/H+w8sV+C0xXJZ/POXPC&#10;0sRv3l//fPfp5tvXHx+vf33/kOwvn9n0cRKrC7ignLXbwuBh2EJifqjBstro8Ja2KmtB7NghS308&#10;Sa0OkUm6nM7O55MZZ5JCs/FZHkTRgySwABifKW9ZMkqOEYRu2rj2ztFIPfQFxP45RmqDEv8kpGTn&#10;L7UxebLGsa7k57NpKiVoW2vaEjJtIMboGs6EaegZyAi5ZfRGVyk74SA0u7UBthdpefKXJKBqf/2W&#10;Sm8Etv1/OdSvVRTaPHUVi8dAqgoA3w35xiV8lfdzoJCE7aVM1s5Xx6xwkTyafS477Glarts+2bff&#10;5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UbzStcAAAAJAQAADwAAAAAAAAABACAAAAAiAAAA&#10;ZHJzL2Rvd25yZXYueG1sUEsBAhQAFAAAAAgAh07iQKKhypEIAgAA4wMAAA4AAAAAAAAAAQAgAAAA&#10;JgEAAGRycy9lMm9Eb2MueG1sUEsFBgAAAAAGAAYAWQEAAKAFAAAAAA==&#10;">
                      <v:fill on="f" focussize="0,0"/>
                      <v:stroke color="#000000" joinstyle="round"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62336" behindDoc="0" locked="0" layoutInCell="1" allowOverlap="1">
                      <wp:simplePos x="0" y="0"/>
                      <wp:positionH relativeFrom="column">
                        <wp:posOffset>1965325</wp:posOffset>
                      </wp:positionH>
                      <wp:positionV relativeFrom="paragraph">
                        <wp:posOffset>148590</wp:posOffset>
                      </wp:positionV>
                      <wp:extent cx="1003935" cy="285750"/>
                      <wp:effectExtent l="4445" t="4445" r="20320" b="14605"/>
                      <wp:wrapNone/>
                      <wp:docPr id="74" name="文本框 19"/>
                      <wp:cNvGraphicFramePr/>
                      <a:graphic xmlns:a="http://schemas.openxmlformats.org/drawingml/2006/main">
                        <a:graphicData uri="http://schemas.microsoft.com/office/word/2010/wordprocessingShape">
                          <wps:wsp>
                            <wps:cNvSpPr txBox="1"/>
                            <wps:spPr>
                              <a:xfrm>
                                <a:off x="0" y="0"/>
                                <a:ext cx="1003935" cy="285750"/>
                              </a:xfrm>
                              <a:prstGeom prst="rect">
                                <a:avLst/>
                              </a:prstGeom>
                              <a:solidFill>
                                <a:srgbClr val="FFFFFF"/>
                              </a:solidFill>
                              <a:ln w="6350">
                                <a:solidFill>
                                  <a:prstClr val="black"/>
                                </a:solidFill>
                              </a:ln>
                              <a:effectLst/>
                            </wps:spPr>
                            <wps:txbx>
                              <w:txbxContent>
                                <w:p>
                                  <w:pPr>
                                    <w:rPr>
                                      <w:rFonts w:hint="default" w:eastAsia="宋体"/>
                                      <w:lang w:val="en-US" w:eastAsia="zh-CN"/>
                                    </w:rPr>
                                  </w:pPr>
                                  <w:r>
                                    <w:rPr>
                                      <w:rFonts w:hint="eastAsia"/>
                                      <w:lang w:val="en-US" w:eastAsia="zh-CN"/>
                                    </w:rPr>
                                    <w:t>初期雨水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154.75pt;margin-top:11.7pt;height:22.5pt;width:79.05pt;z-index:251662336;mso-width-relative:page;mso-height-relative:page;" fillcolor="#FFFFFF" filled="t" stroked="t" coordsize="21600,21600" o:gfxdata="UEsDBAoAAAAAAIdO4kAAAAAAAAAAAAAAAAAEAAAAZHJzL1BLAwQUAAAACACHTuJACpMfp9cAAAAJ&#10;AQAADwAAAGRycy9kb3ducmV2LnhtbE2Py07DMBBF90j8gzVI7KjdJJgSMqkEEhJiR5sNOzeeJhF+&#10;RLbblL/HrGA5ukf3nmm2F2vYmUKcvENYrwQwcr3XkxsQuv3r3QZYTMppZbwjhG+KsG2vrxpVa7+4&#10;Dzrv0sByiYu1QhhTmmvOYz+SVXHlZ3I5O/pgVcpnGLgOasnl1vBCCMmtmlxeGNVMLyP1X7uTRXiT&#10;z+mTOv2uy6L0S8f7cDQR8fZmLZ6AJbqkPxh+9bM6tNnp4E9OR2YQSvF4n1GEoqyAZaCSDxLYAUFu&#10;KuBtw/9/0P4AUEsDBBQAAAAIAIdO4kDUPJeEYgIAAMcEAAAOAAAAZHJzL2Uyb0RvYy54bWytVMFu&#10;GjEQvVfqP1i+lwUCSUAsEU1EVSlqIqVVz8brZa3aHtc27NIPaP6gp15673fxHR17gdDQQw7lYGY8&#10;4zczb2Z2ctVoRdbCeQkmp71OlxJhOBTSLHP66eP8zSUlPjBTMAVG5HQjPL2avn41qe1Y9KECVQhH&#10;EMT4cW1zWoVgx1nmeSU08x2wwqCxBKdZQNUts8KxGtG1yvrd7nlWgyusAy68x9ub1kh3iO4lgFCW&#10;kosb4CstTGhRnVAsYEm+ktbTacq2LAUPd2XpRSAqp1hpSCcGQXkRz2w6YeOlY7aSfJcCe0kKz2rS&#10;TBoMeoC6YYGRlZMnUFpyBx7K0OGgs7aQxAhW0es+4+ahYlakWpBqbw+k+/8Hyz+s7x2RRU4vBpQY&#10;prHj2x+P25+/t7++k94oElRbP0a/B4ueoXkLDY7N/t7jZay7KZ2O/1gRQTvSuznQK5pAeHzU7Z6N&#10;zoaUcLT1L4cXw8R/9vTaOh/eCdAkCjl12L7EKlvf+oCZoOveJQbzoGQxl0olxS0X18qRNcNWz9Mv&#10;JolP/nJThtQ5PT/D2CcQEfsAsVCMfzlFQDxl4kuRpmuXV6SopSJKoVk0O94WUGyQNgft5HnL5xKj&#10;3DIf7pnDUUOmcBnDHR6lAkwNdhIlFbhv/7qP/jgBaKWkxtHNqf+6Yk5Qot4bnI1RbzCIs56UwfCi&#10;j4o7tiyOLWalrwEp6+HaW57E6B/UXiwd6M+4s7MYFU3McIyd07AXr0O7ULjzXMxmyQmn27Jwax4s&#10;j9CRMAOzVYBSpkZGmlpusEVRwflOzdrtYlygYz15PX1/p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pMfp9cAAAAJAQAADwAAAAAAAAABACAAAAAiAAAAZHJzL2Rvd25yZXYueG1sUEsBAhQAFAAA&#10;AAgAh07iQNQ8l4RiAgAAxwQAAA4AAAAAAAAAAQAgAAAAJgEAAGRycy9lMm9Eb2MueG1sUEsFBgAA&#10;AAAGAAYAWQEAAPoFAAAAAA==&#10;">
                      <v:fill on="t" focussize="0,0"/>
                      <v:stroke weight="0.5pt" color="#000000" joinstyle="round"/>
                      <v:imagedata o:title=""/>
                      <o:lock v:ext="edit" aspectratio="f"/>
                      <v:textbox>
                        <w:txbxContent>
                          <w:p>
                            <w:pPr>
                              <w:rPr>
                                <w:rFonts w:hint="default" w:eastAsia="宋体"/>
                                <w:lang w:val="en-US" w:eastAsia="zh-CN"/>
                              </w:rPr>
                            </w:pPr>
                            <w:r>
                              <w:rPr>
                                <w:rFonts w:hint="eastAsia"/>
                                <w:lang w:val="en-US" w:eastAsia="zh-CN"/>
                              </w:rPr>
                              <w:t>初期雨水</w:t>
                            </w:r>
                          </w:p>
                        </w:txbxContent>
                      </v:textbox>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75648" behindDoc="0" locked="0" layoutInCell="1" allowOverlap="1">
                      <wp:simplePos x="0" y="0"/>
                      <wp:positionH relativeFrom="column">
                        <wp:posOffset>890905</wp:posOffset>
                      </wp:positionH>
                      <wp:positionV relativeFrom="paragraph">
                        <wp:posOffset>31750</wp:posOffset>
                      </wp:positionV>
                      <wp:extent cx="519430" cy="0"/>
                      <wp:effectExtent l="0" t="48895" r="13970" b="65405"/>
                      <wp:wrapNone/>
                      <wp:docPr id="89" name="直接箭头连接符 63"/>
                      <wp:cNvGraphicFramePr/>
                      <a:graphic xmlns:a="http://schemas.openxmlformats.org/drawingml/2006/main">
                        <a:graphicData uri="http://schemas.microsoft.com/office/word/2010/wordprocessingShape">
                          <wps:wsp>
                            <wps:cNvCnPr/>
                            <wps:spPr>
                              <a:xfrm>
                                <a:off x="0" y="0"/>
                                <a:ext cx="519430" cy="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63" o:spid="_x0000_s1026" o:spt="32" type="#_x0000_t32" style="position:absolute;left:0pt;margin-left:70.15pt;margin-top:2.5pt;height:0pt;width:40.9pt;z-index:251675648;mso-width-relative:page;mso-height-relative:page;" filled="f" stroked="t" coordsize="21600,21600" o:gfxdata="UEsDBAoAAAAAAIdO4kAAAAAAAAAAAAAAAAAEAAAAZHJzL1BLAwQUAAAACACHTuJAeNqQStMAAAAH&#10;AQAADwAAAGRycy9kb3ducmV2LnhtbE2PQU7DMBBF90jcwRokdtSOaREKcbpA6iJSEaJwADcZkoh4&#10;nMbTtL09AxtYPv2vP2+K9TkMasYp9ZEcZAsDCqmOTU+tg4/3zd0jqMSeGj9EQgcXTLAur68Knzfx&#10;RG8477hVMkIp9w465jHXOtUdBp8WcUSS7DNOwbPg1Opm8icZD4O2xjzo4HuSC50f8bnD+mt3DA5s&#10;deDLZlvx/Mqrl0Ow22U11s7d3mTmCRTjmf/K8KMv6lCK0z4eqUlqEF6ae6k6WMlLkltrM1D7X9Zl&#10;of/7l99QSwMEFAAAAAgAh07iQGKsxkD+AQAA1gMAAA4AAABkcnMvZTJvRG9jLnhtbK1TzY7TMBC+&#10;I/EOlu807S5dbaume2hZLggqAQ/gOk5iyX+a8TbtS/ACSJyAE3DaO08Dy2MwdrJlWS57IAdnJvZ8&#10;n79vJouLvTVspwC1dyWfjMacKSd9pV1T8rdvLp+cc4ZRuEoY71TJDwr5xfLxo0UX5urEt95UChiB&#10;OJx3oeRtjGFeFChbZQWOfFCONmsPVkRKoSkqEB2hW1OcjMdnReehCuClQqSv636TD4jwEEBf11qq&#10;tZdXVrnYo4IyIpIkbHVAvsy3rWsl46u6RhWZKTkpjXklEoq3aS2WCzFvQIRWy+EK4iFXuKfJCu2I&#10;9Ai1FlGwK9D/QFktwaOv40h6W/RCsiOkYjK+583rVgSVtZDVGI6m4/+DlS93G2C6Kvn5jDMnLHX8&#10;5v31z3efbr59/fHx+tf3Dyn+8pmdnSazuoBzqlm5DQwZhg0k5fsabHqTJrbPBh+OBqt9ZJI+Tiez&#10;p6dkvbzdKv7UBcD4XHnLUlByjCB008aVd4666GGS/RW7FxiJmQpvCxKp85famNxM41hX8tn0ZEo8&#10;gga0psGg0AYSia7hTJiGJl9GyIjoja5SdcJBaLYrA2wn0rzkJ6kmtr+OJeq1wLY/l7f6SYpCm2eu&#10;YvEQyEgB4Luh3riEr/JIDhKSl717Kdr66pBNLVJG7c60w2imebqbU3z3d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jakErTAAAABwEAAA8AAAAAAAAAAQAgAAAAIgAAAGRycy9kb3ducmV2Lnht&#10;bFBLAQIUABQAAAAIAIdO4kBirMZA/gEAANYDAAAOAAAAAAAAAAEAIAAAACIBAABkcnMvZTJvRG9j&#10;LnhtbFBLBQYAAAAABgAGAFkBAACSBQAAAAA=&#10;">
                      <v:fill on="f" focussize="0,0"/>
                      <v:stroke color="#000000" joinstyle="round" endarrow="open"/>
                      <v:imagedata o:title=""/>
                      <o:lock v:ext="edit" aspectratio="f"/>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80768" behindDoc="0" locked="0" layoutInCell="1" allowOverlap="1">
                      <wp:simplePos x="0" y="0"/>
                      <wp:positionH relativeFrom="column">
                        <wp:posOffset>2416175</wp:posOffset>
                      </wp:positionH>
                      <wp:positionV relativeFrom="paragraph">
                        <wp:posOffset>193675</wp:posOffset>
                      </wp:positionV>
                      <wp:extent cx="702310" cy="285750"/>
                      <wp:effectExtent l="0" t="0" r="0" b="0"/>
                      <wp:wrapNone/>
                      <wp:docPr id="99" name="文本框 79"/>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190.25pt;margin-top:15.25pt;height:22.5pt;width:55.3pt;z-index:251680768;mso-width-relative:page;mso-height-relative:page;" filled="f" stroked="f" coordsize="21600,21600" o:gfxdata="UEsDBAoAAAAAAIdO4kAAAAAAAAAAAAAAAAAEAAAAZHJzL1BLAwQUAAAACACHTuJAF3eNRtkAAAAJ&#10;AQAADwAAAGRycy9kb3ducmV2LnhtbE2PTU/DMAyG70j8h8hI3FjSQaGUphOqNCEhdtjYhZvbZG1F&#10;45Qm+4Bfj3eCk2350evHxeLkBnGwU+g9aUhmCoSlxpueWg3b9+VNBiJEJIODJ6vh2wZYlJcXBebG&#10;H2ltD5vYCg6hkKOGLsYxlzI0nXUYZn60xLudnxxGHqdWmgmPHO4GOVfqXjrsiS90ONqqs83nZu80&#10;vFbLFa7ruct+hurlbfc8fm0/Uq2vrxL1BCLaU/yD4azP6lCyU+33ZIIYNNxmKmWUm3Nl4O4xSUDU&#10;Gh7SFGRZyP8flL9QSwMEFAAAAAgAh07iQBGGrEhDAgAAdQQAAA4AAABkcnMvZTJvRG9jLnhtbK1U&#10;zW4TMRC+I/EOlu90k/QnTdRNFVoVIVW0UkGcHa+3u5LtMbbT3fIA8AY9ceHOc/U5+OxN2lI49MDF&#10;Gc/MfjPfN+McHfdGsxvlQ0u25OOdEWfKSqpae13yTx/P3hxyFqKwldBkVclvVeDHi9evjjo3VxNq&#10;SFfKM4DYMO9cyZsY3bwogmyUEWGHnLII1uSNiLj666LyogO60cVkNDooOvKV8yRVCPCeDkG+QfQv&#10;AaS6bqU6Jbk2ysYB1SstIiiFpnWBL3K3da1kvKjroCLTJQfTmE8Ugb1KZ7E4EvNrL1zTyk0L4iUt&#10;PONkRGtR9AHqVETB1r79C8q00lOgOu5IMsVAJCsCFuPRM22uGuFU5gKpg3sQPfw/WPnh5tKztir5&#10;bMaZFQYTv7/7fv/j1/3Pb2w6SwJ1LsyRd+WQGfu31GNttv4AZ+Ld196kXzBiiEPe2wd5VR+ZhHM6&#10;muyOEZEITQ73p/tZ/uLxY+dDfKfIsGSU3GN6WVRxcx4iGkHqNiXVsnTWap0nqC3rSn6wC8g/IvhC&#10;2+RReRc2MInQ0HiyYr/qNyxXVN2CpKdhT4KTZy1aORchXgqPxUD3eDrxAketCSVpY3HWkP/6L3/K&#10;x7wQ5azDopU8fFkLrzjT7y0mORvv7QE25sve/nSCi38aWT2N2LU5IezyGI/UyWym/Ki3Zu3JfMYL&#10;W6aqCAkrUbvkcWuexGH98UKlWi5zEnbRiXhur5xM0IOEy3Wkus26J5kGbTCEdME25nFsXk5a96f3&#10;nPX4b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d3jUbZAAAACQEAAA8AAAAAAAAAAQAgAAAA&#10;IgAAAGRycy9kb3ducmV2LnhtbFBLAQIUABQAAAAIAIdO4kARhqxIQwIAAHUEAAAOAAAAAAAAAAEA&#10;IAAAACg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83840" behindDoc="0" locked="0" layoutInCell="1" allowOverlap="1">
                      <wp:simplePos x="0" y="0"/>
                      <wp:positionH relativeFrom="column">
                        <wp:posOffset>3082925</wp:posOffset>
                      </wp:positionH>
                      <wp:positionV relativeFrom="paragraph">
                        <wp:posOffset>136525</wp:posOffset>
                      </wp:positionV>
                      <wp:extent cx="702310" cy="285750"/>
                      <wp:effectExtent l="0" t="0" r="0" b="0"/>
                      <wp:wrapNone/>
                      <wp:docPr id="102" name="文本框 83"/>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3" o:spid="_x0000_s1026" o:spt="202" type="#_x0000_t202" style="position:absolute;left:0pt;margin-left:242.75pt;margin-top:10.75pt;height:22.5pt;width:55.3pt;z-index:251683840;mso-width-relative:page;mso-height-relative:page;" filled="f" stroked="f" coordsize="21600,21600" o:gfxdata="UEsDBAoAAAAAAIdO4kAAAAAAAAAAAAAAAAAEAAAAZHJzL1BLAwQUAAAACACHTuJAIPasxtsAAAAJ&#10;AQAADwAAAGRycy9kb3ducmV2LnhtbE2PTUvEMBCG74L/IcyCNzdtMaXWposUFkH0sOtevKVNti2b&#10;TGqT/dBf73hyT8MwD+88b7W6OMtOZg6jRwnpMgFmsPN6xF7C7mN9XwALUaFW1qOR8G0CrOrbm0qV&#10;2p9xY07b2DMKwVAqCUOMU8l56AbjVFj6ySDd9n52KtI691zP6kzhzvIsSXLu1Ij0YVCTaQbTHbZH&#10;J+G1Wb+rTZu54sc2L2/75+lr9ymkvFukyROwaC7xH4Y/fVKHmpxaf0QdmJXwUAhBqIQspUmAeMxT&#10;YK2EPBfA64pfN6h/AVBLAwQUAAAACACHTuJA8LjhG0ICAAB2BAAADgAAAGRycy9lMm9Eb2MueG1s&#10;rVTNbhMxEL4j8Q6W73ST9C9E3VShVRFSRSsVxNnxersr2R5jO90tDwBvwIkLd56rz8Fnb5KGwqEH&#10;Ls54Zvab+b4Z5+S0N5rdKR9asiUf7404U1ZS1drbkn/8cPFqylmIwlZCk1Ulv1eBn85fvjjp3ExN&#10;qCFdKc8AYsOscyVvYnSzogiyUUaEPXLKIliTNyLi6m+LyosO6EYXk9HoqOjIV86TVCHAez4E+RrR&#10;PweQ6rqV6pzkyigbB1SvtIigFJrWBT7P3da1kvGqroOKTJccTGM+UQT2Mp3F/ETMbr1wTSvXLYjn&#10;tPCEkxGtRdEt1LmIgq18+xeUaaWnQHXck2SKgUhWBCzGoyfa3DTCqcwFUge3FT38P1j5/u7as7bC&#10;JowmnFlhMPKH798efvx6+PmVTfeTQp0LMyTeOKTG/g31yN74A5yJeF97k35BiSEOfe+3+qo+Mgnn&#10;8WiyP0ZEIjSZHh4fZv2Lx4+dD/GtIsOSUXKP8WVVxd1liGgEqZuUVMvSRat1HqG2rCv50T4g/4jg&#10;C22TR+VlWMMkQkPjyYr9sl+zXFJ1D5KehkUJTl60aOVShHgtPDYD3ePtxCsctSaUpLXFWUP+y7/8&#10;KR8DQ5SzDptW8vB5JbziTL+zGOXr8cEBYGO+HBweT3Dxu5HlbsSuzBlhmcd4pU5mM+VHvTFrT+YT&#10;ntgiVUVIWInaJY8b8ywO+48nKtVikZOwjE7ES3vjZIIeJFysItVt1j3JNGiDIaQL1jGPY/100r7v&#10;3nPW49/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9qzG2wAAAAkBAAAPAAAAAAAAAAEAIAAA&#10;ACIAAABkcnMvZG93bnJldi54bWxQSwECFAAUAAAACACHTuJA8LjhG0ICAAB2BAAADgAAAAAAAAAB&#10;ACAAAAAq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b w:val="0"/>
                <w:bCs/>
                <w:color w:val="auto"/>
                <w:sz w:val="24"/>
              </w:rPr>
              <mc:AlternateContent>
                <mc:Choice Requires="wps">
                  <w:drawing>
                    <wp:anchor distT="0" distB="0" distL="114300" distR="114300" simplePos="0" relativeHeight="251679744" behindDoc="0" locked="0" layoutInCell="1" allowOverlap="1">
                      <wp:simplePos x="0" y="0"/>
                      <wp:positionH relativeFrom="column">
                        <wp:posOffset>2085975</wp:posOffset>
                      </wp:positionH>
                      <wp:positionV relativeFrom="paragraph">
                        <wp:posOffset>22225</wp:posOffset>
                      </wp:positionV>
                      <wp:extent cx="398145" cy="242570"/>
                      <wp:effectExtent l="2540" t="0" r="18415" b="5080"/>
                      <wp:wrapNone/>
                      <wp:docPr id="98" name="直接箭头连接符 78"/>
                      <wp:cNvGraphicFramePr/>
                      <a:graphic xmlns:a="http://schemas.openxmlformats.org/drawingml/2006/main">
                        <a:graphicData uri="http://schemas.microsoft.com/office/word/2010/wordprocessingShape">
                          <wps:wsp>
                            <wps:cNvCnPr/>
                            <wps:spPr>
                              <a:xfrm flipV="1">
                                <a:off x="0" y="0"/>
                                <a:ext cx="398145" cy="242570"/>
                              </a:xfrm>
                              <a:prstGeom prst="straightConnector1">
                                <a:avLst/>
                              </a:prstGeom>
                              <a:noFill/>
                              <a:ln w="9525" cap="flat" cmpd="sng" algn="ctr">
                                <a:solidFill>
                                  <a:srgbClr val="000000"/>
                                </a:solidFill>
                                <a:prstDash val="dash"/>
                                <a:tailEnd type="arrow"/>
                              </a:ln>
                              <a:effectLst/>
                            </wps:spPr>
                            <wps:bodyPr/>
                          </wps:wsp>
                        </a:graphicData>
                      </a:graphic>
                    </wp:anchor>
                  </w:drawing>
                </mc:Choice>
                <mc:Fallback>
                  <w:pict>
                    <v:shape id="直接箭头连接符 78" o:spid="_x0000_s1026" o:spt="32" type="#_x0000_t32" style="position:absolute;left:0pt;flip:y;margin-left:164.25pt;margin-top:1.75pt;height:19.1pt;width:31.35pt;z-index:251679744;mso-width-relative:page;mso-height-relative:page;" filled="f" stroked="t" coordsize="21600,21600" o:gfxdata="UEsDBAoAAAAAAIdO4kAAAAAAAAAAAAAAAAAEAAAAZHJzL1BLAwQUAAAACACHTuJAk1DontcAAAAI&#10;AQAADwAAAGRycy9kb3ducmV2LnhtbE2PQU/DMAyF70j8h8hI3FiarqOjNJ1gqFckBkIcs8ZrKxqn&#10;arKt+/eYE5xs6z09f6/czG4QJ5xC70mDWiQgkBpve2o1fLzXd2sQIRqyZvCEGi4YYFNdX5WmsP5M&#10;b3jaxVZwCIXCaOhiHAspQ9OhM2HhRyTWDn5yJvI5tdJO5szhbpBpktxLZ3riD50Zcdth8707Og1P&#10;z9tDnc+0ypTMbf3ymn1ehi+tb29U8ggi4hz/zPCLz+hQMdPeH8kGMWhYpusVW3nhwfryQaUg9hoy&#10;lYOsSvm/QPUDUEsDBBQAAAAIAIdO4kCA0Z7QCgIAAOQDAAAOAAAAZHJzL2Uyb0RvYy54bWytU72O&#10;EzEQ7pF4B8s92SRcuFyUzRUJR4PgJH56x+vdteQ/zfiyyUvwAkhUQAVU1/M0cDwGY+8SHUdzBVtY&#10;Y3vnm/m++bw831vDdgpQe1fyyWjMmXLSV9o1JX/z+uLRnDOMwlXCeKdKflDIz1cPHyy7sFBT33pT&#10;KWAE4nDRhZK3MYZFUaBslRU48kE5uqw9WBFpC01RgegI3ZpiOh4/KToPVQAvFSKdbvpLPiDCfQB9&#10;XWupNl5eWeVijwrKiEiUsNUB+Sp3W9dKxpd1jSoyU3JiGvNKRSjeprVYLcWiARFaLYcWxH1auMPJ&#10;Cu2o6BFqI6JgV6D/gbJagkdfx5H0tuiJZEWIxWR8R5tXrQgqcyGpMRxFx/8HK1/sLoHpquRnNHcn&#10;LE385v31z3efbr59/fHx+tf3Dyn+8pmdzpNYXcAF5azdJQw7DJeQmO9rsKw2OrwlV2UtiB3bZ6kP&#10;R6nVPjJJh4/P5pOTGWeSrqYn09lpHkXRwyS4ABifKW9ZCkqOEYRu2rj2ztFQPfQlxO45RmqEEv8k&#10;pGTnL7QxebbGsY7IzaapmCC/1uQTCm0gzugazoRp6CHICLlp9EZXKTvhIDTbtQG2E8k++UsiULW/&#10;fkulNwLb/r+Kot5XUWjz1FUsHgLJKgB8N6Qbl+BVNujAICnba5mira8OWeIi7Wj4uepg1OSu23uK&#10;bz/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UOie1wAAAAgBAAAPAAAAAAAAAAEAIAAAACIA&#10;AABkcnMvZG93bnJldi54bWxQSwECFAAUAAAACACHTuJAgNGe0AoCAADkAwAADgAAAAAAAAABACAA&#10;AAAmAQAAZHJzL2Uyb0RvYy54bWxQSwUGAAAAAAYABgBZAQAAogUAAAAA&#10;">
                      <v:fill on="f" focussize="0,0"/>
                      <v:stroke color="#000000" joinstyle="round" dashstyle="dash" endarrow="open"/>
                      <v:imagedata o:title=""/>
                      <o:lock v:ext="edit" aspectratio="f"/>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70528" behindDoc="0" locked="0" layoutInCell="1" allowOverlap="1">
                      <wp:simplePos x="0" y="0"/>
                      <wp:positionH relativeFrom="column">
                        <wp:posOffset>2966720</wp:posOffset>
                      </wp:positionH>
                      <wp:positionV relativeFrom="paragraph">
                        <wp:posOffset>193675</wp:posOffset>
                      </wp:positionV>
                      <wp:extent cx="977900" cy="0"/>
                      <wp:effectExtent l="0" t="48895" r="12700" b="65405"/>
                      <wp:wrapNone/>
                      <wp:docPr id="82" name="直接箭头连接符 41"/>
                      <wp:cNvGraphicFramePr/>
                      <a:graphic xmlns:a="http://schemas.openxmlformats.org/drawingml/2006/main">
                        <a:graphicData uri="http://schemas.microsoft.com/office/word/2010/wordprocessingShape">
                          <wps:wsp>
                            <wps:cNvCnPr/>
                            <wps:spPr>
                              <a:xfrm flipH="1">
                                <a:off x="0" y="0"/>
                                <a:ext cx="977900" cy="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41" o:spid="_x0000_s1026" o:spt="32" type="#_x0000_t32" style="position:absolute;left:0pt;flip:x;margin-left:233.6pt;margin-top:15.25pt;height:0pt;width:77pt;z-index:251670528;mso-width-relative:page;mso-height-relative:page;" filled="f" stroked="t" coordsize="21600,21600" o:gfxdata="UEsDBAoAAAAAAIdO4kAAAAAAAAAAAAAAAAAEAAAAZHJzL1BLAwQUAAAACACHTuJA0ue8Y9YAAAAJ&#10;AQAADwAAAGRycy9kb3ducmV2LnhtbE2PwU7DMAyG70i8Q2Qkbixp2QoqTXcAcYILA2naLWtM09E4&#10;pcnW8vYYcYCjf3/6/blaz74XJxxjF0hDtlAgkJpgO2o1vL0+Xt2CiMmQNX0g1PCFEdb1+VllShsm&#10;esHTJrWCSyiWRoNLaSiljI1Db+IiDEi8ew+jN4nHsZV2NBOX+17mShXSm474gjMD3jtsPjZHr2H7&#10;rHarOYzusPtcuqfuod0e/KT15UWm7kAknNMfDD/6rA41O+3DkWwUvYZlcZMzquFarUAwUOQZB/vf&#10;QNaV/P9B/Q1QSwMEFAAAAAgAh07iQNaBk1YFAgAA4AMAAA4AAABkcnMvZTJvRG9jLnhtbK1TzW4T&#10;MRC+I/EOlu9kk4jSNsqmh4TCAUEk6AM4Xu+uJf9pxs0mL8ELIHECTpRT7zwNtI/B2LuNSrn0wB6s&#10;Gc/ON/N9M56f7axhWwWovSv5ZDTmTDnpK+2akl98OH92whlG4SphvFMl3yvkZ4unT+ZdmKmpb72p&#10;FDACcTjrQsnbGMOsKFC2ygoc+aAcBWsPVkRyoSkqEB2hW1NMx+MXReehCuClQqTbVR/kAyI8BtDX&#10;tZZq5eWlVS72qKCMiEQJWx2QL3K3da1kfFfXqCIzJSemMZ9UhOxNOovFXMwaEKHVcmhBPKaFB5ys&#10;0I6KHqBWIgp2CfofKKslePR1HElvi55IVoRYTMYPtHnfiqAyF5Iaw0F0/H+w8u12DUxXJT+ZcuaE&#10;pYnffLr+/fHrzY+rX1+ub39+Tvb3b+z5JInVBZxRztKtYfAwrCEx39VgWW10eE1blbUgdmyXpd4f&#10;pFa7yCRdnh4fn45pCPIuVPQICSkAxlfKW5aMkmMEoZs2Lr1zNE8PPbrYvsFIPVDiXUJKdv5cG5PH&#10;ahzrqNLR9IjqCFrVmlaETBuILrqGM2EaegMyQu4XvdFVyk44CM1maYBtRdqc/CX+VO2v31LplcC2&#10;/y+H+p2KQpuXrmJxH0hSAeC7Id+4hK/ycg4Ukqq9jsna+Gqf5S2SR4PPZYclTZt13yf7/sN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57xj1gAAAAkBAAAPAAAAAAAAAAEAIAAAACIAAABkcnMv&#10;ZG93bnJldi54bWxQSwECFAAUAAAACACHTuJA1oGTVgUCAADgAwAADgAAAAAAAAABACAAAAAlAQAA&#10;ZHJzL2Uyb0RvYy54bWxQSwUGAAAAAAYABgBZAQAAnAUAAAAA&#10;">
                      <v:fill on="f" focussize="0,0"/>
                      <v:stroke color="#000000" joinstyle="round"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73600" behindDoc="0" locked="0" layoutInCell="1" allowOverlap="1">
                      <wp:simplePos x="0" y="0"/>
                      <wp:positionH relativeFrom="column">
                        <wp:posOffset>1965325</wp:posOffset>
                      </wp:positionH>
                      <wp:positionV relativeFrom="paragraph">
                        <wp:posOffset>58420</wp:posOffset>
                      </wp:positionV>
                      <wp:extent cx="1003935" cy="285750"/>
                      <wp:effectExtent l="4445" t="4445" r="20320" b="14605"/>
                      <wp:wrapNone/>
                      <wp:docPr id="85" name="文本框 55"/>
                      <wp:cNvGraphicFramePr/>
                      <a:graphic xmlns:a="http://schemas.openxmlformats.org/drawingml/2006/main">
                        <a:graphicData uri="http://schemas.microsoft.com/office/word/2010/wordprocessingShape">
                          <wps:wsp>
                            <wps:cNvSpPr txBox="1"/>
                            <wps:spPr>
                              <a:xfrm>
                                <a:off x="0" y="0"/>
                                <a:ext cx="1003935" cy="285750"/>
                              </a:xfrm>
                              <a:prstGeom prst="rect">
                                <a:avLst/>
                              </a:prstGeom>
                              <a:solidFill>
                                <a:srgbClr val="FFFFFF"/>
                              </a:solidFill>
                              <a:ln w="6350">
                                <a:solidFill>
                                  <a:prstClr val="black"/>
                                </a:solidFill>
                              </a:ln>
                              <a:effectLst/>
                            </wps:spPr>
                            <wps:txbx>
                              <w:txbxContent>
                                <w:p>
                                  <w:r>
                                    <w:rPr>
                                      <w:rFonts w:hint="eastAsia"/>
                                    </w:rPr>
                                    <w:t>抑尘用水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54.75pt;margin-top:4.6pt;height:22.5pt;width:79.05pt;z-index:251673600;mso-width-relative:page;mso-height-relative:page;" fillcolor="#FFFFFF" filled="t" stroked="t" coordsize="21600,21600" o:gfxdata="UEsDBAoAAAAAAIdO4kAAAAAAAAAAAAAAAAAEAAAAZHJzL1BLAwQUAAAACACHTuJA4G8WldYAAAAI&#10;AQAADwAAAGRycy9kb3ducmV2LnhtbE2PwU7DMBBE70j8g7VI3KjdpA00zaYSSEiIGyUXbm68TaLa&#10;6yh2m/L3mBMcRzOaeVPtrs6KC01h8IywXCgQxK03A3cIzefrwxOIEDUbbT0TwjcF2NW3N5UujZ/5&#10;gy772IlUwqHUCH2MYyllaHtyOiz8SJy8o5+cjklOnTSTnlO5szJTqpBOD5wWej3SS0/taX92CG/F&#10;c/yixrybPMv93Mh2OtqAeH+3VFsQka7xLwy/+Akd6sR08Gc2QViEXG3WKYqwyUAkf1U8FiAOCOtV&#10;BrKu5P8D9Q9QSwMEFAAAAAgAh07iQHfSu/phAgAAxwQAAA4AAABkcnMvZTJvRG9jLnhtbK1UwW7b&#10;MAy9D9g/CLqvdtK6TYM6RZYgw4BiLZANOyuyHAuTRE1SYncfsP7BTrvsvu/qd4ySk7Rrd+hhOSik&#10;SD2Sj6QvLjutyFY4L8GUdHCUUyIMh0qadUk/fVy8GVHiAzMVU2BESW+Fp5eT168uWjsWQ2hAVcIR&#10;BDF+3NqSNiHYcZZ53gjN/BFYYdBYg9MsoOrWWeVYi+haZcM8P81acJV1wIX3eDvvjXSH6F4CCHUt&#10;uZgD32hhQo/qhGIBS/KNtJ5OUrZ1LXi4rmsvAlElxUpDOjEIyqt4ZpMLNl47ZhvJdymwl6TwpCbN&#10;pMGgB6g5C4xsnHwGpSV34KEORxx01heSGMEqBvkTbpYNsyLVglR7eyDd/z9Y/mF744isSjoqKDFM&#10;Y8fvf9zd//x9/+s7KYpIUGv9GP2WFj1D9xY6HJv9vcfLWHdXOx3/sSKCdqT39kCv6ALh8VGeH58f&#10;YxiOtuGoOCsS/9nDa+t8eCdAkyiU1GH7Eqtse+UDZoKue5cYzIOS1UIqlRS3Xs2UI1uGrV6kX0wS&#10;n/zlpgxpS3p6jLGfQUTsA8RKMf7lOQLiKRNfijRdu7wiRT0VUQrdqtvxtoLqFmlz0E+et3whMcoV&#10;8+GGORw1ZAqXMVzjUSvA1GAnUdKA+/av++iPE4BWSloc3ZL6rxvmBCXqvcHZOB+cnMRZT8pJcTZE&#10;xT22rB5bzEbPACkb4NpbnsToH9RerB3oz7iz0xgVTcxwjF3SsBdnoV8o3HkuptPkhNNtWbgyS8sj&#10;dCTMwHQToJapkZGmnhtsUVRwvlOzdrsYF+ixnrwevj+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BvFpXWAAAACAEAAA8AAAAAAAAAAQAgAAAAIgAAAGRycy9kb3ducmV2LnhtbFBLAQIUABQAAAAI&#10;AIdO4kB30rv6YQIAAMcEAAAOAAAAAAAAAAEAIAAAACUBAABkcnMvZTJvRG9jLnhtbFBLBQYAAAAA&#10;BgAGAFkBAAD4BQAAAAA=&#10;">
                      <v:fill on="t" focussize="0,0"/>
                      <v:stroke weight="0.5pt" color="#000000" joinstyle="round"/>
                      <v:imagedata o:title=""/>
                      <o:lock v:ext="edit" aspectratio="f"/>
                      <v:textbox>
                        <w:txbxContent>
                          <w:p>
                            <w:r>
                              <w:rPr>
                                <w:rFonts w:hint="eastAsia"/>
                              </w:rPr>
                              <w:t>抑尘用水</w:t>
                            </w:r>
                          </w:p>
                        </w:txbxContent>
                      </v:textbox>
                    </v:shape>
                  </w:pict>
                </mc:Fallback>
              </mc:AlternateContent>
            </w:r>
          </w:p>
          <w:p>
            <w:pPr>
              <w:adjustRightInd w:val="0"/>
              <w:snapToGrid w:val="0"/>
              <w:spacing w:line="360" w:lineRule="auto"/>
              <w:ind w:firstLine="480" w:firstLineChars="200"/>
              <w:rPr>
                <w:b w:val="0"/>
                <w:bCs/>
                <w:color w:val="auto"/>
                <w:sz w:val="24"/>
              </w:rPr>
            </w:pPr>
            <w:r>
              <w:rPr>
                <w:b w:val="0"/>
                <w:bCs/>
                <w:color w:val="auto"/>
                <w:sz w:val="24"/>
              </w:rPr>
              <mc:AlternateContent>
                <mc:Choice Requires="wps">
                  <w:drawing>
                    <wp:anchor distT="0" distB="0" distL="114300" distR="114300" simplePos="0" relativeHeight="251692032" behindDoc="0" locked="0" layoutInCell="1" allowOverlap="1">
                      <wp:simplePos x="0" y="0"/>
                      <wp:positionH relativeFrom="column">
                        <wp:posOffset>1454785</wp:posOffset>
                      </wp:positionH>
                      <wp:positionV relativeFrom="paragraph">
                        <wp:posOffset>216535</wp:posOffset>
                      </wp:positionV>
                      <wp:extent cx="702310" cy="285750"/>
                      <wp:effectExtent l="0" t="0" r="0" b="0"/>
                      <wp:wrapNone/>
                      <wp:docPr id="117" name="文本框 79"/>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114.55pt;margin-top:17.05pt;height:22.5pt;width:55.3pt;z-index:251692032;mso-width-relative:page;mso-height-relative:page;" filled="f" stroked="f" coordsize="21600,21600" o:gfxdata="UEsDBAoAAAAAAIdO4kAAAAAAAAAAAAAAAAAEAAAAZHJzL1BLAwQUAAAACACHTuJA8VZDj9oAAAAJ&#10;AQAADwAAAGRycy9kb3ducmV2LnhtbE2Py07DQAxF90j8w8hI7OjkAbQNcSoUqUJCsGjpht0k4yYR&#10;8wiZ6QO+HrOClWXdo+vjcnW2RhxpCoN3COksAUGu9XpwHcLubX2zABGicloZ7wjhiwKsqsuLUhXa&#10;n9yGjtvYCS5xoVAIfYxjIWVoe7IqzPxIjrO9n6yKvE6d1JM6cbk1MkuSe2nV4PhCr0aqe2o/tgeL&#10;8FyvX9Wmyezi29RPL/vH8XP3fod4fZUmDyAineMfDL/6rA4VOzX+4HQQBiHLlimjCPktTwbyfDkH&#10;0SDMOZBVKf9/UP0AUEsDBBQAAAAIAIdO4kD12nI7QwIAAHYEAAAOAAAAZHJzL2Uyb0RvYy54bWyt&#10;VM1uEzEQviPxDpbvdJP0J23UTRVaFSFVtFJBnB2vt7uS7TG2093yAPAGPXHhznPlOfjsTdpSOPTA&#10;xRnPzH4z3zfjHJ/0RrNb5UNLtuTjnRFnykqqWntT8k8fz98cchaisJXQZFXJ71TgJ/PXr447N1MT&#10;akhXyjOA2DDrXMmbGN2sKIJslBFhh5yyCNbkjYi4+pui8qIDutHFZDQ6KDrylfMkVQjwng1BvkH0&#10;LwGkum6lOiO5MsrGAdUrLSIohaZ1gc9zt3WtZLys66Ai0yUH05hPFIG9TGcxPxazGy9c08pNC+Il&#10;LTzjZERrUfQB6kxEwVa+/QvKtNJToDruSDLFQCQrAhbj0TNtrhvhVOYCqYN7ED38P1j54fbKs7bC&#10;JoynnFlhMPL1/ff1j1/rn9/Y9Cgp1LkwQ+K1Q2rs31KP7K0/wJmI97U36ReUGOLQ9+5BX9VHJuGc&#10;jia7Y0QkQpPD/el+1r94/Nj5EN8pMiwZJfcYX1ZV3F6EiEaQuk1JtSydt1rnEWrLupIf7ALyjwi+&#10;0DZ5VF6GDUwiNDSerNgv+w3LJVV3IOlpWJTg5HmLVi5EiFfCYzPQPd5OvMRRa0JJ2licNeS//suf&#10;8jEwRDnrsGklD19WwivO9HuLUR6N9/YAG/Nlb386wcU/jSyfRuzKnBKWeYxX6mQ2U37UW7P2ZD7j&#10;iS1SVYSElahd8rg1T+Ow/3iiUi0WOQnL6ES8sNdOJuhBwsUqUt1m3ZNMgzYYQrpgHfM4Nk8n7fvT&#10;e856/Lu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VkOP2gAAAAkBAAAPAAAAAAAAAAEAIAAA&#10;ACIAAABkcnMvZG93bnJldi54bWxQSwECFAAUAAAACACHTuJA9dpyO0MCAAB2BAAADgAAAAAAAAAB&#10;ACAAAAAp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0.8</w:t>
                            </w:r>
                          </w:p>
                        </w:txbxContent>
                      </v:textbox>
                    </v:shape>
                  </w:pict>
                </mc:Fallback>
              </mc:AlternateContent>
            </w:r>
            <w:r>
              <w:rPr>
                <w:b w:val="0"/>
                <w:bCs/>
                <w:color w:val="auto"/>
                <w:sz w:val="24"/>
              </w:rPr>
              <mc:AlternateContent>
                <mc:Choice Requires="wps">
                  <w:drawing>
                    <wp:anchor distT="0" distB="0" distL="114300" distR="114300" simplePos="0" relativeHeight="251691008" behindDoc="0" locked="0" layoutInCell="1" allowOverlap="1">
                      <wp:simplePos x="0" y="0"/>
                      <wp:positionH relativeFrom="column">
                        <wp:posOffset>2531745</wp:posOffset>
                      </wp:positionH>
                      <wp:positionV relativeFrom="paragraph">
                        <wp:posOffset>106680</wp:posOffset>
                      </wp:positionV>
                      <wp:extent cx="702310" cy="285750"/>
                      <wp:effectExtent l="0" t="0" r="0" b="0"/>
                      <wp:wrapNone/>
                      <wp:docPr id="97" name="文本框 79"/>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199.35pt;margin-top:8.4pt;height:22.5pt;width:55.3pt;z-index:251691008;mso-width-relative:page;mso-height-relative:page;" filled="f" stroked="f" coordsize="21600,21600" o:gfxdata="UEsDBAoAAAAAAIdO4kAAAAAAAAAAAAAAAAAEAAAAZHJzL1BLAwQUAAAACACHTuJAkqrAH9oAAAAJ&#10;AQAADwAAAGRycy9kb3ducmV2LnhtbE2Py07DMBBF90j8gzVI7KidVg1piFOhSBUSgkVLN+yceJpE&#10;xOMQuw/4eoYVLEf36M65xfriBnHCKfSeNCQzBQKp8banVsP+bXOXgQjRkDWDJ9TwhQHW5fVVYXLr&#10;z7TF0y62gkso5EZDF+OYSxmaDp0JMz8icXbwkzORz6mVdjJnLneDnCuVSmd64g+dGbHqsPnYHZ2G&#10;52rzarb13GXfQ/X0cngcP/fvS61vbxL1ACLiJf7B8KvP6lCyU+2PZIMYNCxW2T2jHKQ8gYGlWi1A&#10;1BrSJANZFvL/gvIHUEsDBBQAAAAIAIdO4kDpKLqaQwIAAHUEAAAOAAAAZHJzL2Uyb0RvYy54bWyt&#10;VM1uEzEQviPxDpbvdJP0J23UTRVaFSFVtFJAnB2vt7uS7TG2093yAPAGPXHhznP1OfjsTdpSOPTA&#10;xRnPzH4z3zfjHJ/0RrMb5UNLtuTjnRFnykqqWntd8k8fz98cchaisJXQZFXJb1XgJ/PXr447N1MT&#10;akhXyjOA2DDrXMmbGN2sKIJslBFhh5yyCNbkjYi4+uui8qIDutHFZDQ6KDrylfMkVQjwng1BvkH0&#10;LwGkum6lOiO5NsrGAdUrLSIohaZ1gc9zt3WtZLys66Ai0yUH05hPFIG9SmcxPxazay9c08pNC+Il&#10;LTzjZERrUfQB6kxEwda+/QvKtNJToDruSDLFQCQrAhbj0TNtlo1wKnOB1ME9iB7+H6z8cHPlWVuV&#10;/GjKmRUGE7+/+37/49f9z29sepQE6lyYIW/pkBn7t9Rjbbb+AGfi3dfepF8wYohD3tsHeVUfmYRz&#10;OprsjhGRCE0O96f7Wf7i8WPnQ3ynyLBklNxjellUcXMRIhpB6jYl1bJ03mqdJ6gt60p+sAvIPyL4&#10;QtvkUXkXNjCJ0NB4smK/6jcsV1TdgqSnYU+Ck+ctWrkQIV4Jj8VA93g68RJHrQklaWNx1pD/+i9/&#10;yse8EOWsw6KVPHxZC6840+8tJnk03tsDbMyXvf3pBBf/NLJ6GrFrc0rY5TEeqZPZTPlRb83ak/mM&#10;F7ZIVRESVqJ2yePWPI3D+uOFSrVY5CTsohPxwi6dTNCDhIt1pLrNuieZBm0whHTBNuZxbF5OWven&#10;95z1+G8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qsAf2gAAAAkBAAAPAAAAAAAAAAEAIAAA&#10;ACIAAABkcnMvZG93bnJldi54bWxQSwECFAAUAAAACACHTuJA6Si6mkMCAAB1BAAADgAAAAAAAAAB&#10;ACAAAAAp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0.16</w:t>
                            </w:r>
                          </w:p>
                        </w:txbxContent>
                      </v:textbox>
                    </v:shape>
                  </w:pict>
                </mc:Fallback>
              </mc:AlternateContent>
            </w:r>
            <w:r>
              <w:rPr>
                <w:b w:val="0"/>
                <w:bCs/>
                <w:color w:val="auto"/>
                <w:sz w:val="24"/>
              </w:rPr>
              <mc:AlternateContent>
                <mc:Choice Requires="wps">
                  <w:drawing>
                    <wp:anchor distT="0" distB="0" distL="114300" distR="114300" simplePos="0" relativeHeight="251689984" behindDoc="0" locked="0" layoutInCell="1" allowOverlap="1">
                      <wp:simplePos x="0" y="0"/>
                      <wp:positionH relativeFrom="column">
                        <wp:posOffset>2099310</wp:posOffset>
                      </wp:positionH>
                      <wp:positionV relativeFrom="paragraph">
                        <wp:posOffset>212725</wp:posOffset>
                      </wp:positionV>
                      <wp:extent cx="398145" cy="242570"/>
                      <wp:effectExtent l="2540" t="0" r="18415" b="5080"/>
                      <wp:wrapNone/>
                      <wp:docPr id="96" name="直接箭头连接符 78"/>
                      <wp:cNvGraphicFramePr/>
                      <a:graphic xmlns:a="http://schemas.openxmlformats.org/drawingml/2006/main">
                        <a:graphicData uri="http://schemas.microsoft.com/office/word/2010/wordprocessingShape">
                          <wps:wsp>
                            <wps:cNvCnPr/>
                            <wps:spPr>
                              <a:xfrm flipV="1">
                                <a:off x="0" y="0"/>
                                <a:ext cx="398145" cy="242570"/>
                              </a:xfrm>
                              <a:prstGeom prst="straightConnector1">
                                <a:avLst/>
                              </a:prstGeom>
                              <a:noFill/>
                              <a:ln w="9525" cap="flat" cmpd="sng" algn="ctr">
                                <a:solidFill>
                                  <a:srgbClr val="000000"/>
                                </a:solidFill>
                                <a:prstDash val="dash"/>
                                <a:tailEnd type="arrow"/>
                              </a:ln>
                              <a:effectLst/>
                            </wps:spPr>
                            <wps:bodyPr/>
                          </wps:wsp>
                        </a:graphicData>
                      </a:graphic>
                    </wp:anchor>
                  </w:drawing>
                </mc:Choice>
                <mc:Fallback>
                  <w:pict>
                    <v:shape id="直接箭头连接符 78" o:spid="_x0000_s1026" o:spt="32" type="#_x0000_t32" style="position:absolute;left:0pt;flip:y;margin-left:165.3pt;margin-top:16.75pt;height:19.1pt;width:31.35pt;z-index:251689984;mso-width-relative:page;mso-height-relative:page;" filled="f" stroked="t" coordsize="21600,21600" o:gfxdata="UEsDBAoAAAAAAIdO4kAAAAAAAAAAAAAAAAAEAAAAZHJzL1BLAwQUAAAACACHTuJAF7vij9cAAAAJ&#10;AQAADwAAAGRycy9kb3ducmV2LnhtbE2PwU7DMAyG70i8Q2Qkbiwp2VYoTScY6hWJgaYds8ZrKxKn&#10;arKte3uyE9xs+dPv7y9Xk7PshGPoPSnIZgIYUuNNT62C76/64QlYiJqMtp5QwQUDrKrbm1IXxp/p&#10;E0+b2LIUQqHQCroYh4Lz0HTodJj5ASndDn50OqZ1bLkZ9TmFO8sfhVhyp3tKHzo94LrD5mdzdApe&#10;39aHOp9oMc94bur3j/n2YndK3d9l4gVYxCn+wXDVT+pQJae9P5IJzCqQUiwTeh0WwBIgn6UEtleQ&#10;ZznwquT/G1S/UEsDBBQAAAAIAIdO4kD3l94FCwIAAOQDAAAOAAAAZHJzL2Uyb0RvYy54bWytU81u&#10;EzEQviPxDpbvZJPQtGmUTQ8J5YIgEj93x+vdteQ/zbjZ5CV4ASROwKlw6p2ngfIYjL0hKuXSA3uw&#10;xvbON/N983l+sbOGbRWg9q7ko8GQM+Wkr7RrSv72zeWTKWcYhauE8U6VfK+QXyweP5p3YabGvvWm&#10;UsAIxOGsCyVvYwyzokDZKitw4INydFl7sCLSFpqiAtERujXFeDg8LToPVQAvFSKdrvpLfkCEhwD6&#10;utZSrby8ssrFHhWUEZEoYasD8kXutq6VjK/qGlVkpuTENOaVilC8SWuxmItZAyK0Wh5aEA9p4R4n&#10;K7SjokeolYiCXYH+B8pqCR59HQfS26InkhUhFqPhPW1etyKozIWkxnAUHf8frHy5XQPTVcnPTzlz&#10;wtLEbz/c/Hz/+fbb1x+fbn59/5ji6y/sbJrE6gLOKGfp1nDYYVhDYr6rwbLa6PCOXJW1IHZsl6Xe&#10;H6VWu8gkHT49n45OJpxJuhqfjCdneRRFD5PgAmB8rrxlKSg5RhC6aePSO0dD9dCXENsXGKkRSvyT&#10;kJKdv9TG5NkaxzoiNxmnYoL8WpNPKLSBOKNrOBOmoYcgI+Sm0RtdpeyEg9BslgbYViT75C+JQNX+&#10;+i2VXgls+/8qinpfRaHNM1exuA8kqwDw3SHduASvskEPDJKyvZYp2vhqnyUu0o6Gn6sejJrcdXdP&#10;8d3Hu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7vij9cAAAAJAQAADwAAAAAAAAABACAAAAAi&#10;AAAAZHJzL2Rvd25yZXYueG1sUEsBAhQAFAAAAAgAh07iQPeX3gULAgAA5AMAAA4AAAAAAAAAAQAg&#10;AAAAJgEAAGRycy9lMm9Eb2MueG1sUEsFBgAAAAAGAAYAWQEAAKMFAAAAAA==&#10;">
                      <v:fill on="f" focussize="0,0"/>
                      <v:stroke color="#000000" joinstyle="round" dashstyle="dash" endarrow="open"/>
                      <v:imagedata o:title=""/>
                      <o:lock v:ext="edit" aspectratio="f"/>
                    </v:shape>
                  </w:pict>
                </mc:Fallback>
              </mc:AlternateContent>
            </w:r>
          </w:p>
          <w:p>
            <w:pPr>
              <w:pStyle w:val="116"/>
              <w:rPr>
                <w:rFonts w:hint="eastAsia"/>
                <w:b w:val="0"/>
                <w:bCs/>
                <w:color w:val="auto"/>
                <w:highlight w:val="none"/>
              </w:rPr>
            </w:pPr>
            <w:r>
              <w:rPr>
                <w:b w:val="0"/>
                <w:bCs/>
                <w:color w:val="auto"/>
                <w:sz w:val="24"/>
              </w:rPr>
              <mc:AlternateContent>
                <mc:Choice Requires="wps">
                  <w:drawing>
                    <wp:anchor distT="0" distB="0" distL="114300" distR="114300" simplePos="0" relativeHeight="251695104" behindDoc="0" locked="0" layoutInCell="1" allowOverlap="1">
                      <wp:simplePos x="0" y="0"/>
                      <wp:positionH relativeFrom="column">
                        <wp:posOffset>3465195</wp:posOffset>
                      </wp:positionH>
                      <wp:positionV relativeFrom="paragraph">
                        <wp:posOffset>216535</wp:posOffset>
                      </wp:positionV>
                      <wp:extent cx="1003935" cy="285750"/>
                      <wp:effectExtent l="4445" t="4445" r="20320" b="14605"/>
                      <wp:wrapNone/>
                      <wp:docPr id="120" name="文本框 20"/>
                      <wp:cNvGraphicFramePr/>
                      <a:graphic xmlns:a="http://schemas.openxmlformats.org/drawingml/2006/main">
                        <a:graphicData uri="http://schemas.microsoft.com/office/word/2010/wordprocessingShape">
                          <wps:wsp>
                            <wps:cNvSpPr txBox="1"/>
                            <wps:spPr>
                              <a:xfrm>
                                <a:off x="0" y="0"/>
                                <a:ext cx="1003935" cy="285750"/>
                              </a:xfrm>
                              <a:prstGeom prst="rect">
                                <a:avLst/>
                              </a:prstGeom>
                              <a:solidFill>
                                <a:srgbClr val="FFFFFF"/>
                              </a:solidFill>
                              <a:ln w="6350">
                                <a:solidFill>
                                  <a:prstClr val="black"/>
                                </a:solidFill>
                              </a:ln>
                              <a:effectLst/>
                            </wps:spPr>
                            <wps:txbx>
                              <w:txbxContent>
                                <w:p>
                                  <w:pPr>
                                    <w:rPr>
                                      <w:rFonts w:hint="eastAsia" w:eastAsia="宋体"/>
                                      <w:lang w:val="en-US" w:eastAsia="zh-CN"/>
                                    </w:rPr>
                                  </w:pPr>
                                  <w:r>
                                    <w:rPr>
                                      <w:rFonts w:hint="eastAsia"/>
                                      <w:lang w:val="en-US" w:eastAsia="zh-CN"/>
                                    </w:rPr>
                                    <w:t>市政管网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272.85pt;margin-top:17.05pt;height:22.5pt;width:79.05pt;z-index:251695104;mso-width-relative:page;mso-height-relative:page;" fillcolor="#FFFFFF" filled="t" stroked="t" coordsize="21600,21600" o:gfxdata="UEsDBAoAAAAAAIdO4kAAAAAAAAAAAAAAAAAEAAAAZHJzL1BLAwQUAAAACACHTuJAbesz+dYAAAAJ&#10;AQAADwAAAGRycy9kb3ducmV2LnhtbE2PTU/DMAyG70j8h8hI3FjSdR9Qmk4CCQlxY/TCLWu8tiJx&#10;qiRbx7/HnOBmy49eP2+9u3gnzhjTGEhDsVAgkLpgR+o1tB8vd/cgUjZkjQuEGr4xwa65vqpNZcNM&#10;73je515wCKXKaBhyniopUzegN2kRJiS+HUP0JvMae2mjmTncO7lUaiO9GYk/DGbC5wG7r/3Ja3jd&#10;POVPbO2bLZdlmFvZxaNLWt/eFOoRRMZL/oPhV5/VoWGnQziRTcJpWK/WW0Y1lKsCBANbVXKXAw8P&#10;Bcimlv8bND9QSwMEFAAAAAgAh07iQDie9MhgAgAAyAQAAA4AAABkcnMvZTJvRG9jLnhtbK1UzW4T&#10;MRC+I/EOlu90k7TpT9RNFVoFIVW0UkGcHa83a+E/bCe75QHoG3Diwp3n6nPw2ZukpeXQAzk4M57x&#10;NzPfzOzpWacVWQsfpDUlHe4NKBGG20qaZUk/fZy/OaYkRGYqpqwRJb0VgZ5NX786bd1EjGxjVSU8&#10;AYgJk9aVtInRTYoi8EZoFvasEwbG2nrNIlS/LCrPWqBrVYwGg8Oitb5y3nIRAm4veiPdIPqXANq6&#10;llxcWL7SwsQe1QvFIkoKjXSBTnO2dS14vKrrICJRJUWlMZ8IAnmRzmJ6yiZLz1wj+SYF9pIUntSk&#10;mTQIuoO6YJGRlZfPoLTk3gZbxz1uddEXkhlBFcPBE25uGuZErgVUB7cjPfw/WP5hfe2JrDAJI3Bi&#10;mEbL73/c3f/8ff/rO8EdGGpdmMDxxsE1dm9tB+/tfcBlKryrvU7/KInADqzbHb+ii4SnR4PB/sn+&#10;mBIO2+h4fDTO8MXDa+dDfCesJkkoqUf/Mq1sfRkiMoHr1iUFC1bJai6VyopfLs6VJ2uGXs/zLyWJ&#10;J3+5KUPakh7uI/YziIS9g1goxr88RwCeMumlyOO1yStR1FORpNgtug1vC1vdgjZv+9ELjs8lolyy&#10;EK+Zx6yBKWxjvMJRK4vU7EaipLH+27/ukz9GAFZKWsxuScPXFfOCEvXeYDhOhgcHgI1ZORgfpc76&#10;x5bFY4tZ6XMLyobYe8ezmPyj2oq1t/ozlnaWosLEDEfsksateB77jcLSczGbZSeMt2Px0tw4nqAT&#10;YcbOVtHWMjcy0dRzgxYlBQOem7VZxrRBj/Xs9fABm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esz+dYAAAAJAQAADwAAAAAAAAABACAAAAAiAAAAZHJzL2Rvd25yZXYueG1sUEsBAhQAFAAAAAgA&#10;h07iQDie9MhgAgAAyAQAAA4AAAAAAAAAAQAgAAAAJQEAAGRycy9lMm9Eb2MueG1sUEsFBgAAAAAG&#10;AAYAWQEAAPcFAAAAAA==&#10;">
                      <v:fill on="t" focussize="0,0"/>
                      <v:stroke weight="0.5pt" color="#000000" joinstyle="round"/>
                      <v:imagedata o:title=""/>
                      <o:lock v:ext="edit" aspectratio="f"/>
                      <v:textbox>
                        <w:txbxContent>
                          <w:p>
                            <w:pPr>
                              <w:rPr>
                                <w:rFonts w:hint="eastAsia" w:eastAsia="宋体"/>
                                <w:lang w:val="en-US" w:eastAsia="zh-CN"/>
                              </w:rPr>
                            </w:pPr>
                            <w:r>
                              <w:rPr>
                                <w:rFonts w:hint="eastAsia"/>
                                <w:lang w:val="en-US" w:eastAsia="zh-CN"/>
                              </w:rPr>
                              <w:t>市政管网</w:t>
                            </w:r>
                          </w:p>
                        </w:txbxContent>
                      </v:textbox>
                    </v:shape>
                  </w:pict>
                </mc:Fallback>
              </mc:AlternateContent>
            </w:r>
            <w:r>
              <w:rPr>
                <w:b w:val="0"/>
                <w:bCs/>
                <w:color w:val="auto"/>
                <w:sz w:val="24"/>
              </w:rPr>
              <mc:AlternateContent>
                <mc:Choice Requires="wps">
                  <w:drawing>
                    <wp:anchor distT="0" distB="0" distL="114300" distR="114300" simplePos="0" relativeHeight="251694080" behindDoc="0" locked="0" layoutInCell="1" allowOverlap="1">
                      <wp:simplePos x="0" y="0"/>
                      <wp:positionH relativeFrom="column">
                        <wp:posOffset>2852420</wp:posOffset>
                      </wp:positionH>
                      <wp:positionV relativeFrom="paragraph">
                        <wp:posOffset>54610</wp:posOffset>
                      </wp:positionV>
                      <wp:extent cx="702310" cy="285750"/>
                      <wp:effectExtent l="0" t="0" r="0" b="0"/>
                      <wp:wrapNone/>
                      <wp:docPr id="119" name="文本框 79"/>
                      <wp:cNvGraphicFramePr/>
                      <a:graphic xmlns:a="http://schemas.openxmlformats.org/drawingml/2006/main">
                        <a:graphicData uri="http://schemas.microsoft.com/office/word/2010/wordprocessingShape">
                          <wps:wsp>
                            <wps:cNvSpPr txBox="1"/>
                            <wps:spPr>
                              <a:xfrm>
                                <a:off x="0" y="0"/>
                                <a:ext cx="702310" cy="285750"/>
                              </a:xfrm>
                              <a:prstGeom prst="rect">
                                <a:avLst/>
                              </a:prstGeom>
                              <a:noFill/>
                              <a:ln w="6350">
                                <a:noFill/>
                              </a:ln>
                              <a:effectLst/>
                            </wps:spPr>
                            <wps:txbx>
                              <w:txbxContent>
                                <w:p>
                                  <w:pPr>
                                    <w:rPr>
                                      <w:rFonts w:hint="default" w:eastAsia="宋体"/>
                                      <w:lang w:val="en-US" w:eastAsia="zh-CN"/>
                                    </w:rPr>
                                  </w:pPr>
                                  <w:r>
                                    <w:rPr>
                                      <w:rFonts w:hint="eastAsia"/>
                                      <w:lang w:val="en-US" w:eastAsia="zh-CN"/>
                                    </w:rPr>
                                    <w:t>0.64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224.6pt;margin-top:4.3pt;height:22.5pt;width:55.3pt;z-index:251694080;mso-width-relative:page;mso-height-relative:page;" filled="f" stroked="f" coordsize="21600,21600" o:gfxdata="UEsDBAoAAAAAAIdO4kAAAAAAAAAAAAAAAAAEAAAAZHJzL1BLAwQUAAAACACHTuJASTXYWNoAAAAI&#10;AQAADwAAAGRycy9kb3ducmV2LnhtbE2PzU7DMBCE75V4B2uRuLVOQxOlIU6FIlVICA4tvXDbxG4S&#10;Ea9D7P7A07Oc4LajGc1+U2yudhBnM/nekYLlIgJhqHG6p1bB4W07z0D4gKRxcGQUfBkPm/JmVmCu&#10;3YV25rwPreAS8jkq6EIYcyl90xmLfuFGQ+wd3WQxsJxaqSe8cLkdZBxFqbTYE3/ocDRVZ5qP/ckq&#10;eK62r7irY5t9D9XTy/Fx/Dy8J0rd3S6jBxDBXMNfGH7xGR1KZqrdibQXg4LVah1zVEGWgmA/SdY8&#10;pebjPgVZFvL/gPIHUEsDBBQAAAAIAIdO4kANdGTpQwIAAHYEAAAOAAAAZHJzL2Uyb0RvYy54bWyt&#10;VM1uEzEQviPxDpbvdJP0J23UTRVaFSFVtFJAnB2vt7uS7TG2093yAPAGPXHhznP1OfjsTdpSOPTA&#10;xRnPzH4z3zfjHJ/0RrMb5UNLtuTjnRFnykqqWntd8k8fz98cchaisJXQZFXJb1XgJ/PXr447N1MT&#10;akhXyjOA2DDrXMmbGN2sKIJslBFhh5yyCNbkjYi4+uui8qIDutHFZDQ6KDrylfMkVQjwng1BvkH0&#10;LwGkum6lOiO5NsrGAdUrLSIohaZ1gc9zt3WtZLys66Ai0yUH05hPFIG9SmcxPxazay9c08pNC+Il&#10;LTzjZERrUfQB6kxEwda+/QvKtNJToDruSDLFQCQrAhbj0TNtlo1wKnOB1ME9iB7+H6z8cHPlWVth&#10;E8ZHnFlhMPL7u+/3P37d//zGpkdJoc6FGRKXDqmxf0s9srf+AGci3tfepF9QYohD39sHfVUfmYRz&#10;OprsjhGRCE0O96f7Wf/i8WPnQ3ynyLBklNxjfFlVcXMRIhpB6jYl1bJ03mqdR6gt60p+sAvIPyL4&#10;QtvkUXkZNjCJ0NB4smK/6jcsV1TdgqSnYVGCk+ctWrkQIV4Jj81A93g78RJHrQklaWNx1pD/+i9/&#10;ysfAEOWsw6aVPHxZC6840+8tRnk03tsDbMyXvf3pBBf/NLJ6GrFrc0pY5jFeqZPZTPlRb83ak/mM&#10;J7ZIVRESVqJ2yePWPI3D/uOJSrVY5CQsoxPxwi6dTNCDhIt1pLrNuieZBm0whHTBOuZxbJ5O2ven&#10;95z1+H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NdhY2gAAAAgBAAAPAAAAAAAAAAEAIAAA&#10;ACIAAABkcnMvZG93bnJldi54bWxQSwECFAAUAAAACACHTuJADXRk6UMCAAB2BAAADgAAAAAAAAAB&#10;ACAAAAAp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0.64</w:t>
                            </w:r>
                          </w:p>
                        </w:txbxContent>
                      </v:textbox>
                    </v:shape>
                  </w:pict>
                </mc:Fallback>
              </mc:AlternateContent>
            </w:r>
            <w:r>
              <w:rPr>
                <w:b w:val="0"/>
                <w:bCs/>
                <w:color w:val="auto"/>
                <w:sz w:val="24"/>
              </w:rPr>
              <mc:AlternateContent>
                <mc:Choice Requires="wps">
                  <w:drawing>
                    <wp:anchor distT="0" distB="0" distL="114300" distR="114300" simplePos="0" relativeHeight="251688960" behindDoc="0" locked="0" layoutInCell="1" allowOverlap="1">
                      <wp:simplePos x="0" y="0"/>
                      <wp:positionH relativeFrom="column">
                        <wp:posOffset>1743710</wp:posOffset>
                      </wp:positionH>
                      <wp:positionV relativeFrom="paragraph">
                        <wp:posOffset>183515</wp:posOffset>
                      </wp:positionV>
                      <wp:extent cx="1003935" cy="285750"/>
                      <wp:effectExtent l="4445" t="4445" r="20320" b="14605"/>
                      <wp:wrapNone/>
                      <wp:docPr id="92" name="文本框 55"/>
                      <wp:cNvGraphicFramePr/>
                      <a:graphic xmlns:a="http://schemas.openxmlformats.org/drawingml/2006/main">
                        <a:graphicData uri="http://schemas.microsoft.com/office/word/2010/wordprocessingShape">
                          <wps:wsp>
                            <wps:cNvSpPr txBox="1"/>
                            <wps:spPr>
                              <a:xfrm>
                                <a:off x="0" y="0"/>
                                <a:ext cx="1003935" cy="285750"/>
                              </a:xfrm>
                              <a:prstGeom prst="rect">
                                <a:avLst/>
                              </a:prstGeom>
                              <a:solidFill>
                                <a:srgbClr val="FFFFFF"/>
                              </a:solidFill>
                              <a:ln w="6350">
                                <a:solidFill>
                                  <a:prstClr val="black"/>
                                </a:solidFill>
                              </a:ln>
                              <a:effectLst/>
                            </wps:spPr>
                            <wps:txbx>
                              <w:txbxContent>
                                <w:p>
                                  <w:r>
                                    <w:rPr>
                                      <w:rFonts w:hint="eastAsia"/>
                                      <w:lang w:val="en-US" w:eastAsia="zh-CN"/>
                                    </w:rPr>
                                    <w:t>生活</w:t>
                                  </w:r>
                                  <w:r>
                                    <w:rPr>
                                      <w:rFonts w:hint="eastAsia"/>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37.3pt;margin-top:14.45pt;height:22.5pt;width:79.05pt;z-index:251688960;mso-width-relative:page;mso-height-relative:page;" fillcolor="#FFFFFF" filled="t" stroked="t" coordsize="21600,21600" o:gfxdata="UEsDBAoAAAAAAIdO4kAAAAAAAAAAAAAAAAAEAAAAZHJzL1BLAwQUAAAACACHTuJAX0jr1NcAAAAJ&#10;AQAADwAAAGRycy9kb3ducmV2LnhtbE2PwU7DMAyG70i8Q2QkbixdO7VbaToJJCTEjdELt6zx2orE&#10;qZJsHW+POcHNlj/9/v5mf3VWXDDEyZOC9SoDgdR7M9GgoPt4ediCiEmT0dYTKvjGCPv29qbRtfEL&#10;vePlkAbBIRRrrWBMaa6ljP2ITseVn5H4dvLB6cRrGKQJeuFwZ2WeZaV0eiL+MOoZn0fsvw5np+C1&#10;fEqf2Jk3U+SFXzrZh5ONSt3frbNHEAmv6Q+GX31Wh5adjv5MJgqrIK82JaM8bHcgGNgUeQXiqKAq&#10;diDbRv5v0P4AUEsDBBQAAAAIAIdO4kD9cbk+YQIAAMcEAAAOAAAAZHJzL2Uyb0RvYy54bWytVM1u&#10;EzEQviPxDpbvZPPbnyibKrQKQqpopYA4O15v1sL2GNvJbngA+gacuHDnufocjL1JGhoOPZCDM+MZ&#10;fzPzzcxOrhqtyEY4L8HktNfpUiIMh0KaVU4/fZy/uaDEB2YKpsCInG6Fp1fT168mtR2LPlSgCuEI&#10;ghg/rm1OqxDsOMs8r4RmvgNWGDSW4DQLqLpVVjhWI7pWWb/bPctqcIV1wIX3eHvTGukO0b0EEMpS&#10;cnEDfK2FCS2qE4oFLMlX0no6TdmWpeDhriy9CETlFCsN6cQgKC/jmU0nbLxyzFaS71JgL0nhWU2a&#10;SYNBD1A3LDCydvIESkvuwEMZOhx01haSGMEqet1n3CwqZkWqBan29kC6/3+w/MPm3hFZ5PSyT4lh&#10;Gjv++OPh8efvx1/fyWgUCaqtH6PfwqJnaN5Cg2Ozv/d4GetuSqfjP1ZE0I70bg/0iiYQHh91u4PL&#10;wYgSjrb+xeh8lPjPnl5b58M7AZpEIacO25dYZZtbHzATdN27xGAelCzmUqmkuNXyWjmyYdjqefrF&#10;JPHJX27KkDqnZwOMfQIRsQ8QS8X4l1MExFMmvhRpunZ5RYpaKqIUmmWz420JxRZpc9BOnrd8LjHK&#10;LfPhnjkcNWQKlzHc4VEqwNRgJ1FSgfv2r/vojxOAVkpqHN2c+q9r5gQl6r3B2bjsDYdx1pMyHJ33&#10;UXHHluWxxaz1NSBlPVx7y5MY/YPai6UD/Rl3dhajookZjrFzGvbidWgXCneei9ksOeF0WxZuzcLy&#10;CB0JMzBbByhlamSkqeUGWxQVnO/UrN0uxgU61pPX0/d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SOvU1wAAAAkBAAAPAAAAAAAAAAEAIAAAACIAAABkcnMvZG93bnJldi54bWxQSwECFAAUAAAA&#10;CACHTuJA/XG5PmECAADHBAAADgAAAAAAAAABACAAAAAmAQAAZHJzL2Uyb0RvYy54bWxQSwUGAAAA&#10;AAYABgBZAQAA+QUAAAAA&#10;">
                      <v:fill on="t" focussize="0,0"/>
                      <v:stroke weight="0.5pt" color="#000000" joinstyle="round"/>
                      <v:imagedata o:title=""/>
                      <o:lock v:ext="edit" aspectratio="f"/>
                      <v:textbox>
                        <w:txbxContent>
                          <w:p>
                            <w:r>
                              <w:rPr>
                                <w:rFonts w:hint="eastAsia"/>
                                <w:lang w:val="en-US" w:eastAsia="zh-CN"/>
                              </w:rPr>
                              <w:t>生活</w:t>
                            </w:r>
                            <w:r>
                              <w:rPr>
                                <w:rFonts w:hint="eastAsia"/>
                              </w:rPr>
                              <w:t>用水</w:t>
                            </w:r>
                          </w:p>
                        </w:txbxContent>
                      </v:textbox>
                    </v:shape>
                  </w:pict>
                </mc:Fallback>
              </mc:AlternateContent>
            </w:r>
          </w:p>
          <w:p>
            <w:pPr>
              <w:pStyle w:val="116"/>
              <w:rPr>
                <w:rFonts w:hint="eastAsia"/>
                <w:b w:val="0"/>
                <w:bCs/>
                <w:color w:val="auto"/>
                <w:highlight w:val="none"/>
              </w:rPr>
            </w:pPr>
            <w:r>
              <w:rPr>
                <w:b w:val="0"/>
                <w:bCs/>
                <w:color w:val="auto"/>
                <w:sz w:val="24"/>
              </w:rPr>
              <mc:AlternateContent>
                <mc:Choice Requires="wps">
                  <w:drawing>
                    <wp:anchor distT="0" distB="0" distL="114300" distR="114300" simplePos="0" relativeHeight="251693056" behindDoc="0" locked="0" layoutInCell="1" allowOverlap="1">
                      <wp:simplePos x="0" y="0"/>
                      <wp:positionH relativeFrom="column">
                        <wp:posOffset>2770505</wp:posOffset>
                      </wp:positionH>
                      <wp:positionV relativeFrom="paragraph">
                        <wp:posOffset>31750</wp:posOffset>
                      </wp:positionV>
                      <wp:extent cx="666115" cy="3810"/>
                      <wp:effectExtent l="0" t="48895" r="635" b="61595"/>
                      <wp:wrapNone/>
                      <wp:docPr id="118" name="直接箭头连接符 52"/>
                      <wp:cNvGraphicFramePr/>
                      <a:graphic xmlns:a="http://schemas.openxmlformats.org/drawingml/2006/main">
                        <a:graphicData uri="http://schemas.microsoft.com/office/word/2010/wordprocessingShape">
                          <wps:wsp>
                            <wps:cNvCnPr/>
                            <wps:spPr>
                              <a:xfrm flipV="1">
                                <a:off x="0" y="0"/>
                                <a:ext cx="666115" cy="381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52" o:spid="_x0000_s1026" o:spt="32" type="#_x0000_t32" style="position:absolute;left:0pt;flip:y;margin-left:218.15pt;margin-top:2.5pt;height:0.3pt;width:52.45pt;z-index:251693056;mso-width-relative:page;mso-height-relative:page;" filled="f" stroked="t" coordsize="21600,21600" o:gfxdata="UEsDBAoAAAAAAIdO4kAAAAAAAAAAAAAAAAAEAAAAZHJzL1BLAwQUAAAACACHTuJAO3LEddYAAAAH&#10;AQAADwAAAGRycy9kb3ducmV2LnhtbE2PwU7DMBBE70j8g7WVuFE7bRKhEKcHECe4UJCq3tx4idPG&#10;drDdJvw9y4neZjWjmbf1ZrYDu2CIvXcSsqUAhq71unedhM+Pl/sHYDEpp9XgHUr4wQib5vamVpX2&#10;k3vHyzZ1jEpcrJQEk9JYcR5bg1bFpR/Rkfflg1WJztBxHdRE5XbgKyFKblXvaMGoEZ8Mtqft2UrY&#10;vYl9Mftgjvvv3Lz2z93uaCcp7xaZeASWcE7/YfjDJ3RoiOngz05HNkjI1+WaohIKeon8Is9WwA4k&#10;SuBNza/5m19QSwMEFAAAAAgAh07iQGJCJHMIAgAA5AMAAA4AAABkcnMvZTJvRG9jLnhtbK1TzY7T&#10;MBC+I/EOlu80TVGrpWq6h5blgmAlfu6u4ySW/KcZb9O+BC+AxAk4Aae98zSwPAZjJ1TLctkDOVgz&#10;nsw3830zXp0frGF7Bai9q3g5mXKmnPS1dm3F37y+eHTGGUbhamG8UxU/KuTn64cPVn1YqpnvvKkV&#10;MAJxuOxDxbsYw7IoUHbKCpz4oBwFGw9WRHKhLWoQPaFbU8ym00XRe6gDeKkQ6XY7BPmICPcB9E2j&#10;pdp6eWWViwMqKCMiUcJOB+Tr3G3TKBlfNg2qyEzFiWnMJxUhe5fOYr0SyxZE6LQcWxD3aeEOJyu0&#10;o6InqK2Igl2B/gfKagkefRMn0ttiIJIVIRbl9I42rzoRVOZCUmM4iY7/D1a+2F8C0zVtQkmDd8LS&#10;yG/eX/989+nm29cfH69/ff+Q7C+f2XyW1OoDLilp4y5h9DBcQqJ+aMCyxujwlsCyGESPHbLWx5PW&#10;6hCZpMvFYlGWc84khR6flXkSxQCSwAJgfKa8ZcmoOEYQuu3ixjtHM/UwFBD75xipDUr8k5CSnb/Q&#10;xuTRGsf6ij+Zz1IpQeva0JqQaQNRRtdyJkxL70BGyC2jN7pO2QkHod1tDLC9SNuTvyQBVfvrt1R6&#10;K7Ab/suhYa+i0Oapq1k8BlJVAPh+zDcu4au8oCOFJOwgZbJ2vj5mhYvk0fBz2XFR03bd9sm+/T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csR11gAAAAcBAAAPAAAAAAAAAAEAIAAAACIAAABk&#10;cnMvZG93bnJldi54bWxQSwECFAAUAAAACACHTuJAYkIkcwgCAADkAwAADgAAAAAAAAABACAAAAAl&#10;AQAAZHJzL2Uyb0RvYy54bWxQSwUGAAAAAAYABgBZAQAAnwUAAAAA&#10;">
                      <v:fill on="f" focussize="0,0"/>
                      <v:stroke color="#000000" joinstyle="round" endarrow="open"/>
                      <v:imagedata o:title=""/>
                      <o:lock v:ext="edit" aspectratio="f"/>
                    </v:shape>
                  </w:pict>
                </mc:Fallback>
              </mc:AlternateContent>
            </w:r>
            <w:r>
              <w:rPr>
                <w:b w:val="0"/>
                <w:bCs/>
                <w:color w:val="auto"/>
                <w:sz w:val="24"/>
              </w:rPr>
              <mc:AlternateContent>
                <mc:Choice Requires="wps">
                  <w:drawing>
                    <wp:anchor distT="0" distB="0" distL="114300" distR="114300" simplePos="0" relativeHeight="251687936" behindDoc="0" locked="0" layoutInCell="1" allowOverlap="1">
                      <wp:simplePos x="0" y="0"/>
                      <wp:positionH relativeFrom="column">
                        <wp:posOffset>1436370</wp:posOffset>
                      </wp:positionH>
                      <wp:positionV relativeFrom="paragraph">
                        <wp:posOffset>8890</wp:posOffset>
                      </wp:positionV>
                      <wp:extent cx="291465" cy="12065"/>
                      <wp:effectExtent l="0" t="45720" r="13335" b="56515"/>
                      <wp:wrapNone/>
                      <wp:docPr id="90" name="直接箭头连接符 52"/>
                      <wp:cNvGraphicFramePr/>
                      <a:graphic xmlns:a="http://schemas.openxmlformats.org/drawingml/2006/main">
                        <a:graphicData uri="http://schemas.microsoft.com/office/word/2010/wordprocessingShape">
                          <wps:wsp>
                            <wps:cNvCnPr/>
                            <wps:spPr>
                              <a:xfrm flipV="1">
                                <a:off x="0" y="0"/>
                                <a:ext cx="291465" cy="1206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52" o:spid="_x0000_s1026" o:spt="32" type="#_x0000_t32" style="position:absolute;left:0pt;flip:y;margin-left:113.1pt;margin-top:0.7pt;height:0.95pt;width:22.95pt;z-index:251687936;mso-width-relative:page;mso-height-relative:page;" filled="f" stroked="t" coordsize="21600,21600" o:gfxdata="UEsDBAoAAAAAAIdO4kAAAAAAAAAAAAAAAAAEAAAAZHJzL1BLAwQUAAAACACHTuJAZuZbOtUAAAAH&#10;AQAADwAAAGRycy9kb3ducmV2LnhtbE2OsU7DMBRFdyT+wXpIbNSOWwpK43QAMcFCi1R1c+NHnDZ+&#10;DrbbhL/HTDBenat7T7WeXM8uGGLnSUExE8CQGm86ahV8bF/uHoHFpMno3hMq+MYI6/r6qtKl8SO9&#10;42WTWpZHKJZagU1pKDmPjUWn48wPSJl9+uB0yjG03AQ95nHXcynEkjvdUX6wesAni81pc3YKdm9i&#10;fz/5YI/7r4V97Z7b3dGNSt3eFGIFLOGU/srwq5/Voc5OB38mE1mvQMqlzNUMFsAylw+yAHZQMJ8D&#10;ryv+37/+AVBLAwQUAAAACACHTuJAr+6U7QYCAADkAwAADgAAAGRycy9lMm9Eb2MueG1srVO9jhMx&#10;EO6ReAfLPdkkIidulc0VCUeDIBI//cTr3bXkP4192eQleAEkKqACqut5Gjgeg7F3iY6juQIX1ozH&#10;8818n8fLi4PRbC8xKGcrPptMOZNWuFrZtuJvXl8+esJZiGBr0M7Kih9l4Berhw+WvS/l3HVO1xIZ&#10;gdhQ9r7iXYy+LIogOmkgTJyXloKNQwORXGyLGqEndKOL+XR6VvQOa49OyBDodDME+YiI9wF0TaOE&#10;3DhxZaSNAypKDZEohU75wFe526aRIr5smiAj0xUnpjHvVITsXdqL1RLKFsF3SowtwH1auMPJgLJU&#10;9AS1gQjsCtU/UEYJdME1cSKcKQYiWRFiMZve0eZVB15mLiR18CfRw/+DFS/2W2Sqrvg5SWLB0Ivf&#10;vL/++e7TzbevPz5e//r+IdlfPrPFPInV+1BSztpucfSC32JifmjQsEYr/5amKmtB7NghS308SS0P&#10;kQk6nJ/PHp8tOBMUms2nZBJcMaAkNI8hPpPOsGRUPEQE1XZx7aylN3U4VID98xCHxD8JKdm6S6U1&#10;nUOpLeuJ22KeagGNa0NjQqbxRDnYljPQLf0DETH3HJxWdcpOyQHb3Voj20OanrzGNv+6lkpvIHTD&#10;vRxK16CMoPRTW7N49CQrILp+zNc2xWUe0JFCUnbQMlk7Vx+zxEXy6PGzOuOgpum67ZN9+3O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5ls61QAAAAcBAAAPAAAAAAAAAAEAIAAAACIAAABkcnMv&#10;ZG93bnJldi54bWxQSwECFAAUAAAACACHTuJAr+6U7QYCAADkAwAADgAAAAAAAAABACAAAAAkAQAA&#10;ZHJzL2Uyb0RvYy54bWxQSwUGAAAAAAYABgBZAQAAnAUAAAAA&#10;">
                      <v:fill on="f" focussize="0,0"/>
                      <v:stroke color="#000000" joinstyle="round" endarrow="open"/>
                      <v:imagedata o:title=""/>
                      <o:lock v:ext="edit" aspectratio="f"/>
                    </v:shape>
                  </w:pict>
                </mc:Fallback>
              </mc:AlternateContent>
            </w:r>
          </w:p>
          <w:p>
            <w:pPr>
              <w:pStyle w:val="116"/>
              <w:rPr>
                <w:b w:val="0"/>
                <w:bCs/>
                <w:color w:val="auto"/>
                <w:highlight w:val="none"/>
              </w:rPr>
            </w:pPr>
            <w:r>
              <w:rPr>
                <w:rFonts w:hint="eastAsia"/>
                <w:b w:val="0"/>
                <w:bCs/>
                <w:color w:val="auto"/>
                <w:highlight w:val="none"/>
              </w:rPr>
              <w:t xml:space="preserve">图2-1  </w:t>
            </w:r>
            <w:r>
              <w:rPr>
                <w:rFonts w:hint="eastAsia"/>
                <w:b w:val="0"/>
                <w:bCs/>
                <w:color w:val="auto"/>
                <w:highlight w:val="none"/>
                <w:lang w:val="en-US" w:eastAsia="zh-CN"/>
              </w:rPr>
              <w:t>本项目投产后全厂</w:t>
            </w:r>
            <w:r>
              <w:rPr>
                <w:rFonts w:hint="eastAsia"/>
                <w:b w:val="0"/>
                <w:bCs/>
                <w:color w:val="auto"/>
                <w:highlight w:val="none"/>
              </w:rPr>
              <w:t>水平衡图（t/d）</w:t>
            </w:r>
          </w:p>
          <w:p>
            <w:pPr>
              <w:adjustRightInd w:val="0"/>
              <w:snapToGrid w:val="0"/>
              <w:spacing w:line="360" w:lineRule="auto"/>
              <w:ind w:firstLine="480" w:firstLineChars="200"/>
              <w:rPr>
                <w:b w:val="0"/>
                <w:bCs/>
                <w:color w:val="auto"/>
                <w:sz w:val="24"/>
              </w:rPr>
            </w:pPr>
          </w:p>
          <w:p>
            <w:pPr>
              <w:adjustRightInd w:val="0"/>
              <w:snapToGrid w:val="0"/>
              <w:spacing w:line="360" w:lineRule="auto"/>
              <w:ind w:firstLine="480" w:firstLineChars="200"/>
              <w:rPr>
                <w:b w:val="0"/>
                <w:bCs/>
                <w:color w:val="auto"/>
                <w:sz w:val="24"/>
              </w:rPr>
            </w:pPr>
            <w:r>
              <w:rPr>
                <w:b w:val="0"/>
                <w:bCs/>
                <w:color w:val="auto"/>
                <w:sz w:val="24"/>
              </w:rPr>
              <w:t>（2）供电</w:t>
            </w:r>
          </w:p>
          <w:p>
            <w:pPr>
              <w:adjustRightInd w:val="0"/>
              <w:snapToGrid w:val="0"/>
              <w:spacing w:line="360" w:lineRule="auto"/>
              <w:ind w:firstLine="480" w:firstLineChars="200"/>
              <w:rPr>
                <w:b w:val="0"/>
                <w:bCs/>
                <w:color w:val="auto"/>
                <w:sz w:val="24"/>
              </w:rPr>
            </w:pPr>
            <w:r>
              <w:rPr>
                <w:rFonts w:hint="eastAsia"/>
                <w:b w:val="0"/>
                <w:bCs/>
                <w:color w:val="auto"/>
                <w:sz w:val="24"/>
              </w:rPr>
              <w:t>采用市政供电</w:t>
            </w:r>
            <w:r>
              <w:rPr>
                <w:b w:val="0"/>
                <w:bCs/>
                <w:color w:val="auto"/>
                <w:sz w:val="24"/>
              </w:rPr>
              <w:t>。</w:t>
            </w:r>
          </w:p>
          <w:p>
            <w:pPr>
              <w:adjustRightInd w:val="0"/>
              <w:snapToGrid w:val="0"/>
              <w:spacing w:line="360" w:lineRule="auto"/>
              <w:ind w:firstLine="480" w:firstLineChars="200"/>
              <w:rPr>
                <w:b w:val="0"/>
                <w:bCs/>
                <w:color w:val="auto"/>
                <w:sz w:val="24"/>
              </w:rPr>
            </w:pPr>
            <w:r>
              <w:rPr>
                <w:b w:val="0"/>
                <w:bCs/>
                <w:color w:val="auto"/>
                <w:sz w:val="24"/>
              </w:rPr>
              <w:t>（3）采暖</w:t>
            </w:r>
          </w:p>
          <w:p>
            <w:pPr>
              <w:spacing w:line="360" w:lineRule="auto"/>
              <w:ind w:firstLine="480"/>
              <w:rPr>
                <w:b w:val="0"/>
                <w:bCs/>
                <w:color w:val="auto"/>
                <w:sz w:val="24"/>
              </w:rPr>
            </w:pPr>
            <w:r>
              <w:rPr>
                <w:rFonts w:hint="eastAsia"/>
                <w:b w:val="0"/>
                <w:bCs/>
                <w:color w:val="auto"/>
                <w:sz w:val="24"/>
              </w:rPr>
              <w:t>本项目冬季不生产，不需采暖供热，生产用热用导热油炉和燃烧器，年燃用</w:t>
            </w:r>
            <w:r>
              <w:rPr>
                <w:rFonts w:hint="eastAsia"/>
                <w:b w:val="0"/>
                <w:bCs/>
                <w:color w:val="auto"/>
                <w:sz w:val="24"/>
                <w:lang w:val="en-US" w:eastAsia="zh-CN"/>
              </w:rPr>
              <w:t>柴油</w:t>
            </w:r>
            <w:r>
              <w:rPr>
                <w:rFonts w:hint="eastAsia"/>
                <w:b w:val="0"/>
                <w:bCs/>
                <w:color w:val="auto"/>
                <w:sz w:val="24"/>
                <w:highlight w:val="none"/>
                <w:lang w:val="en-US" w:eastAsia="zh-CN"/>
              </w:rPr>
              <w:t>30</w:t>
            </w:r>
            <w:r>
              <w:rPr>
                <w:rFonts w:hint="eastAsia"/>
                <w:b w:val="0"/>
                <w:bCs/>
                <w:color w:val="auto"/>
                <w:sz w:val="24"/>
                <w:highlight w:val="none"/>
              </w:rPr>
              <w:t>0</w:t>
            </w:r>
            <w:r>
              <w:rPr>
                <w:rFonts w:hint="eastAsia"/>
                <w:b w:val="0"/>
                <w:bCs/>
                <w:color w:val="auto"/>
                <w:sz w:val="24"/>
                <w:lang w:val="en-US" w:eastAsia="zh-CN"/>
              </w:rPr>
              <w:t>t</w:t>
            </w:r>
            <w:r>
              <w:rPr>
                <w:rFonts w:hint="eastAsia"/>
                <w:b w:val="0"/>
                <w:bCs/>
                <w:color w:val="auto"/>
                <w:sz w:val="24"/>
              </w:rPr>
              <w:t>/a</w:t>
            </w:r>
            <w:r>
              <w:rPr>
                <w:b w:val="0"/>
                <w:bCs/>
                <w:color w:val="auto"/>
                <w:sz w:val="24"/>
              </w:rPr>
              <w:t>。</w:t>
            </w:r>
          </w:p>
          <w:p>
            <w:pPr>
              <w:spacing w:line="360" w:lineRule="auto"/>
              <w:rPr>
                <w:rFonts w:eastAsia="黑体"/>
                <w:b w:val="0"/>
                <w:bCs/>
                <w:color w:val="auto"/>
                <w:sz w:val="28"/>
                <w:szCs w:val="28"/>
              </w:rPr>
            </w:pPr>
            <w:bookmarkStart w:id="19" w:name="_Toc44234542"/>
            <w:r>
              <w:rPr>
                <w:rFonts w:hint="eastAsia" w:eastAsia="黑体"/>
                <w:b w:val="0"/>
                <w:bCs/>
                <w:color w:val="auto"/>
                <w:sz w:val="28"/>
                <w:szCs w:val="28"/>
              </w:rPr>
              <w:t>五</w:t>
            </w:r>
            <w:r>
              <w:rPr>
                <w:rFonts w:eastAsia="黑体"/>
                <w:b w:val="0"/>
                <w:bCs/>
                <w:color w:val="auto"/>
                <w:sz w:val="28"/>
                <w:szCs w:val="28"/>
              </w:rPr>
              <w:t>、总图布置</w:t>
            </w:r>
            <w:bookmarkEnd w:id="19"/>
          </w:p>
          <w:p>
            <w:pPr>
              <w:spacing w:line="360" w:lineRule="auto"/>
              <w:ind w:firstLine="476" w:firstLineChars="200"/>
              <w:rPr>
                <w:rFonts w:ascii="宋体" w:hAnsi="宋体" w:cs="宋体"/>
                <w:b w:val="0"/>
                <w:bCs/>
                <w:color w:val="auto"/>
                <w:spacing w:val="-1"/>
                <w:sz w:val="24"/>
              </w:rPr>
            </w:pPr>
            <w:r>
              <w:rPr>
                <w:rFonts w:ascii="宋体" w:hAnsi="宋体" w:cs="宋体"/>
                <w:b w:val="0"/>
                <w:bCs/>
                <w:color w:val="auto"/>
                <w:spacing w:val="-1"/>
                <w:sz w:val="24"/>
              </w:rPr>
              <w:t>项目厂区平面布置按照满足生产</w:t>
            </w:r>
            <w:r>
              <w:rPr>
                <w:rFonts w:ascii="宋体" w:hAnsi="宋体" w:cs="宋体"/>
                <w:b w:val="0"/>
                <w:bCs/>
                <w:color w:val="auto"/>
                <w:sz w:val="24"/>
              </w:rPr>
              <w:t>工艺要求，考虑合理的功能分区，结合地形</w:t>
            </w:r>
            <w:r>
              <w:rPr>
                <w:rFonts w:ascii="宋体" w:hAnsi="宋体" w:cs="宋体"/>
                <w:b w:val="0"/>
                <w:bCs/>
                <w:color w:val="auto"/>
                <w:spacing w:val="-10"/>
                <w:sz w:val="24"/>
              </w:rPr>
              <w:t>地貌布置</w:t>
            </w:r>
            <w:r>
              <w:rPr>
                <w:rFonts w:ascii="宋体" w:hAnsi="宋体" w:cs="宋体"/>
                <w:b w:val="0"/>
                <w:bCs/>
                <w:color w:val="auto"/>
                <w:spacing w:val="-5"/>
                <w:sz w:val="24"/>
              </w:rPr>
              <w:t>紧凑、节约用地，并符合环保、防火、卫生规范及各种安全规定和要求。</w:t>
            </w:r>
            <w:r>
              <w:rPr>
                <w:rFonts w:ascii="宋体" w:hAnsi="宋体" w:cs="宋体"/>
                <w:b w:val="0"/>
                <w:bCs/>
                <w:color w:val="auto"/>
                <w:spacing w:val="-1"/>
                <w:sz w:val="24"/>
              </w:rPr>
              <w:t>鉴于项目选址的情况，</w:t>
            </w:r>
            <w:r>
              <w:rPr>
                <w:rFonts w:ascii="宋体" w:hAnsi="宋体" w:cs="宋体"/>
                <w:b w:val="0"/>
                <w:bCs/>
                <w:color w:val="auto"/>
                <w:sz w:val="24"/>
              </w:rPr>
              <w:t>厂区</w:t>
            </w:r>
            <w:r>
              <w:rPr>
                <w:rFonts w:hint="eastAsia" w:ascii="宋体" w:hAnsi="宋体" w:cs="宋体"/>
                <w:b w:val="0"/>
                <w:bCs/>
                <w:color w:val="auto"/>
                <w:sz w:val="24"/>
                <w:lang w:val="en-US" w:eastAsia="zh-CN"/>
              </w:rPr>
              <w:t>现有办公楼</w:t>
            </w:r>
            <w:r>
              <w:rPr>
                <w:rFonts w:ascii="宋体" w:hAnsi="宋体" w:cs="宋体"/>
                <w:b w:val="0"/>
                <w:bCs/>
                <w:color w:val="auto"/>
                <w:sz w:val="24"/>
              </w:rPr>
              <w:t>布置在</w:t>
            </w:r>
            <w:r>
              <w:rPr>
                <w:rFonts w:hint="eastAsia" w:ascii="宋体" w:hAnsi="宋体" w:cs="宋体"/>
                <w:b w:val="0"/>
                <w:bCs/>
                <w:color w:val="auto"/>
                <w:sz w:val="24"/>
                <w:lang w:val="en-US" w:eastAsia="zh-CN"/>
              </w:rPr>
              <w:t>北</w:t>
            </w:r>
            <w:r>
              <w:rPr>
                <w:rFonts w:hint="eastAsia" w:ascii="宋体" w:hAnsi="宋体" w:cs="宋体"/>
                <w:b w:val="0"/>
                <w:bCs/>
                <w:color w:val="auto"/>
                <w:sz w:val="24"/>
              </w:rPr>
              <w:t>南侧</w:t>
            </w:r>
            <w:r>
              <w:rPr>
                <w:rFonts w:ascii="宋体" w:hAnsi="宋体" w:cs="宋体"/>
                <w:b w:val="0"/>
                <w:bCs/>
                <w:color w:val="auto"/>
                <w:sz w:val="24"/>
              </w:rPr>
              <w:t>，</w:t>
            </w:r>
            <w:r>
              <w:rPr>
                <w:rFonts w:hint="eastAsia" w:ascii="宋体" w:hAnsi="宋体" w:cs="宋体"/>
                <w:b w:val="0"/>
                <w:bCs/>
                <w:color w:val="auto"/>
                <w:sz w:val="24"/>
              </w:rPr>
              <w:t>新建</w:t>
            </w:r>
            <w:r>
              <w:rPr>
                <w:rFonts w:ascii="宋体" w:hAnsi="宋体" w:cs="宋体"/>
                <w:b w:val="0"/>
                <w:bCs/>
                <w:color w:val="auto"/>
                <w:sz w:val="24"/>
              </w:rPr>
              <w:t>搅拌站</w:t>
            </w:r>
            <w:r>
              <w:rPr>
                <w:rFonts w:hint="eastAsia" w:ascii="宋体" w:hAnsi="宋体" w:cs="宋体"/>
                <w:b w:val="0"/>
                <w:bCs/>
                <w:color w:val="auto"/>
                <w:sz w:val="24"/>
                <w:lang w:val="en-US" w:eastAsia="zh-CN"/>
              </w:rPr>
              <w:t>设备</w:t>
            </w:r>
            <w:r>
              <w:rPr>
                <w:rFonts w:ascii="宋体" w:hAnsi="宋体" w:cs="宋体"/>
                <w:b w:val="0"/>
                <w:bCs/>
                <w:color w:val="auto"/>
                <w:spacing w:val="-12"/>
                <w:sz w:val="24"/>
              </w:rPr>
              <w:t>布置在</w:t>
            </w:r>
            <w:r>
              <w:rPr>
                <w:rFonts w:hint="eastAsia" w:ascii="宋体" w:hAnsi="宋体" w:cs="宋体"/>
                <w:b w:val="0"/>
                <w:bCs/>
                <w:color w:val="auto"/>
                <w:spacing w:val="-12"/>
                <w:sz w:val="24"/>
              </w:rPr>
              <w:t>厂区中间</w:t>
            </w:r>
            <w:r>
              <w:rPr>
                <w:rFonts w:ascii="宋体" w:hAnsi="宋体" w:cs="宋体"/>
                <w:b w:val="0"/>
                <w:bCs/>
                <w:color w:val="auto"/>
                <w:spacing w:val="-6"/>
                <w:sz w:val="24"/>
              </w:rPr>
              <w:t>，</w:t>
            </w:r>
            <w:r>
              <w:rPr>
                <w:rFonts w:hint="eastAsia" w:ascii="宋体" w:hAnsi="宋体" w:cs="宋体"/>
                <w:b w:val="0"/>
                <w:bCs/>
                <w:color w:val="auto"/>
                <w:spacing w:val="-6"/>
                <w:sz w:val="24"/>
                <w:lang w:val="en-US" w:eastAsia="zh-CN"/>
              </w:rPr>
              <w:t>现有</w:t>
            </w:r>
            <w:r>
              <w:rPr>
                <w:rFonts w:hint="eastAsia" w:ascii="宋体" w:hAnsi="宋体" w:cs="宋体"/>
                <w:b w:val="0"/>
                <w:bCs/>
                <w:color w:val="auto"/>
                <w:spacing w:val="-6"/>
                <w:sz w:val="24"/>
              </w:rPr>
              <w:t>堆料场位于厂区</w:t>
            </w:r>
            <w:r>
              <w:rPr>
                <w:rFonts w:hint="eastAsia" w:ascii="宋体" w:hAnsi="宋体" w:cs="宋体"/>
                <w:b w:val="0"/>
                <w:bCs/>
                <w:color w:val="auto"/>
                <w:spacing w:val="-6"/>
                <w:sz w:val="24"/>
                <w:lang w:val="en-US" w:eastAsia="zh-CN"/>
              </w:rPr>
              <w:t>西</w:t>
            </w:r>
            <w:r>
              <w:rPr>
                <w:rFonts w:hint="eastAsia" w:ascii="宋体" w:hAnsi="宋体" w:cs="宋体"/>
                <w:b w:val="0"/>
                <w:bCs/>
                <w:color w:val="auto"/>
                <w:spacing w:val="-6"/>
                <w:sz w:val="24"/>
              </w:rPr>
              <w:t>侧</w:t>
            </w:r>
            <w:r>
              <w:rPr>
                <w:rFonts w:ascii="宋体" w:hAnsi="宋体" w:cs="宋体"/>
                <w:b w:val="0"/>
                <w:bCs/>
                <w:color w:val="auto"/>
                <w:spacing w:val="-1"/>
                <w:sz w:val="24"/>
              </w:rPr>
              <w:t>。</w:t>
            </w:r>
          </w:p>
          <w:p>
            <w:pPr>
              <w:spacing w:line="360" w:lineRule="auto"/>
              <w:jc w:val="left"/>
              <w:rPr>
                <w:rFonts w:eastAsia="黑体"/>
                <w:b w:val="0"/>
                <w:bCs/>
                <w:color w:val="auto"/>
                <w:sz w:val="28"/>
                <w:szCs w:val="28"/>
              </w:rPr>
            </w:pPr>
            <w:r>
              <w:rPr>
                <w:rFonts w:hint="eastAsia" w:eastAsia="黑体"/>
                <w:b w:val="0"/>
                <w:bCs/>
                <w:color w:val="auto"/>
                <w:sz w:val="28"/>
                <w:szCs w:val="28"/>
              </w:rPr>
              <w:t>六</w:t>
            </w:r>
            <w:r>
              <w:rPr>
                <w:rFonts w:eastAsia="黑体"/>
                <w:b w:val="0"/>
                <w:bCs/>
                <w:color w:val="auto"/>
                <w:sz w:val="28"/>
                <w:szCs w:val="28"/>
              </w:rPr>
              <w:t>、环保投资</w:t>
            </w:r>
          </w:p>
          <w:p>
            <w:pPr>
              <w:ind w:firstLine="480"/>
              <w:rPr>
                <w:b w:val="0"/>
                <w:bCs/>
                <w:color w:val="auto"/>
                <w:sz w:val="24"/>
                <w:szCs w:val="32"/>
              </w:rPr>
            </w:pPr>
            <w:r>
              <w:rPr>
                <w:rFonts w:hint="eastAsia"/>
                <w:b w:val="0"/>
                <w:bCs/>
                <w:color w:val="auto"/>
                <w:sz w:val="24"/>
                <w:szCs w:val="32"/>
              </w:rPr>
              <w:t>项目环保投资具体情况参见下表。</w:t>
            </w:r>
          </w:p>
          <w:p>
            <w:pPr>
              <w:jc w:val="center"/>
              <w:rPr>
                <w:b w:val="0"/>
                <w:bCs/>
                <w:color w:val="auto"/>
                <w:sz w:val="22"/>
                <w:szCs w:val="22"/>
              </w:rPr>
            </w:pPr>
            <w:r>
              <w:rPr>
                <w:rFonts w:hint="eastAsia"/>
                <w:b w:val="0"/>
                <w:bCs/>
                <w:color w:val="auto"/>
                <w:sz w:val="22"/>
                <w:szCs w:val="22"/>
              </w:rPr>
              <w:t>表2-6环保投资一览表</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0"/>
              <w:gridCol w:w="1988"/>
              <w:gridCol w:w="5008"/>
              <w:gridCol w:w="8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75" w:hRule="atLeast"/>
                <w:jc w:val="center"/>
              </w:trPr>
              <w:tc>
                <w:tcPr>
                  <w:tcW w:w="1683" w:type="pct"/>
                  <w:gridSpan w:val="2"/>
                  <w:vAlign w:val="center"/>
                </w:tcPr>
                <w:p>
                  <w:pPr>
                    <w:spacing w:line="240" w:lineRule="exact"/>
                    <w:jc w:val="center"/>
                    <w:rPr>
                      <w:b w:val="0"/>
                      <w:bCs/>
                      <w:color w:val="auto"/>
                      <w:szCs w:val="21"/>
                    </w:rPr>
                  </w:pPr>
                  <w:r>
                    <w:rPr>
                      <w:b w:val="0"/>
                      <w:bCs/>
                      <w:color w:val="auto"/>
                      <w:szCs w:val="21"/>
                    </w:rPr>
                    <w:t>类别</w:t>
                  </w:r>
                </w:p>
              </w:tc>
              <w:tc>
                <w:tcPr>
                  <w:tcW w:w="2821" w:type="pct"/>
                  <w:vAlign w:val="center"/>
                </w:tcPr>
                <w:p>
                  <w:pPr>
                    <w:spacing w:line="240" w:lineRule="exact"/>
                    <w:jc w:val="center"/>
                    <w:rPr>
                      <w:b w:val="0"/>
                      <w:bCs/>
                      <w:color w:val="auto"/>
                      <w:szCs w:val="21"/>
                    </w:rPr>
                  </w:pPr>
                  <w:r>
                    <w:rPr>
                      <w:b w:val="0"/>
                      <w:bCs/>
                      <w:color w:val="auto"/>
                      <w:szCs w:val="21"/>
                    </w:rPr>
                    <w:t>环保项目</w:t>
                  </w:r>
                </w:p>
              </w:tc>
              <w:tc>
                <w:tcPr>
                  <w:tcW w:w="495" w:type="pct"/>
                  <w:vAlign w:val="center"/>
                </w:tcPr>
                <w:p>
                  <w:pPr>
                    <w:spacing w:line="240" w:lineRule="exact"/>
                    <w:jc w:val="center"/>
                    <w:rPr>
                      <w:b w:val="0"/>
                      <w:bCs/>
                      <w:color w:val="auto"/>
                      <w:spacing w:val="-20"/>
                      <w:szCs w:val="21"/>
                    </w:rPr>
                  </w:pPr>
                  <w:r>
                    <w:rPr>
                      <w:b w:val="0"/>
                      <w:bCs/>
                      <w:color w:val="auto"/>
                      <w:spacing w:val="-20"/>
                      <w:szCs w:val="21"/>
                    </w:rPr>
                    <w:t>投资</w:t>
                  </w:r>
                </w:p>
                <w:p>
                  <w:pPr>
                    <w:spacing w:line="240" w:lineRule="exact"/>
                    <w:jc w:val="center"/>
                    <w:rPr>
                      <w:b w:val="0"/>
                      <w:bCs/>
                      <w:color w:val="auto"/>
                      <w:spacing w:val="-20"/>
                      <w:szCs w:val="21"/>
                    </w:rPr>
                  </w:pPr>
                  <w:r>
                    <w:rPr>
                      <w:b w:val="0"/>
                      <w:bCs/>
                      <w:color w:val="auto"/>
                      <w:spacing w:val="-20"/>
                      <w:szCs w:val="21"/>
                    </w:rPr>
                    <w:t>(万元)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563" w:type="pct"/>
                  <w:vMerge w:val="restart"/>
                  <w:vAlign w:val="center"/>
                </w:tcPr>
                <w:p>
                  <w:pPr>
                    <w:spacing w:line="240" w:lineRule="exact"/>
                    <w:jc w:val="center"/>
                    <w:rPr>
                      <w:b w:val="0"/>
                      <w:bCs/>
                      <w:color w:val="auto"/>
                      <w:szCs w:val="21"/>
                    </w:rPr>
                  </w:pPr>
                  <w:r>
                    <w:rPr>
                      <w:b w:val="0"/>
                      <w:bCs/>
                      <w:color w:val="auto"/>
                      <w:szCs w:val="21"/>
                    </w:rPr>
                    <w:t>废气</w:t>
                  </w:r>
                </w:p>
              </w:tc>
              <w:tc>
                <w:tcPr>
                  <w:tcW w:w="1119" w:type="pct"/>
                  <w:vAlign w:val="center"/>
                </w:tcPr>
                <w:p>
                  <w:pPr>
                    <w:spacing w:line="240" w:lineRule="exact"/>
                    <w:jc w:val="center"/>
                    <w:rPr>
                      <w:b w:val="0"/>
                      <w:bCs/>
                      <w:color w:val="auto"/>
                      <w:szCs w:val="21"/>
                    </w:rPr>
                  </w:pPr>
                  <w:r>
                    <w:rPr>
                      <w:b w:val="0"/>
                      <w:bCs/>
                      <w:color w:val="auto"/>
                      <w:szCs w:val="21"/>
                    </w:rPr>
                    <w:t>烘干滚筒及其配套燃烧器、振动筛、提升机、搅拌机等废气</w:t>
                  </w:r>
                </w:p>
              </w:tc>
              <w:tc>
                <w:tcPr>
                  <w:tcW w:w="2821" w:type="pct"/>
                  <w:vAlign w:val="center"/>
                </w:tcPr>
                <w:p>
                  <w:pPr>
                    <w:spacing w:line="240" w:lineRule="exact"/>
                    <w:jc w:val="center"/>
                    <w:rPr>
                      <w:b w:val="0"/>
                      <w:bCs/>
                      <w:color w:val="auto"/>
                      <w:szCs w:val="21"/>
                    </w:rPr>
                  </w:pPr>
                  <w:r>
                    <w:rPr>
                      <w:rFonts w:hint="eastAsia"/>
                      <w:b w:val="0"/>
                      <w:bCs/>
                      <w:color w:val="auto"/>
                      <w:szCs w:val="21"/>
                    </w:rPr>
                    <w:t>沥青骨料</w:t>
                  </w:r>
                  <w:r>
                    <w:rPr>
                      <w:b w:val="0"/>
                      <w:bCs/>
                      <w:color w:val="auto"/>
                      <w:szCs w:val="21"/>
                    </w:rPr>
                    <w:t>烘干废气</w:t>
                  </w:r>
                  <w:r>
                    <w:rPr>
                      <w:rFonts w:hint="eastAsia"/>
                      <w:b w:val="0"/>
                      <w:bCs/>
                      <w:color w:val="auto"/>
                      <w:szCs w:val="21"/>
                    </w:rPr>
                    <w:t>设置重力沉降+</w:t>
                  </w:r>
                  <w:r>
                    <w:rPr>
                      <w:b w:val="0"/>
                      <w:bCs/>
                      <w:color w:val="auto"/>
                      <w:szCs w:val="21"/>
                    </w:rPr>
                    <w:t>布袋式除尘器</w:t>
                  </w:r>
                  <w:r>
                    <w:rPr>
                      <w:rFonts w:hint="eastAsia"/>
                      <w:b w:val="0"/>
                      <w:bCs/>
                      <w:color w:val="auto"/>
                      <w:szCs w:val="21"/>
                    </w:rPr>
                    <w:t>（去除效率99%）二级除尘</w:t>
                  </w:r>
                </w:p>
              </w:tc>
              <w:tc>
                <w:tcPr>
                  <w:tcW w:w="495" w:type="pct"/>
                  <w:vMerge w:val="restart"/>
                  <w:vAlign w:val="center"/>
                </w:tcPr>
                <w:p>
                  <w:pPr>
                    <w:spacing w:line="240" w:lineRule="exact"/>
                    <w:jc w:val="center"/>
                    <w:rPr>
                      <w:rFonts w:hint="eastAsia" w:eastAsia="宋体"/>
                      <w:b w:val="0"/>
                      <w:bCs/>
                      <w:color w:val="auto"/>
                      <w:szCs w:val="21"/>
                      <w:lang w:eastAsia="zh-CN"/>
                    </w:rPr>
                  </w:pPr>
                  <w:r>
                    <w:rPr>
                      <w:rFonts w:hint="eastAsia"/>
                      <w:b w:val="0"/>
                      <w:bCs/>
                      <w:color w:val="auto"/>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563" w:type="pct"/>
                  <w:vMerge w:val="continue"/>
                  <w:vAlign w:val="center"/>
                </w:tcPr>
                <w:p>
                  <w:pPr>
                    <w:spacing w:line="240" w:lineRule="exact"/>
                    <w:jc w:val="center"/>
                    <w:rPr>
                      <w:b w:val="0"/>
                      <w:bCs/>
                      <w:color w:val="auto"/>
                      <w:szCs w:val="21"/>
                    </w:rPr>
                  </w:pPr>
                </w:p>
              </w:tc>
              <w:tc>
                <w:tcPr>
                  <w:tcW w:w="1119" w:type="pct"/>
                  <w:vAlign w:val="center"/>
                </w:tcPr>
                <w:p>
                  <w:pPr>
                    <w:spacing w:line="240" w:lineRule="exact"/>
                    <w:jc w:val="center"/>
                    <w:rPr>
                      <w:b w:val="0"/>
                      <w:bCs/>
                      <w:color w:val="auto"/>
                      <w:szCs w:val="21"/>
                    </w:rPr>
                  </w:pPr>
                  <w:r>
                    <w:rPr>
                      <w:b w:val="0"/>
                      <w:bCs/>
                      <w:color w:val="auto"/>
                      <w:szCs w:val="21"/>
                    </w:rPr>
                    <w:t>沥青烟气</w:t>
                  </w:r>
                </w:p>
              </w:tc>
              <w:tc>
                <w:tcPr>
                  <w:tcW w:w="2821" w:type="pct"/>
                  <w:vAlign w:val="center"/>
                </w:tcPr>
                <w:p>
                  <w:pPr>
                    <w:spacing w:line="240" w:lineRule="exact"/>
                    <w:jc w:val="center"/>
                    <w:rPr>
                      <w:rFonts w:hint="default" w:eastAsia="宋体"/>
                      <w:b w:val="0"/>
                      <w:bCs/>
                      <w:color w:val="auto"/>
                      <w:szCs w:val="21"/>
                      <w:lang w:val="en-US" w:eastAsia="zh-CN"/>
                    </w:rPr>
                  </w:pPr>
                  <w:r>
                    <w:rPr>
                      <w:rFonts w:hint="eastAsia"/>
                      <w:b w:val="0"/>
                      <w:bCs/>
                      <w:color w:val="auto"/>
                      <w:szCs w:val="21"/>
                      <w:lang w:val="en-US" w:eastAsia="zh-CN"/>
                    </w:rPr>
                    <w:t>活性炭吸附</w:t>
                  </w:r>
                </w:p>
              </w:tc>
              <w:tc>
                <w:tcPr>
                  <w:tcW w:w="495" w:type="pct"/>
                  <w:vMerge w:val="continue"/>
                  <w:vAlign w:val="center"/>
                </w:tcPr>
                <w:p>
                  <w:pPr>
                    <w:spacing w:line="240" w:lineRule="exact"/>
                    <w:jc w:val="center"/>
                    <w:rPr>
                      <w:b w:val="0"/>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563" w:type="pct"/>
                  <w:vMerge w:val="continue"/>
                  <w:vAlign w:val="center"/>
                </w:tcPr>
                <w:p>
                  <w:pPr>
                    <w:spacing w:line="240" w:lineRule="exact"/>
                    <w:jc w:val="center"/>
                    <w:rPr>
                      <w:b w:val="0"/>
                      <w:bCs/>
                      <w:color w:val="auto"/>
                      <w:szCs w:val="21"/>
                    </w:rPr>
                  </w:pPr>
                </w:p>
              </w:tc>
              <w:tc>
                <w:tcPr>
                  <w:tcW w:w="1119" w:type="pct"/>
                  <w:vAlign w:val="center"/>
                </w:tcPr>
                <w:p>
                  <w:pPr>
                    <w:spacing w:line="240" w:lineRule="exact"/>
                    <w:jc w:val="center"/>
                    <w:rPr>
                      <w:b w:val="0"/>
                      <w:bCs/>
                      <w:color w:val="auto"/>
                      <w:szCs w:val="21"/>
                    </w:rPr>
                  </w:pPr>
                  <w:r>
                    <w:rPr>
                      <w:b w:val="0"/>
                      <w:bCs/>
                      <w:color w:val="auto"/>
                      <w:szCs w:val="21"/>
                    </w:rPr>
                    <w:t>矿粉罐</w:t>
                  </w:r>
                </w:p>
              </w:tc>
              <w:tc>
                <w:tcPr>
                  <w:tcW w:w="2821" w:type="pct"/>
                  <w:vAlign w:val="center"/>
                </w:tcPr>
                <w:p>
                  <w:pPr>
                    <w:spacing w:line="240" w:lineRule="exact"/>
                    <w:jc w:val="center"/>
                    <w:rPr>
                      <w:b w:val="0"/>
                      <w:bCs/>
                      <w:color w:val="auto"/>
                      <w:szCs w:val="21"/>
                    </w:rPr>
                  </w:pPr>
                  <w:r>
                    <w:rPr>
                      <w:rFonts w:hint="eastAsia"/>
                      <w:b w:val="0"/>
                      <w:bCs/>
                      <w:color w:val="auto"/>
                      <w:szCs w:val="21"/>
                      <w:lang w:val="en-US" w:eastAsia="zh-CN"/>
                    </w:rPr>
                    <w:t>脉冲</w:t>
                  </w:r>
                  <w:r>
                    <w:rPr>
                      <w:b w:val="0"/>
                      <w:bCs/>
                      <w:color w:val="auto"/>
                      <w:szCs w:val="21"/>
                    </w:rPr>
                    <w:t>布袋除尘器</w:t>
                  </w:r>
                </w:p>
              </w:tc>
              <w:tc>
                <w:tcPr>
                  <w:tcW w:w="495" w:type="pct"/>
                  <w:vAlign w:val="center"/>
                </w:tcPr>
                <w:p>
                  <w:pPr>
                    <w:spacing w:line="240" w:lineRule="exact"/>
                    <w:jc w:val="center"/>
                    <w:rPr>
                      <w:b w:val="0"/>
                      <w:bCs/>
                      <w:color w:val="auto"/>
                      <w:szCs w:val="21"/>
                    </w:rPr>
                  </w:pPr>
                  <w:r>
                    <w:rPr>
                      <w:rFonts w:hint="eastAsia"/>
                      <w:b w:val="0"/>
                      <w:bCs/>
                      <w:color w:val="auto"/>
                      <w:szCs w:val="21"/>
                      <w:lang w:val="en-US" w:eastAsia="zh-CN"/>
                    </w:rPr>
                    <w:t>1</w:t>
                  </w:r>
                  <w:r>
                    <w:rPr>
                      <w:b w:val="0"/>
                      <w:bCs/>
                      <w:color w:val="auto"/>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563" w:type="pct"/>
                  <w:vMerge w:val="continue"/>
                  <w:vAlign w:val="center"/>
                </w:tcPr>
                <w:p>
                  <w:pPr>
                    <w:spacing w:line="240" w:lineRule="exact"/>
                    <w:jc w:val="center"/>
                    <w:rPr>
                      <w:b w:val="0"/>
                      <w:bCs/>
                      <w:color w:val="auto"/>
                      <w:szCs w:val="21"/>
                    </w:rPr>
                  </w:pPr>
                </w:p>
              </w:tc>
              <w:tc>
                <w:tcPr>
                  <w:tcW w:w="1119" w:type="pct"/>
                  <w:vAlign w:val="center"/>
                </w:tcPr>
                <w:p>
                  <w:pPr>
                    <w:spacing w:line="240" w:lineRule="exact"/>
                    <w:jc w:val="center"/>
                    <w:rPr>
                      <w:b w:val="0"/>
                      <w:bCs/>
                      <w:color w:val="auto"/>
                      <w:szCs w:val="21"/>
                    </w:rPr>
                  </w:pPr>
                  <w:r>
                    <w:rPr>
                      <w:b w:val="0"/>
                      <w:bCs/>
                      <w:color w:val="auto"/>
                      <w:szCs w:val="21"/>
                    </w:rPr>
                    <w:t>碎石堆场</w:t>
                  </w:r>
                </w:p>
              </w:tc>
              <w:tc>
                <w:tcPr>
                  <w:tcW w:w="2821" w:type="pct"/>
                  <w:vAlign w:val="center"/>
                </w:tcPr>
                <w:p>
                  <w:pPr>
                    <w:spacing w:line="240" w:lineRule="exact"/>
                    <w:jc w:val="center"/>
                    <w:rPr>
                      <w:b w:val="0"/>
                      <w:bCs/>
                      <w:color w:val="auto"/>
                      <w:szCs w:val="21"/>
                    </w:rPr>
                  </w:pPr>
                  <w:r>
                    <w:rPr>
                      <w:rFonts w:hint="eastAsia"/>
                      <w:b w:val="0"/>
                      <w:bCs/>
                      <w:color w:val="auto"/>
                      <w:szCs w:val="21"/>
                    </w:rPr>
                    <w:t>设置</w:t>
                  </w:r>
                  <w:r>
                    <w:rPr>
                      <w:rFonts w:hint="eastAsia"/>
                      <w:b w:val="0"/>
                      <w:bCs/>
                      <w:color w:val="auto"/>
                      <w:szCs w:val="21"/>
                      <w:lang w:val="en-US" w:eastAsia="zh-CN"/>
                    </w:rPr>
                    <w:t>围挡</w:t>
                  </w:r>
                  <w:r>
                    <w:rPr>
                      <w:b w:val="0"/>
                      <w:bCs/>
                      <w:color w:val="auto"/>
                      <w:szCs w:val="21"/>
                    </w:rPr>
                    <w:t>，定期洒水</w:t>
                  </w:r>
                </w:p>
              </w:tc>
              <w:tc>
                <w:tcPr>
                  <w:tcW w:w="495" w:type="pct"/>
                  <w:vAlign w:val="center"/>
                </w:tcPr>
                <w:p>
                  <w:pPr>
                    <w:spacing w:line="240" w:lineRule="exact"/>
                    <w:jc w:val="center"/>
                    <w:rPr>
                      <w:rFonts w:hint="eastAsia" w:eastAsia="宋体"/>
                      <w:b w:val="0"/>
                      <w:bCs/>
                      <w:color w:val="auto"/>
                      <w:szCs w:val="21"/>
                      <w:lang w:eastAsia="zh-CN"/>
                    </w:rPr>
                  </w:pPr>
                  <w:r>
                    <w:rPr>
                      <w:rFonts w:hint="eastAsia"/>
                      <w:b w:val="0"/>
                      <w:bCs/>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563" w:type="pct"/>
                  <w:vAlign w:val="center"/>
                </w:tcPr>
                <w:p>
                  <w:pPr>
                    <w:spacing w:line="240" w:lineRule="exact"/>
                    <w:jc w:val="center"/>
                    <w:rPr>
                      <w:b w:val="0"/>
                      <w:bCs/>
                      <w:color w:val="auto"/>
                      <w:szCs w:val="21"/>
                    </w:rPr>
                  </w:pPr>
                  <w:r>
                    <w:rPr>
                      <w:b w:val="0"/>
                      <w:bCs/>
                      <w:color w:val="auto"/>
                      <w:szCs w:val="21"/>
                    </w:rPr>
                    <w:t>废水</w:t>
                  </w:r>
                </w:p>
              </w:tc>
              <w:tc>
                <w:tcPr>
                  <w:tcW w:w="1119" w:type="pct"/>
                  <w:vAlign w:val="center"/>
                </w:tcPr>
                <w:p>
                  <w:pPr>
                    <w:spacing w:line="240" w:lineRule="exact"/>
                    <w:jc w:val="center"/>
                    <w:rPr>
                      <w:rFonts w:hint="default" w:eastAsia="宋体"/>
                      <w:b w:val="0"/>
                      <w:bCs/>
                      <w:color w:val="auto"/>
                      <w:szCs w:val="21"/>
                      <w:lang w:val="en-US" w:eastAsia="zh-CN"/>
                    </w:rPr>
                  </w:pPr>
                  <w:r>
                    <w:rPr>
                      <w:rFonts w:hint="eastAsia"/>
                      <w:b w:val="0"/>
                      <w:bCs/>
                      <w:color w:val="auto"/>
                      <w:szCs w:val="21"/>
                      <w:lang w:val="en-US" w:eastAsia="zh-CN"/>
                    </w:rPr>
                    <w:t>生产废水</w:t>
                  </w:r>
                </w:p>
              </w:tc>
              <w:tc>
                <w:tcPr>
                  <w:tcW w:w="2821" w:type="pct"/>
                  <w:vAlign w:val="center"/>
                </w:tcPr>
                <w:p>
                  <w:pPr>
                    <w:spacing w:line="240" w:lineRule="exact"/>
                    <w:jc w:val="center"/>
                    <w:rPr>
                      <w:rFonts w:hint="default" w:eastAsia="宋体"/>
                      <w:b w:val="0"/>
                      <w:bCs/>
                      <w:color w:val="auto"/>
                      <w:szCs w:val="21"/>
                      <w:lang w:val="en-US" w:eastAsia="zh-CN"/>
                    </w:rPr>
                  </w:pPr>
                  <w:r>
                    <w:rPr>
                      <w:rFonts w:hint="eastAsia"/>
                      <w:b w:val="0"/>
                      <w:bCs/>
                      <w:color w:val="auto"/>
                      <w:szCs w:val="21"/>
                      <w:lang w:val="en-US" w:eastAsia="zh-CN"/>
                    </w:rPr>
                    <w:t>隔油沉淀池1座</w:t>
                  </w:r>
                </w:p>
              </w:tc>
              <w:tc>
                <w:tcPr>
                  <w:tcW w:w="495" w:type="pct"/>
                  <w:vAlign w:val="center"/>
                </w:tcPr>
                <w:p>
                  <w:pPr>
                    <w:spacing w:line="240" w:lineRule="exact"/>
                    <w:jc w:val="center"/>
                    <w:rPr>
                      <w:rFonts w:hint="default" w:eastAsia="宋体"/>
                      <w:b w:val="0"/>
                      <w:bCs/>
                      <w:color w:val="auto"/>
                      <w:szCs w:val="21"/>
                      <w:lang w:val="en-US" w:eastAsia="zh-CN"/>
                    </w:rPr>
                  </w:pPr>
                  <w:r>
                    <w:rPr>
                      <w:rFonts w:hint="eastAsia"/>
                      <w:b w:val="0"/>
                      <w:bCs/>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563" w:type="pct"/>
                  <w:vAlign w:val="center"/>
                </w:tcPr>
                <w:p>
                  <w:pPr>
                    <w:spacing w:line="240" w:lineRule="exact"/>
                    <w:jc w:val="center"/>
                    <w:rPr>
                      <w:b w:val="0"/>
                      <w:bCs/>
                      <w:color w:val="auto"/>
                      <w:szCs w:val="21"/>
                    </w:rPr>
                  </w:pPr>
                  <w:r>
                    <w:rPr>
                      <w:b w:val="0"/>
                      <w:bCs/>
                      <w:color w:val="auto"/>
                      <w:szCs w:val="21"/>
                    </w:rPr>
                    <w:t>噪声</w:t>
                  </w:r>
                </w:p>
              </w:tc>
              <w:tc>
                <w:tcPr>
                  <w:tcW w:w="1119" w:type="pct"/>
                  <w:vAlign w:val="center"/>
                </w:tcPr>
                <w:p>
                  <w:pPr>
                    <w:spacing w:line="240" w:lineRule="exact"/>
                    <w:jc w:val="center"/>
                    <w:rPr>
                      <w:b w:val="0"/>
                      <w:bCs/>
                      <w:color w:val="auto"/>
                      <w:szCs w:val="21"/>
                    </w:rPr>
                  </w:pPr>
                  <w:r>
                    <w:rPr>
                      <w:b w:val="0"/>
                      <w:bCs/>
                      <w:color w:val="auto"/>
                      <w:szCs w:val="21"/>
                    </w:rPr>
                    <w:t>设备降噪措施</w:t>
                  </w:r>
                </w:p>
              </w:tc>
              <w:tc>
                <w:tcPr>
                  <w:tcW w:w="2821" w:type="pct"/>
                  <w:vAlign w:val="center"/>
                </w:tcPr>
                <w:p>
                  <w:pPr>
                    <w:spacing w:line="240" w:lineRule="exact"/>
                    <w:jc w:val="center"/>
                    <w:rPr>
                      <w:b w:val="0"/>
                      <w:bCs/>
                      <w:color w:val="auto"/>
                      <w:szCs w:val="21"/>
                    </w:rPr>
                  </w:pPr>
                  <w:r>
                    <w:rPr>
                      <w:b w:val="0"/>
                      <w:bCs/>
                      <w:color w:val="auto"/>
                      <w:szCs w:val="21"/>
                    </w:rPr>
                    <w:t>隔声</w:t>
                  </w:r>
                  <w:r>
                    <w:rPr>
                      <w:b w:val="0"/>
                      <w:bCs/>
                      <w:color w:val="auto"/>
                      <w:szCs w:val="21"/>
                    </w:rPr>
                    <w:cr/>
                  </w:r>
                  <w:r>
                    <w:rPr>
                      <w:b w:val="0"/>
                      <w:bCs/>
                      <w:color w:val="auto"/>
                      <w:szCs w:val="21"/>
                    </w:rPr>
                    <w:t>、减震</w:t>
                  </w:r>
                </w:p>
              </w:tc>
              <w:tc>
                <w:tcPr>
                  <w:tcW w:w="495" w:type="pct"/>
                  <w:vAlign w:val="center"/>
                </w:tcPr>
                <w:p>
                  <w:pPr>
                    <w:spacing w:line="240" w:lineRule="exact"/>
                    <w:jc w:val="center"/>
                    <w:rPr>
                      <w:b w:val="0"/>
                      <w:bCs/>
                      <w:color w:val="auto"/>
                      <w:szCs w:val="21"/>
                    </w:rPr>
                  </w:pPr>
                  <w:r>
                    <w:rPr>
                      <w:b w:val="0"/>
                      <w:bCs/>
                      <w:color w:val="auto"/>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563" w:type="pct"/>
                  <w:tcBorders>
                    <w:bottom w:val="single" w:color="auto" w:sz="4" w:space="0"/>
                  </w:tcBorders>
                  <w:vAlign w:val="center"/>
                </w:tcPr>
                <w:p>
                  <w:pPr>
                    <w:spacing w:line="240" w:lineRule="exact"/>
                    <w:jc w:val="center"/>
                    <w:rPr>
                      <w:b w:val="0"/>
                      <w:bCs/>
                      <w:color w:val="auto"/>
                      <w:szCs w:val="21"/>
                    </w:rPr>
                  </w:pPr>
                  <w:r>
                    <w:rPr>
                      <w:b w:val="0"/>
                      <w:bCs/>
                      <w:color w:val="auto"/>
                      <w:szCs w:val="21"/>
                    </w:rPr>
                    <w:t>固废</w:t>
                  </w:r>
                </w:p>
              </w:tc>
              <w:tc>
                <w:tcPr>
                  <w:tcW w:w="1119" w:type="pct"/>
                  <w:vAlign w:val="center"/>
                </w:tcPr>
                <w:p>
                  <w:pPr>
                    <w:spacing w:line="240" w:lineRule="exact"/>
                    <w:jc w:val="center"/>
                    <w:rPr>
                      <w:b w:val="0"/>
                      <w:bCs/>
                      <w:color w:val="auto"/>
                      <w:szCs w:val="21"/>
                    </w:rPr>
                  </w:pPr>
                  <w:r>
                    <w:rPr>
                      <w:b w:val="0"/>
                      <w:bCs/>
                      <w:color w:val="auto"/>
                      <w:szCs w:val="21"/>
                    </w:rPr>
                    <w:t>危险废物</w:t>
                  </w:r>
                </w:p>
              </w:tc>
              <w:tc>
                <w:tcPr>
                  <w:tcW w:w="2821" w:type="pct"/>
                  <w:vAlign w:val="center"/>
                </w:tcPr>
                <w:p>
                  <w:pPr>
                    <w:spacing w:line="240" w:lineRule="exact"/>
                    <w:jc w:val="center"/>
                    <w:rPr>
                      <w:rFonts w:hint="default" w:eastAsia="宋体"/>
                      <w:b w:val="0"/>
                      <w:bCs/>
                      <w:color w:val="auto"/>
                      <w:szCs w:val="21"/>
                      <w:lang w:val="en-US" w:eastAsia="zh-CN"/>
                    </w:rPr>
                  </w:pPr>
                  <w:r>
                    <w:rPr>
                      <w:rFonts w:hint="eastAsia"/>
                      <w:b w:val="0"/>
                      <w:bCs/>
                      <w:color w:val="auto"/>
                      <w:szCs w:val="21"/>
                      <w:lang w:val="en-US" w:eastAsia="zh-CN"/>
                    </w:rPr>
                    <w:t>危废处置费用</w:t>
                  </w:r>
                </w:p>
              </w:tc>
              <w:tc>
                <w:tcPr>
                  <w:tcW w:w="495" w:type="pct"/>
                  <w:vAlign w:val="center"/>
                </w:tcPr>
                <w:p>
                  <w:pPr>
                    <w:spacing w:line="240" w:lineRule="exact"/>
                    <w:jc w:val="center"/>
                    <w:rPr>
                      <w:b w:val="0"/>
                      <w:bCs/>
                      <w:color w:val="auto"/>
                      <w:szCs w:val="21"/>
                    </w:rPr>
                  </w:pPr>
                  <w:r>
                    <w:rPr>
                      <w:rFonts w:hint="eastAsia"/>
                      <w:b w:val="0"/>
                      <w:bCs/>
                      <w:color w:val="auto"/>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563" w:type="pct"/>
                  <w:tcBorders>
                    <w:top w:val="single" w:color="auto" w:sz="4" w:space="0"/>
                  </w:tcBorders>
                  <w:vAlign w:val="center"/>
                </w:tcPr>
                <w:p>
                  <w:pPr>
                    <w:spacing w:line="240" w:lineRule="exact"/>
                    <w:jc w:val="center"/>
                    <w:rPr>
                      <w:b w:val="0"/>
                      <w:bCs/>
                      <w:color w:val="auto"/>
                      <w:szCs w:val="21"/>
                    </w:rPr>
                  </w:pPr>
                  <w:r>
                    <w:rPr>
                      <w:b w:val="0"/>
                      <w:bCs/>
                      <w:color w:val="auto"/>
                      <w:szCs w:val="21"/>
                    </w:rPr>
                    <w:t>其他</w:t>
                  </w:r>
                </w:p>
              </w:tc>
              <w:tc>
                <w:tcPr>
                  <w:tcW w:w="1119" w:type="pct"/>
                  <w:shd w:val="clear" w:color="auto" w:fill="auto"/>
                  <w:vAlign w:val="center"/>
                </w:tcPr>
                <w:p>
                  <w:pPr>
                    <w:pStyle w:val="92"/>
                    <w:ind w:right="113" w:rightChars="0" w:firstLine="0" w:firstLineChars="0"/>
                    <w:rPr>
                      <w:rFonts w:ascii="Times New Roman" w:hAnsi="Times New Roman" w:eastAsia="宋体" w:cstheme="minorBidi"/>
                      <w:b w:val="0"/>
                      <w:bCs/>
                      <w:color w:val="auto"/>
                      <w:kern w:val="0"/>
                      <w:sz w:val="21"/>
                      <w:szCs w:val="21"/>
                      <w:lang w:val="en-US" w:eastAsia="zh-CN" w:bidi="ar-SA"/>
                    </w:rPr>
                  </w:pPr>
                  <w:r>
                    <w:rPr>
                      <w:rFonts w:ascii="Times New Roman" w:hAnsi="Times New Roman" w:eastAsia="宋体" w:cs="Times New Roman"/>
                      <w:b w:val="0"/>
                      <w:bCs/>
                      <w:color w:val="auto"/>
                    </w:rPr>
                    <w:t>运营期设备维护</w:t>
                  </w:r>
                </w:p>
              </w:tc>
              <w:tc>
                <w:tcPr>
                  <w:tcW w:w="2821" w:type="pct"/>
                  <w:shd w:val="clear" w:color="auto" w:fill="auto"/>
                  <w:vAlign w:val="center"/>
                </w:tcPr>
                <w:p>
                  <w:pPr>
                    <w:pStyle w:val="92"/>
                    <w:ind w:right="113" w:rightChars="0" w:firstLine="0" w:firstLineChars="0"/>
                    <w:rPr>
                      <w:rFonts w:ascii="Times New Roman" w:hAnsi="Times New Roman" w:eastAsia="宋体" w:cstheme="minorBidi"/>
                      <w:b w:val="0"/>
                      <w:bCs/>
                      <w:color w:val="auto"/>
                      <w:kern w:val="0"/>
                      <w:sz w:val="21"/>
                      <w:szCs w:val="21"/>
                      <w:lang w:val="en-US" w:eastAsia="zh-CN" w:bidi="ar-SA"/>
                    </w:rPr>
                  </w:pPr>
                  <w:r>
                    <w:rPr>
                      <w:rFonts w:ascii="Times New Roman" w:hAnsi="Times New Roman" w:eastAsia="宋体" w:cs="Times New Roman"/>
                      <w:b w:val="0"/>
                      <w:bCs/>
                      <w:color w:val="auto"/>
                    </w:rPr>
                    <w:t>环境保护措施和设施的运行维护</w:t>
                  </w: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检测</w:t>
                  </w:r>
                  <w:r>
                    <w:rPr>
                      <w:rFonts w:ascii="Times New Roman" w:hAnsi="Times New Roman" w:eastAsia="宋体" w:cs="Times New Roman"/>
                      <w:b w:val="0"/>
                      <w:bCs/>
                      <w:color w:val="auto"/>
                    </w:rPr>
                    <w:t>费</w:t>
                  </w:r>
                </w:p>
              </w:tc>
              <w:tc>
                <w:tcPr>
                  <w:tcW w:w="495" w:type="pct"/>
                  <w:shd w:val="clear" w:color="auto" w:fill="auto"/>
                  <w:vAlign w:val="center"/>
                </w:tcPr>
                <w:p>
                  <w:pPr>
                    <w:spacing w:line="240" w:lineRule="exact"/>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7" w:hRule="atLeast"/>
                <w:jc w:val="center"/>
              </w:trPr>
              <w:tc>
                <w:tcPr>
                  <w:tcW w:w="4504" w:type="pct"/>
                  <w:gridSpan w:val="3"/>
                  <w:vAlign w:val="center"/>
                </w:tcPr>
                <w:p>
                  <w:pPr>
                    <w:spacing w:line="240" w:lineRule="exact"/>
                    <w:jc w:val="center"/>
                    <w:rPr>
                      <w:b w:val="0"/>
                      <w:bCs/>
                      <w:color w:val="auto"/>
                      <w:szCs w:val="21"/>
                    </w:rPr>
                  </w:pPr>
                  <w:r>
                    <w:rPr>
                      <w:b w:val="0"/>
                      <w:bCs/>
                      <w:color w:val="auto"/>
                      <w:szCs w:val="21"/>
                    </w:rPr>
                    <w:t>合计</w:t>
                  </w:r>
                </w:p>
              </w:tc>
              <w:tc>
                <w:tcPr>
                  <w:tcW w:w="495" w:type="pct"/>
                  <w:vAlign w:val="center"/>
                </w:tcPr>
                <w:p>
                  <w:pPr>
                    <w:spacing w:line="240" w:lineRule="exact"/>
                    <w:jc w:val="center"/>
                    <w:rPr>
                      <w:b w:val="0"/>
                      <w:bCs/>
                      <w:color w:val="auto"/>
                      <w:spacing w:val="-20"/>
                      <w:szCs w:val="21"/>
                    </w:rPr>
                  </w:pPr>
                  <w:r>
                    <w:rPr>
                      <w:b w:val="0"/>
                      <w:bCs/>
                      <w:color w:val="auto"/>
                      <w:spacing w:val="-20"/>
                      <w:szCs w:val="21"/>
                    </w:rPr>
                    <w:t>1</w:t>
                  </w:r>
                  <w:r>
                    <w:rPr>
                      <w:rFonts w:hint="eastAsia"/>
                      <w:b w:val="0"/>
                      <w:bCs/>
                      <w:color w:val="auto"/>
                      <w:spacing w:val="-20"/>
                      <w:szCs w:val="21"/>
                    </w:rPr>
                    <w:t>5</w:t>
                  </w:r>
                </w:p>
              </w:tc>
            </w:tr>
          </w:tbl>
          <w:p>
            <w:pPr>
              <w:adjustRightInd w:val="0"/>
              <w:snapToGrid w:val="0"/>
              <w:spacing w:line="500" w:lineRule="exact"/>
              <w:rPr>
                <w:b w:val="0"/>
                <w:bCs/>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4" w:hRule="atLeast"/>
          <w:jc w:val="center"/>
        </w:trPr>
        <w:tc>
          <w:tcPr>
            <w:tcW w:w="467" w:type="pct"/>
            <w:vAlign w:val="center"/>
          </w:tcPr>
          <w:p>
            <w:pPr>
              <w:pStyle w:val="29"/>
              <w:adjustRightInd w:val="0"/>
              <w:snapToGrid w:val="0"/>
              <w:spacing w:before="0" w:beforeAutospacing="0" w:after="0" w:afterAutospacing="0"/>
              <w:jc w:val="center"/>
              <w:rPr>
                <w:rFonts w:ascii="Times New Roman" w:hAnsi="Times New Roman"/>
                <w:color w:val="auto"/>
                <w:szCs w:val="21"/>
              </w:rPr>
            </w:pPr>
            <w:r>
              <w:rPr>
                <w:rFonts w:ascii="Times New Roman" w:hAnsi="Times New Roman"/>
                <w:color w:val="auto"/>
                <w:szCs w:val="21"/>
              </w:rPr>
              <w:t>工艺流程和产排污环节</w:t>
            </w:r>
          </w:p>
        </w:tc>
        <w:tc>
          <w:tcPr>
            <w:tcW w:w="4532" w:type="pct"/>
          </w:tcPr>
          <w:p>
            <w:pPr>
              <w:spacing w:line="360" w:lineRule="auto"/>
              <w:rPr>
                <w:rFonts w:eastAsia="黑体"/>
                <w:color w:val="auto"/>
                <w:sz w:val="28"/>
                <w:szCs w:val="28"/>
              </w:rPr>
            </w:pPr>
            <w:r>
              <w:rPr>
                <w:rFonts w:hint="eastAsia" w:eastAsia="黑体"/>
                <w:color w:val="auto"/>
                <w:sz w:val="28"/>
                <w:szCs w:val="28"/>
              </w:rPr>
              <w:t>一</w:t>
            </w:r>
            <w:r>
              <w:rPr>
                <w:rFonts w:eastAsia="黑体"/>
                <w:color w:val="auto"/>
                <w:sz w:val="28"/>
                <w:szCs w:val="28"/>
              </w:rPr>
              <w:t>、施工期</w:t>
            </w:r>
          </w:p>
          <w:p>
            <w:pPr>
              <w:spacing w:line="360" w:lineRule="auto"/>
              <w:ind w:firstLine="480" w:firstLineChars="200"/>
              <w:contextualSpacing/>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本项目在现有厂区进行改扩建，施工期主要是进行设备更新和环保设备的建设</w:t>
            </w:r>
            <w:r>
              <w:rPr>
                <w:rFonts w:hint="eastAsia" w:ascii="Times New Roman" w:hAnsi="Times New Roman" w:cs="Times New Roman" w:eastAsiaTheme="minorEastAsia"/>
                <w:color w:val="auto"/>
                <w:sz w:val="24"/>
              </w:rPr>
              <w:t>。</w:t>
            </w:r>
            <w:r>
              <w:rPr>
                <w:rFonts w:hint="eastAsia" w:ascii="Times New Roman" w:hAnsi="Times New Roman" w:cs="Times New Roman" w:eastAsiaTheme="minorEastAsia"/>
                <w:color w:val="auto"/>
                <w:sz w:val="24"/>
                <w:lang w:val="en-US" w:eastAsia="zh-CN"/>
              </w:rPr>
              <w:t>对环境的影响较小。</w:t>
            </w:r>
          </w:p>
          <w:p>
            <w:pPr>
              <w:spacing w:line="360" w:lineRule="auto"/>
              <w:rPr>
                <w:rFonts w:eastAsia="黑体"/>
                <w:color w:val="auto"/>
                <w:sz w:val="28"/>
                <w:szCs w:val="28"/>
              </w:rPr>
            </w:pPr>
            <w:r>
              <w:rPr>
                <w:rFonts w:hint="eastAsia" w:eastAsia="黑体"/>
                <w:color w:val="auto"/>
                <w:sz w:val="28"/>
                <w:szCs w:val="28"/>
              </w:rPr>
              <w:t>二、运营期</w:t>
            </w:r>
          </w:p>
          <w:p>
            <w:pPr>
              <w:spacing w:line="360" w:lineRule="auto"/>
              <w:ind w:firstLine="480" w:firstLineChars="200"/>
              <w:rPr>
                <w:color w:val="auto"/>
                <w:sz w:val="24"/>
              </w:rPr>
            </w:pPr>
            <w:r>
              <w:rPr>
                <w:color w:val="auto"/>
                <w:sz w:val="24"/>
              </w:rPr>
              <w:t>(1)沥青混凝土搅拌站工艺流程简述</w:t>
            </w:r>
          </w:p>
          <w:p>
            <w:pPr>
              <w:spacing w:line="360" w:lineRule="auto"/>
              <w:ind w:firstLine="480" w:firstLineChars="200"/>
              <w:rPr>
                <w:rFonts w:eastAsiaTheme="minorEastAsia"/>
                <w:color w:val="auto"/>
                <w:sz w:val="24"/>
              </w:rPr>
            </w:pPr>
            <w:r>
              <w:rPr>
                <w:rFonts w:eastAsiaTheme="minorEastAsia"/>
                <w:color w:val="auto"/>
                <w:sz w:val="24"/>
              </w:rPr>
              <w:t>1、原料贮存：沥青混凝土的骨料主要包括各种粒径的碎石</w:t>
            </w:r>
            <w:r>
              <w:rPr>
                <w:rFonts w:hint="eastAsia" w:eastAsiaTheme="minorEastAsia"/>
                <w:color w:val="auto"/>
                <w:sz w:val="24"/>
                <w:lang w:eastAsia="zh-CN"/>
              </w:rPr>
              <w:t>、</w:t>
            </w:r>
            <w:r>
              <w:rPr>
                <w:rFonts w:hint="eastAsia" w:eastAsiaTheme="minorEastAsia"/>
                <w:color w:val="auto"/>
                <w:sz w:val="24"/>
                <w:lang w:val="en-US" w:eastAsia="zh-CN"/>
              </w:rPr>
              <w:t>机制砂</w:t>
            </w:r>
            <w:r>
              <w:rPr>
                <w:rFonts w:eastAsiaTheme="minorEastAsia"/>
                <w:color w:val="auto"/>
                <w:sz w:val="24"/>
              </w:rPr>
              <w:t>，采用汽运方式运输至指定堆场，矿粉由密闭矿粉运输车通过气力输送贮存在密闭矿粉筒仓内，</w:t>
            </w:r>
            <w:r>
              <w:rPr>
                <w:rFonts w:hint="eastAsia" w:hAnsiTheme="minorEastAsia" w:eastAsiaTheme="minorEastAsia"/>
                <w:bCs/>
                <w:color w:val="auto"/>
                <w:sz w:val="24"/>
              </w:rPr>
              <w:t>上料采用绞龙密闭输送，因此筒仓原料输送过程仅卸料时有含尘废气排放。</w:t>
            </w:r>
            <w:r>
              <w:rPr>
                <w:rFonts w:eastAsiaTheme="minorEastAsia"/>
                <w:color w:val="auto"/>
                <w:sz w:val="24"/>
              </w:rPr>
              <w:t>沥青进厂时为液体散装沥青，由专用沥青运输车将其通过密闭管道送至沥青罐内。</w:t>
            </w:r>
            <w:r>
              <w:rPr>
                <w:rFonts w:eastAsiaTheme="minorEastAsia"/>
                <w:bCs/>
                <w:color w:val="auto"/>
                <w:sz w:val="24"/>
              </w:rPr>
              <w:t>在矿粉筒仓顶部安装</w:t>
            </w:r>
            <w:r>
              <w:rPr>
                <w:rFonts w:hint="eastAsia" w:eastAsiaTheme="minorEastAsia"/>
                <w:bCs/>
                <w:color w:val="auto"/>
                <w:sz w:val="24"/>
                <w:lang w:val="en-US" w:eastAsia="zh-CN"/>
              </w:rPr>
              <w:t>脉冲布袋除尘器</w:t>
            </w:r>
            <w:r>
              <w:rPr>
                <w:rFonts w:eastAsiaTheme="minorEastAsia"/>
                <w:bCs/>
                <w:color w:val="auto"/>
                <w:sz w:val="24"/>
              </w:rPr>
              <w:t>，装卸粉尘经除尘</w:t>
            </w:r>
            <w:r>
              <w:rPr>
                <w:rFonts w:hint="eastAsia" w:eastAsiaTheme="minorEastAsia"/>
                <w:bCs/>
                <w:color w:val="auto"/>
                <w:sz w:val="24"/>
              </w:rPr>
              <w:t>系统</w:t>
            </w:r>
            <w:r>
              <w:rPr>
                <w:rFonts w:eastAsiaTheme="minorEastAsia"/>
                <w:bCs/>
                <w:color w:val="auto"/>
                <w:sz w:val="24"/>
              </w:rPr>
              <w:t>（处理效率为99%）处理后，</w:t>
            </w:r>
            <w:r>
              <w:rPr>
                <w:rFonts w:hint="eastAsia" w:eastAsiaTheme="minorEastAsia"/>
                <w:bCs/>
                <w:color w:val="auto"/>
                <w:sz w:val="24"/>
              </w:rPr>
              <w:t>由</w:t>
            </w:r>
            <w:r>
              <w:rPr>
                <w:rFonts w:hint="eastAsia" w:eastAsiaTheme="minorEastAsia"/>
                <w:bCs/>
                <w:color w:val="auto"/>
                <w:sz w:val="24"/>
                <w:lang w:val="en-US" w:eastAsia="zh-CN"/>
              </w:rPr>
              <w:t>现有15</w:t>
            </w:r>
            <w:r>
              <w:rPr>
                <w:rFonts w:hint="eastAsia" w:eastAsiaTheme="minorEastAsia"/>
                <w:bCs/>
                <w:color w:val="auto"/>
                <w:sz w:val="24"/>
              </w:rPr>
              <w:t>m高除尘系统烟囱（DA001）排放</w:t>
            </w:r>
            <w:r>
              <w:rPr>
                <w:rFonts w:eastAsiaTheme="minorEastAsia"/>
                <w:bCs/>
                <w:color w:val="auto"/>
                <w:sz w:val="24"/>
              </w:rPr>
              <w:t>。</w:t>
            </w:r>
          </w:p>
          <w:p>
            <w:pPr>
              <w:spacing w:line="360" w:lineRule="auto"/>
              <w:ind w:firstLine="480" w:firstLineChars="200"/>
              <w:rPr>
                <w:rFonts w:eastAsiaTheme="minorEastAsia"/>
                <w:color w:val="auto"/>
                <w:sz w:val="24"/>
              </w:rPr>
            </w:pPr>
            <w:r>
              <w:rPr>
                <w:rFonts w:eastAsiaTheme="minorEastAsia"/>
                <w:color w:val="auto"/>
                <w:sz w:val="24"/>
              </w:rPr>
              <w:t>2、骨料预处理：生产时，碎石从储料场利用铲车铲至冷料仓，然后通过密闭的集料输送机和皮带输送机自动计量、进料。项目料斗上料区域均只留操作面，其余几面封闭。</w:t>
            </w:r>
            <w:r>
              <w:rPr>
                <w:rFonts w:eastAsiaTheme="minorEastAsia"/>
                <w:bCs/>
                <w:color w:val="auto"/>
                <w:sz w:val="24"/>
              </w:rPr>
              <w:t>冷料仓上</w:t>
            </w:r>
            <w:r>
              <w:rPr>
                <w:rFonts w:hint="eastAsia" w:eastAsiaTheme="minorEastAsia"/>
                <w:bCs/>
                <w:color w:val="auto"/>
                <w:sz w:val="24"/>
              </w:rPr>
              <w:t>方</w:t>
            </w:r>
            <w:r>
              <w:rPr>
                <w:rFonts w:eastAsiaTheme="minorEastAsia"/>
                <w:bCs/>
                <w:color w:val="auto"/>
                <w:sz w:val="24"/>
              </w:rPr>
              <w:t>安装</w:t>
            </w:r>
            <w:r>
              <w:rPr>
                <w:rFonts w:hint="eastAsia" w:eastAsiaTheme="minorEastAsia"/>
                <w:bCs/>
                <w:color w:val="auto"/>
                <w:sz w:val="24"/>
              </w:rPr>
              <w:t>集气</w:t>
            </w:r>
            <w:r>
              <w:rPr>
                <w:rFonts w:eastAsiaTheme="minorEastAsia"/>
                <w:bCs/>
                <w:color w:val="auto"/>
                <w:sz w:val="24"/>
              </w:rPr>
              <w:t>装置</w:t>
            </w:r>
            <w:r>
              <w:rPr>
                <w:rFonts w:hint="eastAsia" w:eastAsiaTheme="minorEastAsia"/>
                <w:bCs/>
                <w:color w:val="auto"/>
                <w:sz w:val="24"/>
              </w:rPr>
              <w:t>（收集效率90%）</w:t>
            </w:r>
            <w:r>
              <w:rPr>
                <w:rFonts w:eastAsiaTheme="minorEastAsia"/>
                <w:bCs/>
                <w:color w:val="auto"/>
                <w:sz w:val="24"/>
              </w:rPr>
              <w:t>，上料废气经收集后</w:t>
            </w:r>
            <w:r>
              <w:rPr>
                <w:rFonts w:hint="eastAsia" w:eastAsiaTheme="minorEastAsia"/>
                <w:bCs/>
                <w:color w:val="auto"/>
                <w:sz w:val="24"/>
              </w:rPr>
              <w:t>通过管道连接至除尘系统（重力+布袋），处理后由</w:t>
            </w:r>
            <w:r>
              <w:rPr>
                <w:rFonts w:hint="eastAsia" w:eastAsiaTheme="minorEastAsia"/>
                <w:bCs/>
                <w:color w:val="auto"/>
                <w:sz w:val="24"/>
                <w:lang w:val="en-US" w:eastAsia="zh-CN"/>
              </w:rPr>
              <w:t>15</w:t>
            </w:r>
            <w:r>
              <w:rPr>
                <w:rFonts w:hint="eastAsia" w:eastAsiaTheme="minorEastAsia"/>
                <w:bCs/>
                <w:color w:val="auto"/>
                <w:sz w:val="24"/>
              </w:rPr>
              <w:t>m高除尘系统烟囱（DA001）排放，除尘效率为99%</w:t>
            </w:r>
            <w:r>
              <w:rPr>
                <w:rFonts w:eastAsiaTheme="minorEastAsia"/>
                <w:bCs/>
                <w:color w:val="auto"/>
                <w:sz w:val="24"/>
              </w:rPr>
              <w:t>。</w:t>
            </w:r>
            <w:r>
              <w:rPr>
                <w:rFonts w:eastAsiaTheme="minorEastAsia"/>
                <w:color w:val="auto"/>
                <w:sz w:val="24"/>
              </w:rPr>
              <w:t>为使沥青混凝土产品不至于因过快冷却而带来运输上的不便，骨料在与沥青混合前要经过热处理。骨料由皮带输送机在密闭输送通道内送入干燥筒，骨料在干燥筒内加热至</w:t>
            </w:r>
            <w:r>
              <w:rPr>
                <w:rFonts w:hint="eastAsia" w:eastAsiaTheme="minorEastAsia"/>
                <w:color w:val="auto"/>
                <w:sz w:val="24"/>
              </w:rPr>
              <w:t>180</w:t>
            </w:r>
            <w:r>
              <w:rPr>
                <w:rFonts w:eastAsiaTheme="minorEastAsia"/>
                <w:color w:val="auto"/>
                <w:sz w:val="24"/>
              </w:rPr>
              <w:t>℃。干燥筒燃烧产生的热量，干燥工艺采用直接接触干燥方式。干燥筒通过加热，并不停转动，以使骨料受热干燥，加热后的</w:t>
            </w:r>
            <w:r>
              <w:rPr>
                <w:rFonts w:hint="eastAsia" w:eastAsiaTheme="minorEastAsia"/>
                <w:color w:val="auto"/>
                <w:sz w:val="24"/>
              </w:rPr>
              <w:t>石料为方便各粒径物料搅拌过程计量精准，</w:t>
            </w:r>
            <w:r>
              <w:rPr>
                <w:rFonts w:eastAsiaTheme="minorEastAsia"/>
                <w:color w:val="auto"/>
                <w:sz w:val="24"/>
              </w:rPr>
              <w:t>加热后的骨料经通过骨料提升机送到粒度检控系统内进行振动筛分</w:t>
            </w:r>
            <w:r>
              <w:rPr>
                <w:rFonts w:hint="eastAsia" w:eastAsiaTheme="minorEastAsia"/>
                <w:color w:val="auto"/>
                <w:sz w:val="24"/>
              </w:rPr>
              <w:t>，</w:t>
            </w:r>
            <w:r>
              <w:rPr>
                <w:rFonts w:eastAsiaTheme="minorEastAsia"/>
                <w:color w:val="auto"/>
                <w:sz w:val="24"/>
              </w:rPr>
              <w:t>随后将加热的不同粒径骨料通过提升机输送至各自热骨料仓暂存，骨料经计量后进入沥青混凝土搅拌站</w:t>
            </w:r>
            <w:r>
              <w:rPr>
                <w:rFonts w:hint="eastAsia" w:eastAsiaTheme="minorEastAsia"/>
                <w:color w:val="auto"/>
                <w:sz w:val="24"/>
              </w:rPr>
              <w:t>，</w:t>
            </w:r>
            <w:r>
              <w:rPr>
                <w:rFonts w:eastAsiaTheme="minorEastAsia"/>
                <w:color w:val="auto"/>
                <w:sz w:val="24"/>
              </w:rPr>
              <w:t>本项目沥青混凝土装置为一体式封闭设备，骨料输送、提升等过程全封闭。</w:t>
            </w:r>
            <w:r>
              <w:rPr>
                <w:rFonts w:hint="eastAsia"/>
                <w:color w:val="auto"/>
                <w:sz w:val="24"/>
              </w:rPr>
              <w:t>骨料加热过程产生烟气不会以无组织形式排放。</w:t>
            </w:r>
          </w:p>
          <w:p>
            <w:pPr>
              <w:spacing w:line="360" w:lineRule="auto"/>
              <w:ind w:firstLine="480" w:firstLineChars="200"/>
              <w:rPr>
                <w:rFonts w:eastAsiaTheme="minorEastAsia"/>
                <w:color w:val="auto"/>
                <w:sz w:val="24"/>
              </w:rPr>
            </w:pPr>
            <w:r>
              <w:rPr>
                <w:rFonts w:eastAsiaTheme="minorEastAsia"/>
                <w:bCs/>
                <w:color w:val="auto"/>
                <w:sz w:val="24"/>
              </w:rPr>
              <w:t>本项目上料粉尘、</w:t>
            </w:r>
            <w:r>
              <w:rPr>
                <w:rFonts w:eastAsiaTheme="minorEastAsia"/>
                <w:color w:val="auto"/>
                <w:sz w:val="24"/>
              </w:rPr>
              <w:t>碎石筛分粉尘、烘干废气</w:t>
            </w:r>
            <w:r>
              <w:rPr>
                <w:rFonts w:hint="eastAsia" w:eastAsiaTheme="minorEastAsia"/>
                <w:color w:val="auto"/>
                <w:sz w:val="24"/>
                <w:lang w:eastAsia="zh-CN"/>
              </w:rPr>
              <w:t>、</w:t>
            </w:r>
            <w:r>
              <w:rPr>
                <w:rFonts w:eastAsiaTheme="minorEastAsia"/>
                <w:color w:val="auto"/>
                <w:sz w:val="24"/>
              </w:rPr>
              <w:t>燃烧器烟气、热料仓落料废气、</w:t>
            </w:r>
            <w:r>
              <w:rPr>
                <w:rFonts w:eastAsiaTheme="minorEastAsia"/>
                <w:bCs/>
                <w:color w:val="auto"/>
                <w:sz w:val="24"/>
              </w:rPr>
              <w:t>矿粉筒装卸粉尘</w:t>
            </w:r>
            <w:r>
              <w:rPr>
                <w:rFonts w:hint="eastAsia" w:eastAsiaTheme="minorEastAsia"/>
                <w:color w:val="auto"/>
                <w:sz w:val="24"/>
              </w:rPr>
              <w:t>经除尘系统（重力+布袋）处理后，由</w:t>
            </w:r>
            <w:r>
              <w:rPr>
                <w:rFonts w:hint="eastAsia" w:eastAsiaTheme="minorEastAsia"/>
                <w:color w:val="auto"/>
                <w:sz w:val="24"/>
                <w:lang w:val="en-US" w:eastAsia="zh-CN"/>
              </w:rPr>
              <w:t>15</w:t>
            </w:r>
            <w:r>
              <w:rPr>
                <w:rFonts w:hint="eastAsia" w:eastAsiaTheme="minorEastAsia"/>
                <w:color w:val="auto"/>
                <w:sz w:val="24"/>
              </w:rPr>
              <w:t>m高除尘系统排气筒（DA001）排放，除尘效率为99%；</w:t>
            </w:r>
            <w:r>
              <w:rPr>
                <w:rFonts w:eastAsiaTheme="minorEastAsia"/>
                <w:color w:val="auto"/>
                <w:sz w:val="24"/>
              </w:rPr>
              <w:t xml:space="preserve"> </w:t>
            </w:r>
          </w:p>
          <w:p>
            <w:pPr>
              <w:spacing w:line="360" w:lineRule="auto"/>
              <w:ind w:firstLine="480" w:firstLineChars="200"/>
              <w:rPr>
                <w:rFonts w:eastAsiaTheme="minorEastAsia"/>
                <w:color w:val="auto"/>
                <w:sz w:val="24"/>
              </w:rPr>
            </w:pPr>
            <w:r>
              <w:rPr>
                <w:rFonts w:eastAsiaTheme="minorEastAsia"/>
                <w:color w:val="auto"/>
                <w:sz w:val="24"/>
              </w:rPr>
              <w:t>3、沥青预处理：沥青罐内的沥青通过导热油炉间接加热，使其维持在1</w:t>
            </w:r>
            <w:r>
              <w:rPr>
                <w:rFonts w:hint="eastAsia" w:eastAsiaTheme="minorEastAsia"/>
                <w:color w:val="auto"/>
                <w:sz w:val="24"/>
              </w:rPr>
              <w:t>5</w:t>
            </w:r>
            <w:r>
              <w:rPr>
                <w:rFonts w:eastAsiaTheme="minorEastAsia"/>
                <w:color w:val="auto"/>
                <w:sz w:val="24"/>
              </w:rPr>
              <w:t>0</w:t>
            </w:r>
            <w:r>
              <w:rPr>
                <w:rFonts w:hint="eastAsia" w:eastAsiaTheme="minorEastAsia"/>
                <w:color w:val="auto"/>
                <w:sz w:val="24"/>
              </w:rPr>
              <w:t>-160</w:t>
            </w:r>
            <w:r>
              <w:rPr>
                <w:rFonts w:eastAsiaTheme="minorEastAsia"/>
                <w:color w:val="auto"/>
                <w:sz w:val="24"/>
              </w:rPr>
              <w:t>℃，确保沥青处于可流动状态</w:t>
            </w:r>
            <w:r>
              <w:rPr>
                <w:rFonts w:hint="eastAsia" w:eastAsiaTheme="minorEastAsia"/>
                <w:color w:val="auto"/>
                <w:sz w:val="24"/>
              </w:rPr>
              <w:t>，</w:t>
            </w:r>
            <w:r>
              <w:rPr>
                <w:rFonts w:eastAsiaTheme="minorEastAsia"/>
                <w:color w:val="auto"/>
                <w:sz w:val="24"/>
              </w:rPr>
              <w:t>导热油炉</w:t>
            </w:r>
            <w:r>
              <w:rPr>
                <w:rFonts w:eastAsiaTheme="minorEastAsia"/>
                <w:bCs/>
                <w:color w:val="auto"/>
                <w:sz w:val="24"/>
              </w:rPr>
              <w:t>烟气经</w:t>
            </w:r>
            <w:r>
              <w:rPr>
                <w:rFonts w:hint="eastAsia" w:eastAsiaTheme="minorEastAsia"/>
                <w:color w:val="auto"/>
                <w:sz w:val="24"/>
              </w:rPr>
              <w:t>低氮燃烧处理后（除氮效率30%），由1根</w:t>
            </w:r>
            <w:r>
              <w:rPr>
                <w:rFonts w:hint="eastAsia" w:eastAsiaTheme="minorEastAsia"/>
                <w:color w:val="auto"/>
                <w:sz w:val="24"/>
                <w:lang w:val="en-US" w:eastAsia="zh-CN"/>
              </w:rPr>
              <w:t>15</w:t>
            </w:r>
            <w:r>
              <w:rPr>
                <w:rFonts w:hint="eastAsia" w:eastAsiaTheme="minorEastAsia"/>
                <w:color w:val="auto"/>
                <w:sz w:val="24"/>
              </w:rPr>
              <w:t>m高排气筒（DA002）排放；</w:t>
            </w:r>
            <w:r>
              <w:rPr>
                <w:rFonts w:eastAsiaTheme="minorEastAsia"/>
                <w:color w:val="auto"/>
                <w:sz w:val="24"/>
              </w:rPr>
              <w:t>生产时用沥青泵将加热好的沥青输送至沥青计量系统，通过专门管道送入搅拌缸内与骨料、粉料进行混合。</w:t>
            </w:r>
          </w:p>
          <w:p>
            <w:pPr>
              <w:spacing w:line="360" w:lineRule="auto"/>
              <w:ind w:firstLine="480" w:firstLineChars="200"/>
              <w:rPr>
                <w:rFonts w:eastAsiaTheme="minorEastAsia"/>
                <w:color w:val="auto"/>
                <w:sz w:val="24"/>
              </w:rPr>
            </w:pPr>
            <w:r>
              <w:rPr>
                <w:rFonts w:eastAsiaTheme="minorEastAsia"/>
                <w:color w:val="auto"/>
                <w:sz w:val="24"/>
              </w:rPr>
              <w:t>4、搅拌混合工序：进入拌合仓的热骨料、矿粉经与热沥青拌合后得到成品沥青混凝土，整个过程都在封闭系统中进行。厂区不设成品贮仓，成品从拌缸卸料后由汽车直接运出。成品由汽车运输至施工场地。</w:t>
            </w:r>
            <w:r>
              <w:rPr>
                <w:rFonts w:hint="eastAsia" w:eastAsiaTheme="minorEastAsia"/>
                <w:color w:val="auto"/>
                <w:sz w:val="24"/>
              </w:rPr>
              <w:t>本项目在沥青混凝土拌和沥青储罐处会产生</w:t>
            </w:r>
            <w:r>
              <w:rPr>
                <w:rFonts w:eastAsiaTheme="minorEastAsia"/>
                <w:bCs/>
                <w:color w:val="auto"/>
                <w:sz w:val="24"/>
              </w:rPr>
              <w:t>非甲烷总烃、</w:t>
            </w:r>
            <w:r>
              <w:rPr>
                <w:rFonts w:hint="eastAsia" w:eastAsiaTheme="minorEastAsia"/>
                <w:color w:val="auto"/>
                <w:sz w:val="24"/>
              </w:rPr>
              <w:t>沥青烟和苯并[a]芘，沥青在密闭储罐中储存过程中产生的烟气以及出料产生的烟气经</w:t>
            </w:r>
            <w:r>
              <w:rPr>
                <w:rFonts w:hint="eastAsia" w:eastAsiaTheme="minorEastAsia"/>
                <w:color w:val="auto"/>
                <w:sz w:val="24"/>
                <w:lang w:eastAsia="zh-CN"/>
              </w:rPr>
              <w:t>活性炭吸附</w:t>
            </w:r>
            <w:r>
              <w:rPr>
                <w:rFonts w:hint="eastAsia" w:eastAsiaTheme="minorEastAsia"/>
                <w:color w:val="auto"/>
                <w:sz w:val="24"/>
              </w:rPr>
              <w:t>（处理效率95%）处理后，经</w:t>
            </w:r>
            <w:r>
              <w:rPr>
                <w:rFonts w:hint="eastAsia" w:eastAsiaTheme="minorEastAsia"/>
                <w:color w:val="auto"/>
                <w:sz w:val="24"/>
                <w:lang w:val="en-US" w:eastAsia="zh-CN"/>
              </w:rPr>
              <w:t>15</w:t>
            </w:r>
            <w:r>
              <w:rPr>
                <w:rFonts w:hint="eastAsia" w:eastAsiaTheme="minorEastAsia"/>
                <w:color w:val="auto"/>
                <w:sz w:val="24"/>
              </w:rPr>
              <w:t>m高排气筒（DA00</w:t>
            </w:r>
            <w:r>
              <w:rPr>
                <w:rFonts w:hint="eastAsia" w:eastAsiaTheme="minorEastAsia"/>
                <w:color w:val="auto"/>
                <w:sz w:val="24"/>
                <w:lang w:val="en-US" w:eastAsia="zh-CN"/>
              </w:rPr>
              <w:t>1</w:t>
            </w:r>
            <w:r>
              <w:rPr>
                <w:rFonts w:hint="eastAsia" w:eastAsiaTheme="minorEastAsia"/>
                <w:color w:val="auto"/>
                <w:sz w:val="24"/>
              </w:rPr>
              <w:t>）排放；</w:t>
            </w:r>
          </w:p>
          <w:p>
            <w:pPr>
              <w:spacing w:line="360" w:lineRule="auto"/>
              <w:ind w:firstLine="480" w:firstLineChars="200"/>
              <w:rPr>
                <w:color w:val="auto"/>
                <w:sz w:val="24"/>
              </w:rPr>
            </w:pPr>
            <w:r>
              <w:rPr>
                <w:rFonts w:hint="eastAsia" w:eastAsiaTheme="minorEastAsia"/>
                <w:color w:val="auto"/>
                <w:sz w:val="24"/>
              </w:rPr>
              <w:t>在整个生产过程中由于使用的生产设备先进性较高，采用的是全自动控制系统，在生产过程中可以有效的减少物料的跑冒漏等，以及其它由于生产设备不先进带来的环保问题，整个生产过程除了进料和出料工序，其他工序均采用密闭操作。</w:t>
            </w:r>
          </w:p>
          <w:p>
            <w:pPr>
              <w:adjustRightInd w:val="0"/>
              <w:snapToGrid w:val="0"/>
              <w:jc w:val="center"/>
              <w:rPr>
                <w:rFonts w:eastAsiaTheme="minorEastAsia"/>
                <w:b/>
                <w:color w:val="auto"/>
                <w:sz w:val="24"/>
              </w:rPr>
            </w:pPr>
            <w:r>
              <w:rPr>
                <w:rFonts w:eastAsiaTheme="minorEastAsia"/>
                <w:b/>
                <w:color w:val="auto"/>
                <w:sz w:val="24"/>
              </w:rPr>
              <mc:AlternateContent>
                <mc:Choice Requires="wpc">
                  <w:drawing>
                    <wp:inline distT="0" distB="0" distL="114300" distR="114300">
                      <wp:extent cx="5622290" cy="5394960"/>
                      <wp:effectExtent l="0" t="0" r="16510" b="0"/>
                      <wp:docPr id="71" name="画布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矩形 135"/>
                              <wps:cNvSpPr/>
                              <wps:spPr>
                                <a:xfrm>
                                  <a:off x="2298700" y="1178560"/>
                                  <a:ext cx="110363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冷料密闭输送</w:t>
                                    </w:r>
                                  </w:p>
                                </w:txbxContent>
                              </wps:txbx>
                              <wps:bodyPr upright="1"/>
                            </wps:wsp>
                            <wps:wsp>
                              <wps:cNvPr id="6" name="矩形 136"/>
                              <wps:cNvSpPr/>
                              <wps:spPr>
                                <a:xfrm>
                                  <a:off x="2428240" y="1748790"/>
                                  <a:ext cx="83693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烘干</w:t>
                                    </w:r>
                                  </w:p>
                                </w:txbxContent>
                              </wps:txbx>
                              <wps:bodyPr upright="1"/>
                            </wps:wsp>
                            <wps:wsp>
                              <wps:cNvPr id="7" name="矩形 137"/>
                              <wps:cNvSpPr/>
                              <wps:spPr>
                                <a:xfrm>
                                  <a:off x="2453640" y="3481070"/>
                                  <a:ext cx="77978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密闭计量</w:t>
                                    </w:r>
                                  </w:p>
                                  <w:p/>
                                </w:txbxContent>
                              </wps:txbx>
                              <wps:bodyPr upright="1"/>
                            </wps:wsp>
                            <wps:wsp>
                              <wps:cNvPr id="9" name="自选图形 138"/>
                              <wps:cNvCnPr/>
                              <wps:spPr>
                                <a:xfrm>
                                  <a:off x="3467735" y="1668145"/>
                                  <a:ext cx="585470" cy="635"/>
                                </a:xfrm>
                                <a:prstGeom prst="straightConnector1">
                                  <a:avLst/>
                                </a:prstGeom>
                                <a:ln w="9525" cap="flat" cmpd="sng">
                                  <a:solidFill>
                                    <a:srgbClr val="000000"/>
                                  </a:solidFill>
                                  <a:prstDash val="dash"/>
                                  <a:headEnd type="none" w="med" len="med"/>
                                  <a:tailEnd type="triangle" w="med" len="med"/>
                                </a:ln>
                              </wps:spPr>
                              <wps:bodyPr/>
                            </wps:wsp>
                            <wps:wsp>
                              <wps:cNvPr id="10" name="矩形 139"/>
                              <wps:cNvSpPr/>
                              <wps:spPr>
                                <a:xfrm>
                                  <a:off x="2420620" y="4044315"/>
                                  <a:ext cx="84836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密闭搅拌</w:t>
                                    </w:r>
                                  </w:p>
                                  <w:p/>
                                </w:txbxContent>
                              </wps:txbx>
                              <wps:bodyPr upright="1"/>
                            </wps:wsp>
                            <wps:wsp>
                              <wps:cNvPr id="12" name="自选图形 140"/>
                              <wps:cNvCnPr/>
                              <wps:spPr>
                                <a:xfrm flipH="1">
                                  <a:off x="2846705" y="1480185"/>
                                  <a:ext cx="3810" cy="268605"/>
                                </a:xfrm>
                                <a:prstGeom prst="straightConnector1">
                                  <a:avLst/>
                                </a:prstGeom>
                                <a:ln w="9525" cap="flat" cmpd="sng">
                                  <a:solidFill>
                                    <a:srgbClr val="000000"/>
                                  </a:solidFill>
                                  <a:prstDash val="solid"/>
                                  <a:headEnd type="none" w="med" len="med"/>
                                  <a:tailEnd type="triangle" w="med" len="med"/>
                                </a:ln>
                              </wps:spPr>
                              <wps:bodyPr/>
                            </wps:wsp>
                            <wps:wsp>
                              <wps:cNvPr id="13" name="矩形 141"/>
                              <wps:cNvSpPr/>
                              <wps:spPr>
                                <a:xfrm>
                                  <a:off x="2199640" y="520700"/>
                                  <a:ext cx="1268095" cy="2294890"/>
                                </a:xfrm>
                                <a:prstGeom prst="rect">
                                  <a:avLst/>
                                </a:prstGeom>
                                <a:noFill/>
                                <a:ln w="9525" cap="flat" cmpd="sng">
                                  <a:solidFill>
                                    <a:srgbClr val="000000"/>
                                  </a:solidFill>
                                  <a:prstDash val="dash"/>
                                  <a:miter/>
                                  <a:headEnd type="none" w="med" len="med"/>
                                  <a:tailEnd type="none" w="med" len="med"/>
                                </a:ln>
                              </wps:spPr>
                              <wps:bodyPr upright="1"/>
                            </wps:wsp>
                            <wps:wsp>
                              <wps:cNvPr id="15" name="矩形 142"/>
                              <wps:cNvSpPr/>
                              <wps:spPr>
                                <a:xfrm>
                                  <a:off x="2428240" y="2924810"/>
                                  <a:ext cx="83693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热料仓</w:t>
                                    </w:r>
                                  </w:p>
                                  <w:p/>
                                </w:txbxContent>
                              </wps:txbx>
                              <wps:bodyPr upright="1"/>
                            </wps:wsp>
                            <wps:wsp>
                              <wps:cNvPr id="16" name="矩形 143"/>
                              <wps:cNvSpPr/>
                              <wps:spPr>
                                <a:xfrm>
                                  <a:off x="2428240" y="2350135"/>
                                  <a:ext cx="83693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热料筛分</w:t>
                                    </w:r>
                                  </w:p>
                                  <w:p/>
                                </w:txbxContent>
                              </wps:txbx>
                              <wps:bodyPr upright="1"/>
                            </wps:wsp>
                            <wps:wsp>
                              <wps:cNvPr id="17" name="自选图形 144"/>
                              <wps:cNvCnPr/>
                              <wps:spPr>
                                <a:xfrm>
                                  <a:off x="2846070" y="2050415"/>
                                  <a:ext cx="635" cy="299720"/>
                                </a:xfrm>
                                <a:prstGeom prst="straightConnector1">
                                  <a:avLst/>
                                </a:prstGeom>
                                <a:ln w="9525" cap="flat" cmpd="sng">
                                  <a:solidFill>
                                    <a:srgbClr val="000000"/>
                                  </a:solidFill>
                                  <a:prstDash val="solid"/>
                                  <a:headEnd type="none" w="med" len="med"/>
                                  <a:tailEnd type="triangle" w="med" len="med"/>
                                </a:ln>
                              </wps:spPr>
                              <wps:bodyPr/>
                            </wps:wsp>
                            <wps:wsp>
                              <wps:cNvPr id="18" name="自选图形 145"/>
                              <wps:cNvCnPr/>
                              <wps:spPr>
                                <a:xfrm>
                                  <a:off x="2846705" y="2651760"/>
                                  <a:ext cx="635" cy="273050"/>
                                </a:xfrm>
                                <a:prstGeom prst="straightConnector1">
                                  <a:avLst/>
                                </a:prstGeom>
                                <a:ln w="9525" cap="flat" cmpd="sng">
                                  <a:solidFill>
                                    <a:srgbClr val="000000"/>
                                  </a:solidFill>
                                  <a:prstDash val="solid"/>
                                  <a:headEnd type="none" w="med" len="med"/>
                                  <a:tailEnd type="triangle" w="med" len="med"/>
                                </a:ln>
                              </wps:spPr>
                              <wps:bodyPr/>
                            </wps:wsp>
                            <wps:wsp>
                              <wps:cNvPr id="20" name="自选图形 146"/>
                              <wps:cNvCnPr/>
                              <wps:spPr>
                                <a:xfrm flipH="1">
                                  <a:off x="2843530" y="3226435"/>
                                  <a:ext cx="7620" cy="254635"/>
                                </a:xfrm>
                                <a:prstGeom prst="straightConnector1">
                                  <a:avLst/>
                                </a:prstGeom>
                                <a:ln w="9525" cap="flat" cmpd="sng">
                                  <a:solidFill>
                                    <a:srgbClr val="000000"/>
                                  </a:solidFill>
                                  <a:prstDash val="solid"/>
                                  <a:headEnd type="none" w="med" len="med"/>
                                  <a:tailEnd type="triangle" w="med" len="med"/>
                                </a:ln>
                              </wps:spPr>
                              <wps:bodyPr/>
                            </wps:wsp>
                            <wps:wsp>
                              <wps:cNvPr id="22" name="自选图形 147"/>
                              <wps:cNvCnPr/>
                              <wps:spPr>
                                <a:xfrm>
                                  <a:off x="1329690" y="3699510"/>
                                  <a:ext cx="635" cy="344805"/>
                                </a:xfrm>
                                <a:prstGeom prst="straightConnector1">
                                  <a:avLst/>
                                </a:prstGeom>
                                <a:ln w="9525" cap="flat" cmpd="sng">
                                  <a:solidFill>
                                    <a:srgbClr val="000000"/>
                                  </a:solidFill>
                                  <a:prstDash val="solid"/>
                                  <a:headEnd type="none" w="med" len="med"/>
                                  <a:tailEnd type="triangle" w="med" len="med"/>
                                </a:ln>
                              </wps:spPr>
                              <wps:bodyPr/>
                            </wps:wsp>
                            <wps:wsp>
                              <wps:cNvPr id="23" name="矩形 148"/>
                              <wps:cNvSpPr/>
                              <wps:spPr>
                                <a:xfrm>
                                  <a:off x="4939030" y="3442335"/>
                                  <a:ext cx="526415" cy="301625"/>
                                </a:xfrm>
                                <a:prstGeom prst="rect">
                                  <a:avLst/>
                                </a:prstGeom>
                                <a:solidFill>
                                  <a:srgbClr val="FFFFFF"/>
                                </a:solidFill>
                                <a:ln>
                                  <a:noFill/>
                                </a:ln>
                              </wps:spPr>
                              <wps:txbx>
                                <w:txbxContent>
                                  <w:p>
                                    <w:r>
                                      <w:rPr>
                                        <w:rFonts w:hint="eastAsia"/>
                                      </w:rPr>
                                      <w:t>噪声</w:t>
                                    </w:r>
                                  </w:p>
                                </w:txbxContent>
                              </wps:txbx>
                              <wps:bodyPr upright="1"/>
                            </wps:wsp>
                            <wps:wsp>
                              <wps:cNvPr id="24" name="自选图形 149"/>
                              <wps:cNvCnPr/>
                              <wps:spPr>
                                <a:xfrm>
                                  <a:off x="2843530" y="3783330"/>
                                  <a:ext cx="1270" cy="260985"/>
                                </a:xfrm>
                                <a:prstGeom prst="straightConnector1">
                                  <a:avLst/>
                                </a:prstGeom>
                                <a:ln w="9525" cap="flat" cmpd="sng">
                                  <a:solidFill>
                                    <a:srgbClr val="000000"/>
                                  </a:solidFill>
                                  <a:prstDash val="solid"/>
                                  <a:headEnd type="none" w="med" len="med"/>
                                  <a:tailEnd type="triangle" w="med" len="med"/>
                                </a:ln>
                              </wps:spPr>
                              <wps:bodyPr/>
                            </wps:wsp>
                            <wps:wsp>
                              <wps:cNvPr id="25" name="矩形 150"/>
                              <wps:cNvSpPr/>
                              <wps:spPr>
                                <a:xfrm>
                                  <a:off x="2453640" y="628015"/>
                                  <a:ext cx="77978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投料</w:t>
                                    </w:r>
                                  </w:p>
                                </w:txbxContent>
                              </wps:txbx>
                              <wps:bodyPr upright="1"/>
                            </wps:wsp>
                            <wps:wsp>
                              <wps:cNvPr id="26" name="自选图形 151"/>
                              <wps:cNvCnPr/>
                              <wps:spPr>
                                <a:xfrm flipH="1">
                                  <a:off x="2842260" y="930275"/>
                                  <a:ext cx="3810" cy="268605"/>
                                </a:xfrm>
                                <a:prstGeom prst="straightConnector1">
                                  <a:avLst/>
                                </a:prstGeom>
                                <a:ln w="9525" cap="flat" cmpd="sng">
                                  <a:solidFill>
                                    <a:srgbClr val="000000"/>
                                  </a:solidFill>
                                  <a:prstDash val="solid"/>
                                  <a:headEnd type="none" w="med" len="med"/>
                                  <a:tailEnd type="triangle" w="med" len="med"/>
                                </a:ln>
                              </wps:spPr>
                              <wps:bodyPr/>
                            </wps:wsp>
                            <wps:wsp>
                              <wps:cNvPr id="27" name="自选图形 152"/>
                              <wps:cNvCnPr/>
                              <wps:spPr>
                                <a:xfrm flipH="1">
                                  <a:off x="2838450" y="359410"/>
                                  <a:ext cx="3810" cy="268605"/>
                                </a:xfrm>
                                <a:prstGeom prst="straightConnector1">
                                  <a:avLst/>
                                </a:prstGeom>
                                <a:ln w="9525" cap="flat" cmpd="sng">
                                  <a:solidFill>
                                    <a:srgbClr val="000000"/>
                                  </a:solidFill>
                                  <a:prstDash val="solid"/>
                                  <a:headEnd type="none" w="med" len="med"/>
                                  <a:tailEnd type="triangle" w="med" len="med"/>
                                </a:ln>
                              </wps:spPr>
                              <wps:bodyPr/>
                            </wps:wsp>
                            <wps:wsp>
                              <wps:cNvPr id="28" name="矩形 153"/>
                              <wps:cNvSpPr/>
                              <wps:spPr>
                                <a:xfrm>
                                  <a:off x="2453640" y="57785"/>
                                  <a:ext cx="77978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骨料</w:t>
                                    </w:r>
                                  </w:p>
                                </w:txbxContent>
                              </wps:txbx>
                              <wps:bodyPr upright="1"/>
                            </wps:wsp>
                            <wps:wsp>
                              <wps:cNvPr id="29" name="自选图形 154"/>
                              <wps:cNvCnPr/>
                              <wps:spPr>
                                <a:xfrm>
                                  <a:off x="2838450" y="4346575"/>
                                  <a:ext cx="3810" cy="260985"/>
                                </a:xfrm>
                                <a:prstGeom prst="straightConnector1">
                                  <a:avLst/>
                                </a:prstGeom>
                                <a:ln w="9525" cap="flat" cmpd="sng">
                                  <a:solidFill>
                                    <a:srgbClr val="000000"/>
                                  </a:solidFill>
                                  <a:prstDash val="solid"/>
                                  <a:headEnd type="none" w="med" len="med"/>
                                  <a:tailEnd type="triangle" w="med" len="med"/>
                                </a:ln>
                              </wps:spPr>
                              <wps:bodyPr/>
                            </wps:wsp>
                            <wps:wsp>
                              <wps:cNvPr id="30" name="矩形 155"/>
                              <wps:cNvSpPr/>
                              <wps:spPr>
                                <a:xfrm>
                                  <a:off x="866140" y="4053840"/>
                                  <a:ext cx="95377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密闭计量</w:t>
                                    </w:r>
                                  </w:p>
                                  <w:p/>
                                </w:txbxContent>
                              </wps:txbx>
                              <wps:bodyPr upright="1"/>
                            </wps:wsp>
                            <wps:wsp>
                              <wps:cNvPr id="31" name="矩形 156"/>
                              <wps:cNvSpPr/>
                              <wps:spPr>
                                <a:xfrm>
                                  <a:off x="828040" y="3397250"/>
                                  <a:ext cx="95377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沥青储罐</w:t>
                                    </w:r>
                                  </w:p>
                                </w:txbxContent>
                              </wps:txbx>
                              <wps:bodyPr upright="1"/>
                            </wps:wsp>
                            <wps:wsp>
                              <wps:cNvPr id="32" name="自选图形 157"/>
                              <wps:cNvCnPr/>
                              <wps:spPr>
                                <a:xfrm>
                                  <a:off x="4345940" y="3049270"/>
                                  <a:ext cx="635" cy="344805"/>
                                </a:xfrm>
                                <a:prstGeom prst="straightConnector1">
                                  <a:avLst/>
                                </a:prstGeom>
                                <a:ln w="9525" cap="flat" cmpd="sng">
                                  <a:solidFill>
                                    <a:srgbClr val="000000"/>
                                  </a:solidFill>
                                  <a:prstDash val="solid"/>
                                  <a:headEnd type="none" w="med" len="med"/>
                                  <a:tailEnd type="triangle" w="med" len="med"/>
                                </a:ln>
                              </wps:spPr>
                              <wps:bodyPr/>
                            </wps:wsp>
                            <wps:wsp>
                              <wps:cNvPr id="33" name="矩形 158"/>
                              <wps:cNvSpPr/>
                              <wps:spPr>
                                <a:xfrm>
                                  <a:off x="3863340" y="2766060"/>
                                  <a:ext cx="95377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矿粉筒仓</w:t>
                                    </w:r>
                                  </w:p>
                                </w:txbxContent>
                              </wps:txbx>
                              <wps:bodyPr upright="1"/>
                            </wps:wsp>
                            <wps:wsp>
                              <wps:cNvPr id="34" name="矩形 159"/>
                              <wps:cNvSpPr/>
                              <wps:spPr>
                                <a:xfrm>
                                  <a:off x="3853180" y="4044315"/>
                                  <a:ext cx="95377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密闭计量</w:t>
                                    </w:r>
                                  </w:p>
                                  <w:p/>
                                </w:txbxContent>
                              </wps:txbx>
                              <wps:bodyPr upright="1"/>
                            </wps:wsp>
                            <wps:wsp>
                              <wps:cNvPr id="35" name="自选图形 160"/>
                              <wps:cNvCnPr/>
                              <wps:spPr>
                                <a:xfrm>
                                  <a:off x="4356100" y="3699510"/>
                                  <a:ext cx="635" cy="344805"/>
                                </a:xfrm>
                                <a:prstGeom prst="straightConnector1">
                                  <a:avLst/>
                                </a:prstGeom>
                                <a:ln w="9525" cap="flat" cmpd="sng">
                                  <a:solidFill>
                                    <a:srgbClr val="000000"/>
                                  </a:solidFill>
                                  <a:prstDash val="solid"/>
                                  <a:headEnd type="none" w="med" len="med"/>
                                  <a:tailEnd type="triangle" w="med" len="med"/>
                                </a:ln>
                              </wps:spPr>
                              <wps:bodyPr/>
                            </wps:wsp>
                            <wps:wsp>
                              <wps:cNvPr id="37" name="矩形 161"/>
                              <wps:cNvSpPr/>
                              <wps:spPr>
                                <a:xfrm>
                                  <a:off x="3863340" y="3397250"/>
                                  <a:ext cx="953135"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密闭输送</w:t>
                                    </w:r>
                                  </w:p>
                                  <w:p/>
                                </w:txbxContent>
                              </wps:txbx>
                              <wps:bodyPr upright="1"/>
                            </wps:wsp>
                            <wps:wsp>
                              <wps:cNvPr id="38" name="自选图形 162"/>
                              <wps:cNvCnPr/>
                              <wps:spPr>
                                <a:xfrm flipV="1">
                                  <a:off x="1160145" y="3067050"/>
                                  <a:ext cx="635" cy="318135"/>
                                </a:xfrm>
                                <a:prstGeom prst="straightConnector1">
                                  <a:avLst/>
                                </a:prstGeom>
                                <a:ln w="9525" cap="flat" cmpd="sng">
                                  <a:solidFill>
                                    <a:srgbClr val="000000"/>
                                  </a:solidFill>
                                  <a:prstDash val="dash"/>
                                  <a:headEnd type="none" w="med" len="med"/>
                                  <a:tailEnd type="triangle" w="med" len="med"/>
                                </a:ln>
                              </wps:spPr>
                              <wps:bodyPr/>
                            </wps:wsp>
                            <wps:wsp>
                              <wps:cNvPr id="39" name="自选图形 163"/>
                              <wps:cNvCnPr/>
                              <wps:spPr>
                                <a:xfrm>
                                  <a:off x="1402715" y="3083560"/>
                                  <a:ext cx="635" cy="330200"/>
                                </a:xfrm>
                                <a:prstGeom prst="straightConnector1">
                                  <a:avLst/>
                                </a:prstGeom>
                                <a:ln w="9525" cap="flat" cmpd="sng">
                                  <a:solidFill>
                                    <a:srgbClr val="000000"/>
                                  </a:solidFill>
                                  <a:prstDash val="dash"/>
                                  <a:headEnd type="none" w="med" len="med"/>
                                  <a:tailEnd type="triangle" w="med" len="med"/>
                                </a:ln>
                              </wps:spPr>
                              <wps:bodyPr/>
                            </wps:wsp>
                            <wps:wsp>
                              <wps:cNvPr id="40" name="矩形 164"/>
                              <wps:cNvSpPr/>
                              <wps:spPr>
                                <a:xfrm>
                                  <a:off x="850900" y="2550795"/>
                                  <a:ext cx="1097280" cy="501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导热油炉+</w:t>
                                    </w:r>
                                    <w:r>
                                      <w:rPr>
                                        <w:sz w:val="18"/>
                                        <w:szCs w:val="18"/>
                                      </w:rPr>
                                      <w:t>低氮燃烧器</w:t>
                                    </w:r>
                                  </w:p>
                                  <w:p>
                                    <w:pPr>
                                      <w:jc w:val="center"/>
                                    </w:pPr>
                                  </w:p>
                                  <w:p>
                                    <w:pPr>
                                      <w:jc w:val="center"/>
                                    </w:pPr>
                                  </w:p>
                                  <w:p/>
                                </w:txbxContent>
                              </wps:txbx>
                              <wps:bodyPr upright="1"/>
                            </wps:wsp>
                            <wps:wsp>
                              <wps:cNvPr id="41" name="矩形 165"/>
                              <wps:cNvSpPr/>
                              <wps:spPr>
                                <a:xfrm>
                                  <a:off x="3966845" y="1537335"/>
                                  <a:ext cx="1655445" cy="301625"/>
                                </a:xfrm>
                                <a:prstGeom prst="rect">
                                  <a:avLst/>
                                </a:prstGeom>
                                <a:noFill/>
                                <a:ln>
                                  <a:noFill/>
                                </a:ln>
                              </wps:spPr>
                              <wps:txbx>
                                <w:txbxContent>
                                  <w:p>
                                    <w:r>
                                      <w:rPr>
                                        <w:rFonts w:hint="eastAsia"/>
                                      </w:rPr>
                                      <w:t>噪声、粉尘、烟气、固废</w:t>
                                    </w:r>
                                  </w:p>
                                  <w:p/>
                                </w:txbxContent>
                              </wps:txbx>
                              <wps:bodyPr upright="1"/>
                            </wps:wsp>
                            <wps:wsp>
                              <wps:cNvPr id="42" name="矩形 166"/>
                              <wps:cNvSpPr/>
                              <wps:spPr>
                                <a:xfrm>
                                  <a:off x="1399540" y="3083560"/>
                                  <a:ext cx="704850" cy="301625"/>
                                </a:xfrm>
                                <a:prstGeom prst="rect">
                                  <a:avLst/>
                                </a:prstGeom>
                                <a:noFill/>
                                <a:ln>
                                  <a:noFill/>
                                </a:ln>
                              </wps:spPr>
                              <wps:txbx>
                                <w:txbxContent>
                                  <w:p>
                                    <w:r>
                                      <w:t>导热油</w:t>
                                    </w:r>
                                    <w:r>
                                      <w:rPr>
                                        <w:rFonts w:hint="eastAsia"/>
                                      </w:rPr>
                                      <w:t xml:space="preserve"> </w:t>
                                    </w:r>
                                  </w:p>
                                </w:txbxContent>
                              </wps:txbx>
                              <wps:bodyPr upright="1"/>
                            </wps:wsp>
                            <wps:wsp>
                              <wps:cNvPr id="43" name="矩形 167"/>
                              <wps:cNvSpPr/>
                              <wps:spPr>
                                <a:xfrm>
                                  <a:off x="1140460" y="4488815"/>
                                  <a:ext cx="807720" cy="848995"/>
                                </a:xfrm>
                                <a:prstGeom prst="rect">
                                  <a:avLst/>
                                </a:prstGeom>
                                <a:noFill/>
                                <a:ln>
                                  <a:noFill/>
                                </a:ln>
                              </wps:spPr>
                              <wps:txbx>
                                <w:txbxContent>
                                  <w:p>
                                    <w:pPr>
                                      <w:rPr>
                                        <w:szCs w:val="21"/>
                                      </w:rPr>
                                    </w:pPr>
                                    <w:r>
                                      <w:t>沥青烟</w:t>
                                    </w:r>
                                    <w:r>
                                      <w:rPr>
                                        <w:rFonts w:hint="eastAsia"/>
                                        <w:szCs w:val="21"/>
                                      </w:rPr>
                                      <w:t>、</w:t>
                                    </w:r>
                                    <w:r>
                                      <w:rPr>
                                        <w:rFonts w:hint="eastAsia" w:eastAsiaTheme="minorEastAsia"/>
                                        <w:szCs w:val="21"/>
                                      </w:rPr>
                                      <w:t>苯并[a]芘、非甲烷总烃、</w:t>
                                    </w:r>
                                    <w:r>
                                      <w:t>噪声</w:t>
                                    </w:r>
                                  </w:p>
                                </w:txbxContent>
                              </wps:txbx>
                              <wps:bodyPr upright="1"/>
                            </wps:wsp>
                            <wps:wsp>
                              <wps:cNvPr id="44" name="自选图形 168"/>
                              <wps:cNvCnPr/>
                              <wps:spPr>
                                <a:xfrm>
                                  <a:off x="1882140" y="4761865"/>
                                  <a:ext cx="300990" cy="635"/>
                                </a:xfrm>
                                <a:prstGeom prst="straightConnector1">
                                  <a:avLst/>
                                </a:prstGeom>
                                <a:ln w="9525" cap="flat" cmpd="sng">
                                  <a:solidFill>
                                    <a:srgbClr val="000000"/>
                                  </a:solidFill>
                                  <a:prstDash val="dash"/>
                                  <a:headEnd type="triangle" w="med" len="med"/>
                                  <a:tailEnd type="none" w="med" len="med"/>
                                </a:ln>
                              </wps:spPr>
                              <wps:bodyPr/>
                            </wps:wsp>
                            <wps:wsp>
                              <wps:cNvPr id="45" name="自选图形 169"/>
                              <wps:cNvCnPr/>
                              <wps:spPr>
                                <a:xfrm>
                                  <a:off x="1536065" y="2174875"/>
                                  <a:ext cx="635000" cy="635"/>
                                </a:xfrm>
                                <a:prstGeom prst="straightConnector1">
                                  <a:avLst/>
                                </a:prstGeom>
                                <a:ln w="9525" cap="flat" cmpd="sng">
                                  <a:solidFill>
                                    <a:srgbClr val="000000"/>
                                  </a:solidFill>
                                  <a:prstDash val="solid"/>
                                  <a:headEnd type="none" w="med" len="med"/>
                                  <a:tailEnd type="triangle" w="med" len="med"/>
                                </a:ln>
                              </wps:spPr>
                              <wps:bodyPr/>
                            </wps:wsp>
                            <wps:wsp>
                              <wps:cNvPr id="46" name="矩形 170"/>
                              <wps:cNvSpPr/>
                              <wps:spPr>
                                <a:xfrm>
                                  <a:off x="180340" y="2029460"/>
                                  <a:ext cx="1344295"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hAnsiTheme="minorEastAsia" w:eastAsiaTheme="minorEastAsia"/>
                                        <w:bCs/>
                                        <w:szCs w:val="21"/>
                                      </w:rPr>
                                      <w:t>燃烧器</w:t>
                                    </w:r>
                                  </w:p>
                                </w:txbxContent>
                              </wps:txbx>
                              <wps:bodyPr upright="1"/>
                            </wps:wsp>
                            <wps:wsp>
                              <wps:cNvPr id="47" name="矩形 171"/>
                              <wps:cNvSpPr/>
                              <wps:spPr>
                                <a:xfrm>
                                  <a:off x="1607185" y="1949450"/>
                                  <a:ext cx="568960" cy="302260"/>
                                </a:xfrm>
                                <a:prstGeom prst="rect">
                                  <a:avLst/>
                                </a:prstGeom>
                                <a:noFill/>
                                <a:ln>
                                  <a:noFill/>
                                </a:ln>
                              </wps:spPr>
                              <wps:txbx>
                                <w:txbxContent>
                                  <w:p>
                                    <w:r>
                                      <w:rPr>
                                        <w:rFonts w:hint="eastAsia"/>
                                      </w:rPr>
                                      <w:t>明火</w:t>
                                    </w:r>
                                  </w:p>
                                </w:txbxContent>
                              </wps:txbx>
                              <wps:bodyPr upright="1"/>
                            </wps:wsp>
                            <wps:wsp>
                              <wps:cNvPr id="48" name="矩形 172"/>
                              <wps:cNvSpPr/>
                              <wps:spPr>
                                <a:xfrm>
                                  <a:off x="2199640" y="2815590"/>
                                  <a:ext cx="1268095" cy="1105535"/>
                                </a:xfrm>
                                <a:prstGeom prst="rect">
                                  <a:avLst/>
                                </a:prstGeom>
                                <a:noFill/>
                                <a:ln w="9525" cap="flat" cmpd="sng">
                                  <a:solidFill>
                                    <a:srgbClr val="000000"/>
                                  </a:solidFill>
                                  <a:prstDash val="dash"/>
                                  <a:miter/>
                                  <a:headEnd type="none" w="med" len="med"/>
                                  <a:tailEnd type="none" w="med" len="med"/>
                                </a:ln>
                              </wps:spPr>
                              <wps:bodyPr upright="1"/>
                            </wps:wsp>
                            <wps:wsp>
                              <wps:cNvPr id="49" name="矩形 173"/>
                              <wps:cNvSpPr/>
                              <wps:spPr>
                                <a:xfrm>
                                  <a:off x="2425700" y="4607560"/>
                                  <a:ext cx="84836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成品外运</w:t>
                                    </w:r>
                                  </w:p>
                                </w:txbxContent>
                              </wps:txbx>
                              <wps:bodyPr upright="1"/>
                            </wps:wsp>
                            <wps:wsp>
                              <wps:cNvPr id="50" name="自选图形 174"/>
                              <wps:cNvCnPr/>
                              <wps:spPr>
                                <a:xfrm>
                                  <a:off x="1819910" y="4210685"/>
                                  <a:ext cx="585470" cy="635"/>
                                </a:xfrm>
                                <a:prstGeom prst="straightConnector1">
                                  <a:avLst/>
                                </a:prstGeom>
                                <a:ln w="9525" cap="flat" cmpd="sng">
                                  <a:solidFill>
                                    <a:srgbClr val="000000"/>
                                  </a:solidFill>
                                  <a:prstDash val="solid"/>
                                  <a:headEnd type="none" w="med" len="med"/>
                                  <a:tailEnd type="triangle" w="med" len="med"/>
                                </a:ln>
                              </wps:spPr>
                              <wps:bodyPr/>
                            </wps:wsp>
                            <wps:wsp>
                              <wps:cNvPr id="51" name="自选图形 175"/>
                              <wps:cNvCnPr/>
                              <wps:spPr>
                                <a:xfrm>
                                  <a:off x="3261995" y="4210050"/>
                                  <a:ext cx="585470" cy="635"/>
                                </a:xfrm>
                                <a:prstGeom prst="straightConnector1">
                                  <a:avLst/>
                                </a:prstGeom>
                                <a:ln w="9525" cap="flat" cmpd="sng">
                                  <a:solidFill>
                                    <a:srgbClr val="000000"/>
                                  </a:solidFill>
                                  <a:prstDash val="solid"/>
                                  <a:headEnd type="triangle" w="med" len="med"/>
                                  <a:tailEnd type="none" w="med" len="med"/>
                                </a:ln>
                              </wps:spPr>
                              <wps:bodyPr/>
                            </wps:wsp>
                            <wps:wsp>
                              <wps:cNvPr id="52" name="自选图形 176"/>
                              <wps:cNvCnPr/>
                              <wps:spPr>
                                <a:xfrm>
                                  <a:off x="526415" y="2815590"/>
                                  <a:ext cx="324485" cy="635"/>
                                </a:xfrm>
                                <a:prstGeom prst="straightConnector1">
                                  <a:avLst/>
                                </a:prstGeom>
                                <a:ln w="9525" cap="flat" cmpd="sng">
                                  <a:solidFill>
                                    <a:srgbClr val="000000"/>
                                  </a:solidFill>
                                  <a:prstDash val="dash"/>
                                  <a:headEnd type="triangle" w="med" len="med"/>
                                  <a:tailEnd type="none" w="med" len="med"/>
                                </a:ln>
                              </wps:spPr>
                              <wps:bodyPr/>
                            </wps:wsp>
                            <wps:wsp>
                              <wps:cNvPr id="53" name="矩形 177"/>
                              <wps:cNvSpPr/>
                              <wps:spPr>
                                <a:xfrm>
                                  <a:off x="179705" y="2680335"/>
                                  <a:ext cx="508635" cy="301625"/>
                                </a:xfrm>
                                <a:prstGeom prst="rect">
                                  <a:avLst/>
                                </a:prstGeom>
                                <a:noFill/>
                                <a:ln>
                                  <a:noFill/>
                                </a:ln>
                              </wps:spPr>
                              <wps:txbx>
                                <w:txbxContent>
                                  <w:p>
                                    <w:r>
                                      <w:rPr>
                                        <w:rFonts w:hint="eastAsia"/>
                                      </w:rPr>
                                      <w:t>烟气</w:t>
                                    </w:r>
                                  </w:p>
                                  <w:p/>
                                </w:txbxContent>
                              </wps:txbx>
                              <wps:bodyPr upright="1"/>
                            </wps:wsp>
                            <wps:wsp>
                              <wps:cNvPr id="54" name="自选图形 180"/>
                              <wps:cNvCnPr/>
                              <wps:spPr>
                                <a:xfrm>
                                  <a:off x="4817110" y="2924175"/>
                                  <a:ext cx="200025" cy="635"/>
                                </a:xfrm>
                                <a:prstGeom prst="straightConnector1">
                                  <a:avLst/>
                                </a:prstGeom>
                                <a:ln w="9525" cap="flat" cmpd="sng">
                                  <a:solidFill>
                                    <a:srgbClr val="000000"/>
                                  </a:solidFill>
                                  <a:prstDash val="dash"/>
                                  <a:headEnd type="none" w="med" len="med"/>
                                  <a:tailEnd type="triangle" w="med" len="med"/>
                                </a:ln>
                              </wps:spPr>
                              <wps:bodyPr/>
                            </wps:wsp>
                            <wps:wsp>
                              <wps:cNvPr id="55" name="矩形 181"/>
                              <wps:cNvSpPr/>
                              <wps:spPr>
                                <a:xfrm>
                                  <a:off x="4948555" y="2794635"/>
                                  <a:ext cx="626110" cy="301625"/>
                                </a:xfrm>
                                <a:prstGeom prst="rect">
                                  <a:avLst/>
                                </a:prstGeom>
                                <a:noFill/>
                                <a:ln>
                                  <a:noFill/>
                                </a:ln>
                              </wps:spPr>
                              <wps:txbx>
                                <w:txbxContent>
                                  <w:p>
                                    <w:r>
                                      <w:rPr>
                                        <w:rFonts w:hint="eastAsia"/>
                                      </w:rPr>
                                      <w:t>粉尘</w:t>
                                    </w:r>
                                  </w:p>
                                </w:txbxContent>
                              </wps:txbx>
                              <wps:bodyPr upright="1"/>
                            </wps:wsp>
                            <wps:wsp>
                              <wps:cNvPr id="56" name="自选图形 182"/>
                              <wps:cNvCnPr/>
                              <wps:spPr>
                                <a:xfrm>
                                  <a:off x="4826635" y="3571240"/>
                                  <a:ext cx="200025" cy="635"/>
                                </a:xfrm>
                                <a:prstGeom prst="straightConnector1">
                                  <a:avLst/>
                                </a:prstGeom>
                                <a:ln w="9525" cap="flat" cmpd="sng">
                                  <a:solidFill>
                                    <a:srgbClr val="000000"/>
                                  </a:solidFill>
                                  <a:prstDash val="dash"/>
                                  <a:headEnd type="none" w="med" len="med"/>
                                  <a:tailEnd type="triangle" w="med" len="med"/>
                                </a:ln>
                              </wps:spPr>
                              <wps:bodyPr/>
                            </wps:wsp>
                            <wps:wsp>
                              <wps:cNvPr id="57" name="自选图形 183"/>
                              <wps:cNvCnPr/>
                              <wps:spPr>
                                <a:xfrm>
                                  <a:off x="4826635" y="4209415"/>
                                  <a:ext cx="200025" cy="635"/>
                                </a:xfrm>
                                <a:prstGeom prst="straightConnector1">
                                  <a:avLst/>
                                </a:prstGeom>
                                <a:ln w="9525" cap="flat" cmpd="sng">
                                  <a:solidFill>
                                    <a:srgbClr val="000000"/>
                                  </a:solidFill>
                                  <a:prstDash val="dash"/>
                                  <a:headEnd type="none" w="med" len="med"/>
                                  <a:tailEnd type="triangle" w="med" len="med"/>
                                </a:ln>
                              </wps:spPr>
                              <wps:bodyPr/>
                            </wps:wsp>
                            <wps:wsp>
                              <wps:cNvPr id="58" name="矩形 184"/>
                              <wps:cNvSpPr/>
                              <wps:spPr>
                                <a:xfrm>
                                  <a:off x="5007610" y="4083050"/>
                                  <a:ext cx="526415" cy="301625"/>
                                </a:xfrm>
                                <a:prstGeom prst="rect">
                                  <a:avLst/>
                                </a:prstGeom>
                                <a:solidFill>
                                  <a:srgbClr val="FFFFFF"/>
                                </a:solidFill>
                                <a:ln>
                                  <a:noFill/>
                                </a:ln>
                              </wps:spPr>
                              <wps:txbx>
                                <w:txbxContent>
                                  <w:p>
                                    <w:r>
                                      <w:rPr>
                                        <w:rFonts w:hint="eastAsia"/>
                                      </w:rPr>
                                      <w:t>噪声</w:t>
                                    </w:r>
                                  </w:p>
                                </w:txbxContent>
                              </wps:txbx>
                              <wps:bodyPr upright="1"/>
                            </wps:wsp>
                            <wps:wsp>
                              <wps:cNvPr id="59" name="自选图形 185"/>
                              <wps:cNvCnPr/>
                              <wps:spPr>
                                <a:xfrm>
                                  <a:off x="497840" y="3571875"/>
                                  <a:ext cx="324485" cy="635"/>
                                </a:xfrm>
                                <a:prstGeom prst="straightConnector1">
                                  <a:avLst/>
                                </a:prstGeom>
                                <a:ln w="9525" cap="flat" cmpd="sng">
                                  <a:solidFill>
                                    <a:srgbClr val="000000"/>
                                  </a:solidFill>
                                  <a:prstDash val="dash"/>
                                  <a:headEnd type="triangle" w="med" len="med"/>
                                  <a:tailEnd type="none" w="med" len="med"/>
                                </a:ln>
                              </wps:spPr>
                              <wps:bodyPr/>
                            </wps:wsp>
                            <wps:wsp>
                              <wps:cNvPr id="60" name="自选图形 186"/>
                              <wps:cNvCnPr/>
                              <wps:spPr>
                                <a:xfrm>
                                  <a:off x="541655" y="4208780"/>
                                  <a:ext cx="324485" cy="635"/>
                                </a:xfrm>
                                <a:prstGeom prst="straightConnector1">
                                  <a:avLst/>
                                </a:prstGeom>
                                <a:ln w="9525" cap="flat" cmpd="sng">
                                  <a:solidFill>
                                    <a:srgbClr val="000000"/>
                                  </a:solidFill>
                                  <a:prstDash val="dash"/>
                                  <a:headEnd type="triangle" w="med" len="med"/>
                                  <a:tailEnd type="none" w="med" len="med"/>
                                </a:ln>
                              </wps:spPr>
                              <wps:bodyPr/>
                            </wps:wsp>
                            <wps:wsp>
                              <wps:cNvPr id="61" name="矩形 187"/>
                              <wps:cNvSpPr/>
                              <wps:spPr>
                                <a:xfrm>
                                  <a:off x="164465" y="4073525"/>
                                  <a:ext cx="485775" cy="301625"/>
                                </a:xfrm>
                                <a:prstGeom prst="rect">
                                  <a:avLst/>
                                </a:prstGeom>
                                <a:solidFill>
                                  <a:srgbClr val="FFFFFF">
                                    <a:alpha val="0"/>
                                  </a:srgbClr>
                                </a:solidFill>
                                <a:ln>
                                  <a:noFill/>
                                </a:ln>
                              </wps:spPr>
                              <wps:txbx>
                                <w:txbxContent>
                                  <w:p>
                                    <w:r>
                                      <w:rPr>
                                        <w:rFonts w:hint="eastAsia"/>
                                      </w:rPr>
                                      <w:t>噪声</w:t>
                                    </w:r>
                                  </w:p>
                                </w:txbxContent>
                              </wps:txbx>
                              <wps:bodyPr upright="1"/>
                            </wps:wsp>
                            <wps:wsp>
                              <wps:cNvPr id="62" name="自选图形 189"/>
                              <wps:cNvCnPr/>
                              <wps:spPr>
                                <a:xfrm>
                                  <a:off x="983615" y="4838700"/>
                                  <a:ext cx="290195" cy="635"/>
                                </a:xfrm>
                                <a:prstGeom prst="straightConnector1">
                                  <a:avLst/>
                                </a:prstGeom>
                                <a:ln w="9525" cap="flat" cmpd="sng">
                                  <a:solidFill>
                                    <a:srgbClr val="000000"/>
                                  </a:solidFill>
                                  <a:prstDash val="solid"/>
                                  <a:headEnd type="triangle" w="med" len="med"/>
                                  <a:tailEnd type="none" w="med" len="med"/>
                                </a:ln>
                              </wps:spPr>
                              <wps:bodyPr/>
                            </wps:wsp>
                            <wps:wsp>
                              <wps:cNvPr id="63" name="文本框 190"/>
                              <wps:cNvSpPr txBox="1"/>
                              <wps:spPr>
                                <a:xfrm>
                                  <a:off x="107315" y="4488815"/>
                                  <a:ext cx="876300" cy="68516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Cs w:val="15"/>
                                        <w:lang w:eastAsia="zh-CN"/>
                                      </w:rPr>
                                    </w:pPr>
                                    <w:r>
                                      <w:rPr>
                                        <w:rFonts w:hint="eastAsia"/>
                                        <w:szCs w:val="21"/>
                                        <w:lang w:eastAsia="zh-CN"/>
                                      </w:rPr>
                                      <w:t>活性炭吸附</w:t>
                                    </w:r>
                                  </w:p>
                                </w:txbxContent>
                              </wps:txbx>
                              <wps:bodyPr upright="1"/>
                            </wps:wsp>
                            <wps:wsp>
                              <wps:cNvPr id="64" name="自选图形 191"/>
                              <wps:cNvCnPr/>
                              <wps:spPr>
                                <a:xfrm flipV="1">
                                  <a:off x="5026660" y="1776730"/>
                                  <a:ext cx="635" cy="252730"/>
                                </a:xfrm>
                                <a:prstGeom prst="straightConnector1">
                                  <a:avLst/>
                                </a:prstGeom>
                                <a:ln w="9525" cap="flat" cmpd="sng">
                                  <a:solidFill>
                                    <a:srgbClr val="000000"/>
                                  </a:solidFill>
                                  <a:prstDash val="solid"/>
                                  <a:headEnd type="triangle" w="med" len="med"/>
                                  <a:tailEnd type="none" w="med" len="med"/>
                                </a:ln>
                              </wps:spPr>
                              <wps:bodyPr/>
                            </wps:wsp>
                            <wps:wsp>
                              <wps:cNvPr id="65" name="自选图形 192"/>
                              <wps:cNvCnPr/>
                              <wps:spPr>
                                <a:xfrm flipV="1">
                                  <a:off x="4641215" y="1776730"/>
                                  <a:ext cx="635" cy="252730"/>
                                </a:xfrm>
                                <a:prstGeom prst="straightConnector1">
                                  <a:avLst/>
                                </a:prstGeom>
                                <a:ln w="9525" cap="flat" cmpd="sng">
                                  <a:solidFill>
                                    <a:srgbClr val="000000"/>
                                  </a:solidFill>
                                  <a:prstDash val="solid"/>
                                  <a:headEnd type="triangle" w="med" len="med"/>
                                  <a:tailEnd type="none" w="med" len="med"/>
                                </a:ln>
                              </wps:spPr>
                              <wps:bodyPr/>
                            </wps:wsp>
                            <wps:wsp>
                              <wps:cNvPr id="66" name="文本框 193"/>
                              <wps:cNvSpPr txBox="1"/>
                              <wps:spPr>
                                <a:xfrm>
                                  <a:off x="4547235" y="2059305"/>
                                  <a:ext cx="986790" cy="51816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szCs w:val="21"/>
                                        <w:lang w:val="en-US" w:eastAsia="zh-CN"/>
                                      </w:rPr>
                                    </w:pPr>
                                    <w:r>
                                      <w:rPr>
                                        <w:rFonts w:hint="eastAsia"/>
                                        <w:szCs w:val="21"/>
                                        <w:lang w:val="en-US" w:eastAsia="zh-CN"/>
                                      </w:rPr>
                                      <w:t>除尘系统</w:t>
                                    </w:r>
                                  </w:p>
                                </w:txbxContent>
                              </wps:txbx>
                              <wps:bodyPr upright="1"/>
                            </wps:wsp>
                            <wps:wsp>
                              <wps:cNvPr id="67" name="自选图形 194"/>
                              <wps:cNvCnPr/>
                              <wps:spPr>
                                <a:xfrm flipV="1">
                                  <a:off x="5179695" y="2577465"/>
                                  <a:ext cx="635" cy="252730"/>
                                </a:xfrm>
                                <a:prstGeom prst="straightConnector1">
                                  <a:avLst/>
                                </a:prstGeom>
                                <a:ln w="9525" cap="flat" cmpd="sng">
                                  <a:solidFill>
                                    <a:srgbClr val="000000"/>
                                  </a:solidFill>
                                  <a:prstDash val="solid"/>
                                  <a:headEnd type="none" w="med" len="med"/>
                                  <a:tailEnd type="triangle" w="med" len="med"/>
                                </a:ln>
                              </wps:spPr>
                              <wps:bodyPr/>
                            </wps:wsp>
                            <wps:wsp>
                              <wps:cNvPr id="68" name="自选图形 195"/>
                              <wps:cNvCnPr/>
                              <wps:spPr>
                                <a:xfrm>
                                  <a:off x="3467735" y="3226435"/>
                                  <a:ext cx="163830" cy="635"/>
                                </a:xfrm>
                                <a:prstGeom prst="straightConnector1">
                                  <a:avLst/>
                                </a:prstGeom>
                                <a:ln w="9525" cap="flat" cmpd="sng">
                                  <a:solidFill>
                                    <a:srgbClr val="000000"/>
                                  </a:solidFill>
                                  <a:prstDash val="dash"/>
                                  <a:headEnd type="none" w="med" len="med"/>
                                  <a:tailEnd type="triangle" w="med" len="med"/>
                                </a:ln>
                              </wps:spPr>
                              <wps:bodyPr/>
                            </wps:wsp>
                            <wps:wsp>
                              <wps:cNvPr id="69" name="矩形 196"/>
                              <wps:cNvSpPr/>
                              <wps:spPr>
                                <a:xfrm>
                                  <a:off x="3593465" y="3083560"/>
                                  <a:ext cx="526415" cy="301625"/>
                                </a:xfrm>
                                <a:prstGeom prst="rect">
                                  <a:avLst/>
                                </a:prstGeom>
                                <a:solidFill>
                                  <a:srgbClr val="FFFFFF">
                                    <a:alpha val="0"/>
                                  </a:srgbClr>
                                </a:solidFill>
                                <a:ln>
                                  <a:noFill/>
                                </a:ln>
                              </wps:spPr>
                              <wps:txbx>
                                <w:txbxContent>
                                  <w:p>
                                    <w:r>
                                      <w:rPr>
                                        <w:rFonts w:hint="eastAsia"/>
                                      </w:rPr>
                                      <w:t>噪声</w:t>
                                    </w:r>
                                  </w:p>
                                </w:txbxContent>
                              </wps:txbx>
                              <wps:bodyPr upright="1"/>
                            </wps:wsp>
                            <wps:wsp>
                              <wps:cNvPr id="70" name="矩形 197"/>
                              <wps:cNvSpPr/>
                              <wps:spPr>
                                <a:xfrm>
                                  <a:off x="2199640" y="3989070"/>
                                  <a:ext cx="1268095" cy="1105535"/>
                                </a:xfrm>
                                <a:prstGeom prst="rect">
                                  <a:avLst/>
                                </a:prstGeom>
                                <a:noFill/>
                                <a:ln w="9525" cap="flat" cmpd="sng">
                                  <a:solidFill>
                                    <a:srgbClr val="000000"/>
                                  </a:solidFill>
                                  <a:prstDash val="dash"/>
                                  <a:miter/>
                                  <a:headEnd type="none" w="med" len="med"/>
                                  <a:tailEnd type="none" w="med" len="med"/>
                                </a:ln>
                              </wps:spPr>
                              <wps:bodyPr upright="1"/>
                            </wps:wsp>
                          </wpc:wpc>
                        </a:graphicData>
                      </a:graphic>
                    </wp:inline>
                  </w:drawing>
                </mc:Choice>
                <mc:Fallback>
                  <w:pict>
                    <v:group id="画布 133" o:spid="_x0000_s1026" o:spt="203" style="height:424.8pt;width:442.7pt;" coordsize="5622290,5394960" editas="canvas"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CQCfY3dgsAAOV/AAAOAAAAZHJzL2Uyb0RvYy54bWztXcuO&#10;28gV3QfIPwjax816sii4PUDssbMIkgEmyZ6WqAcgiQRJu9u7AAEymH2QTQIEM7sE+YAAQfI39iR/&#10;kVPFIkVSZItqd7pFiV60pW6KIoun7j333Fu3nn9xu1mP3gdxsgq312PyzBmPgu00nK22i+vxr3/1&#10;+idqPEpSfzvz1+E2uB5/CJLxFy9+/KPnN9EkoOEyXM+CeISTbJPJTXQ9XqZpNLm6SqbLYOMnz8Io&#10;2OKP8zDe+CnexourWezf4Oyb9RV1HHl1E8azKA6nQZLgt6+yP47tGeMuJwzn89U0eBVO322CbZqd&#10;NQ7WfopbSparKBm/MFc7nwfT9JfzeRKko/X1GHeamp/4Erx+q39evXjuTxaxHy1XU3sJfpdLqN3T&#10;xl9t8aXFqV75qT96F6/2TrVZTeMwCefps2m4ucpuxIwI7oI4tbF5E4fvInMvi8nNIioGHQ+qNur3&#10;Pu30F++/iker2fXYJePR1t/gif/wh39+/MfvRoQxPTw30WKCo97E0dfRV7H9xSJ7p+/4dh5v9P+4&#10;l9GtGdgPxcAGt+loil8KSSn1MOZT/E0wj3vSDv10ieez97np8ssDn7zKv/hKX19xOTcRQJnsRir5&#10;vJH6eulHgXkAiR4DO1K8GKi//PXjv77HQIlsoMxBxSglkwQD1jBEGArlOhgNDAYhrhL5YOTDRYjD&#10;JLPDxRwiqfmC4p79SRQn6Zsg3Iz0i+txDJwb+Pnvf56keEY4ND9EX0ASrlez16v12ryJF29fruPR&#10;ex9z4rX5py8fH6kctt6Obq7HnsB3j6Y+JvocEwwvNxHAkmwX5vsqn0jKJ3bMv6YT6wt75SfL7ALM&#10;GfRh/mSzSoPYvFoG/uzL7WyUfoiAxy3s0FhfzCaYjUfrAGZLvzJHpv5q3eVI3N16i5vUAMkei36V&#10;3r69xWn0y7fh7AOe77soXi2WGFJiLt3iKTvk/w4suQcsqa9CXwTQ1wFYnCrKLbBcrlxMOTNKObAU&#10;k96Aq4vDlbuHK/dIXAkmLa4YV8Rxa7hyXc9Vhb2iNDNog706c3vl5bj6zzd/++9vv/34p39n7lCV&#10;0PVya0lDbndzx10wBsal68KFGncopSLceDt/klstoQQH4gx5kJmvbYdWksa+tuAvw+0WXjGMyV2O&#10;8ZGc3AzuLrPE9/Vsabzyt4t1ix9s9m6ZS4MDMF4P3uuR3BjBs7JMMidIXgkRnfyYI2nmx7jDOSM1&#10;RCgOTzbYm0vjR4TmwKoaHLimHU1qMTij+XoV/UzzOk01bbBCFWyPY00PVw5RNaAxOLvM8FCpJI7U&#10;s2lnwXKObWn4SdqeEsG+COPDcoz8YI0PN1S+O4kmnpeTHUFBdWpchwAJjgfM6FgWoRxXGctuh8Wh&#10;6Gwb6tDMEPVH90ePH3OdQqAFf1LzUJyWTEgnD1VEWtSjmhPrz+84yxBpXWQET/ZCeG5FtHuE8JQJ&#10;x2pLA7AuXBoiRQxfoz68ZLdaqE+N8OjoXcda1BEOrzNrHV9lns3zXFDwge/siY4nFmwhXZMFWzVg&#10;GK5qWU83YORMmEpB3LomvQOGywCcARj7avRpAUPHz43AKGvKLcBoC5aY0OoxbAeDxsczKWbnmlwT&#10;sxtaLHg/hZoLC5ZoW0Bd1odbMFLyKoRRT+r0nkaG9DxRZ8OF8WAcUfYQRTeksk7MeOxH0WVR93CA&#10;xD3mObmx4JyyurEQMCA6DNPm4ulSnBrERfjd/AhOLEdIi+xzzd+XJdbDUxbK186Yu4oxPKtKAEto&#10;Lrkjm+NluhgGKM/2D8pXxowbkspPJbvrRH1Vds9oWnfli+/SfJJCDa2JodUs31CVcCFVCbTQNKoW&#10;R5R11RaL00YkTYpY0wWUI1C3hrNBdNdVL33K+NEWdUKUVdXjIMIUh/kyjFJ4vE4oB4j0DiKFTpHn&#10;ZcSxyujOOwkXVXNVvjI4p4sU3GlLDYo4Vhfd2RuOghRxl08a6HBzNWZz/PRUdFgHnzU6bExGZzqs&#10;pCS26I07AvioRUieYG4eI4HFDEVvQTMs/MlZFemyXZ28LTAQZUX1sDSiEFrlxZQMSZYsStvJqAOu&#10;LtKTsRYtVhynxcJ7gS9b5uxwT8s4FWFn0GJ7FlxhGU7dkR2nxTIlGbOQoK6UTj23N1icy7Q4hZRc&#10;hGRlEfmwJ2NKMKLr/iHkNNbpDsC6TGAVSnRVMczsTueaBGQoJLHr5Ia0Ytuatz7phKzQCXOLI8si&#10;cheLs3NlrIU865I5m1YcgrILyVGwQl2sWZyuAvRvaisDCJGOXohkBGhHLxJopdFE2SLNnqVHL2tR&#10;EmsRCmVZhW5JUZRLXTjyVbpuwZQtKHioVlxAE8rWDgy4qCzaPi2ZUMdFVZlQlqXjwy5JCcezJIUK&#10;4bhYGlKJt4kDjSdfHIuCbplZknZQHFou0r7mfljMj5HX9PIU1phg2VEdWMfpz8zDYljrggi05r0S&#10;KkBJcH3AQ9VQFZVQWbOEvpVGYQ1PfcSPU2YJQ+1ioZ01GHfX4Zjuw4DnjVD2lClZFisP206CBAuH&#10;BzUCAldK1UuOlOPqVQgG4Vj0i8ejjev9bWffEV4oNjWaWxYEO5AYpWiR2nIlUbLms5jjeHm7nn4W&#10;creR27uj5c9NVT1VrlM7gaZaf1nW8zrgAhUWDrCgpyMluoFMDRfAAtr6ZNOxn7i4sAJ/XtTu5YJL&#10;lg7qnASHvFukDhwsdq6HOwQV/TRfDT1kwS+mVRXfU/LQP86y7069qqCvuLrdgrY1BA3hdLVfJW4S&#10;UukucQ+m5PXd9RcKVzGTy9rWYa5FS30NKIiWqDcHqzQ2QAs6IbI1Gw/Eth6lm9zO7V9mYwNeqFwF&#10;Ssr6VgeUcCry3oQw9u6evjW03rnIlJ6OepsYplsWyzowTAUrpFvq6IwxJY6sl/H2v9fXhTFMrAJp&#10;BkZZ7DoMDEYlkJHRAQ2MvXzLGQPjPGNSrP1oBkZZkzsMjHydqA5Jm1gLo1hSDNxoDbSfIemOs1T7&#10;c50pLPY0Q/dIzRC9Rm3LNt2Ja08VFw7K3SwgHmJhcc/jBiyEaJyGyEjtwrXD0xAdrlzEBJk0hIZX&#10;pC4NIdfpmFbRZzcPu8f0d8/Y08p7CkyRat5THRfAI2RXQp9FW2YXylB9hb+ES9eIGbJTpr8+Vgk0&#10;T8RyGN9lIlJp7BuGnQmX6H7fFd1kmIj9WjuL+v5mXJQD9+NwwamDJbM17X7ARc9wsSf4qXKsfVjK&#10;QaoGuT0bazsq79q1W2iUU+uHMtD3K0zpXwsWUYhs1SxspmV0L29Gz/y82ACGfC/ZNkQ2h7b/OC1G&#10;pZMVTRKZOjLg5bquxypkjtL7KlT8+wCLnsGiEMhySV4dGfBKjgXpGSAcbJSQbQa0M+Og4S6isQfj&#10;2QfNuLbY/jpa+tkOPgafmIp2+x9TnlM5h+6R1LdaMtmiXqnjKio89IG21cLYssDs+lSZzNgUi+TZ&#10;836qV61y993BcF8rbVAubo38pz9+8+nPf//03e9HJMuklmoqRuntT0Pse1ZE1EnzTmDYSUfvbWGy&#10;IY3lby62AbMhNFIlcAzaF/QpIVuCx+NnZE+sdR8KyxsJglfABJUTLZGeaaRVX6QiHGgBtnySuK5E&#10;Z94qVyiEUCqo/WM7ePq1e8WZmhcYgyYO6XUQiRohwtFlk1oTM0DkIfcOfKpaT1noiGUPVBaLtDTQ&#10;1QNxbK2FfQYyFdcRaMdXk408JfU2goZdCix1ywoA263IodUrlXTKo9QEDS5ot3Up6vOb7UtZWjrK&#10;BREXrZ8tfhCH6EilwnDP2AWdZ2JIFrpjVd3CQ8aD7axulXf1a+wWTySDJnmOifszxUWheuY6hlcW&#10;tg7r0QzeJRcyGPTovdLCR9ejL0HI0B3qqnle7zj5qVw3zDxsdlZvKDXUDX9ef7sDi1XNBufY/d3E&#10;/Xaner29fPk9Xt9Ek4CGy3A9C+IX/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DJCf6q1wAAAAUB&#10;AAAPAAAAAAAAAAEAIAAAACIAAABkcnMvZG93bnJldi54bWxQSwECFAAUAAAACACHTuJAkAn2N3YL&#10;AADlfwAADgAAAAAAAAABACAAAAAmAQAAZHJzL2Uyb0RvYy54bWxQSwUGAAAAAAYABgBZAQAADg8A&#10;AAAA&#10;">
                      <o:lock v:ext="edit" aspectratio="f"/>
                      <v:shape id="画布 133" o:spid="_x0000_s1026" style="position:absolute;left:0;top:0;height:5394960;width:5622290;"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DFVacsPQsAAF9/AAAOAAAAZHJzL2Uyb0RvYy54bWztXcuO&#10;41oVnSPxD1Hm3DpvH0ddfSW6aRgguNIF5u7EqYqU2JHt7qqeMeKKH2ACEoIZiF+Av7kN/AVr+5Vj&#10;x6443UV1UnENqlwVl+PYy3vvtfbjvPj6frOevA+TdBVH11P+FZtOwmgeL1bRzfX017968yM7naRZ&#10;EC2CdRyF19MPYTr9+uUPf/DibjsLRXwbrxdhMsFBonR2t72e3mbZdnZ1lc5vw02QfhVvwwgvLuNk&#10;E2T4Nbm5WiTBHY6+WV8JxszVXZwstkk8D9MUf31dvDgtj5gMOWC8XK7m4et4/m4TRllx1CRcBxk+&#10;Unq72qbTl/nZLpfhPPvlcpmG2WR9PcUnzfLveBNsv6XvVy9fBLObJNjerublKQRDTqH1mTbBKsKb&#10;1od6HWTB5F2y2jvUZjVP4jReZl/N481V8UHyK4JPwVnr2rwKovdB8WHmuNbVCWLrEY/79obOO4rf&#10;rNZrXI0rHH1Gf6Ofd7jbIb28jpo7FX/J9y33udsCDum2Bkb6eaf47W2wDfPbmM7mv3j/TTJZLa6n&#10;ajqJgg1A+e8//+37f/51wqWmO0jvjZ2+3X6TlL+l2KQzvl8mG/qJCz25v54K4VuP4d5/APK5Z7Up&#10;ERDeZ5M5duCcSSOxwxx7SMaNyN/ganekbZJmPw3jzYQ2rqcJEJbf+OD9z9OMrl8wq3ahN07j9WpB&#10;lzb/Jbl5+2qdTN4HQOOb/ItOH//S2G0dTe6up77Ge0/mAR6xJaCNzc0WlyCNbvL3a/xH6h6Y5V9d&#10;B6YTex2kt8UJ5Eeg3YLZZpWFdOmC2W0YLH4SLSbZhy0ucwQLMKWT2YSL6WQdwmDQVr5nFqzWQ/bE&#10;pyP0ACvprLgttJXdv73HYWjzbbz4gPv7bpusbm5xSXl+6vQK8FTs8n8HltkDlqGzoJMYBiwlrFAl&#10;sDxlPb8FLCuNP+Lq4nDl7eHKOxJXWpoSV1JZzrwWrjzP92xtr4QoDNpor565vfIrXP3nu7//97e/&#10;//6P/yrcoXXQ9So65A6lMp4HF5q7Q2MsV7m3C2aVO9RWKyAu94am8LX90EqzJCAL/iqOInjFOOEP&#10;OcYncnILuDu6Jp/u2bJkFUQ36x4/2O3dCpeGt8293tO5MY571QqQfAcRAwIkJZgRhR9TTCnJW4iw&#10;Cp5stDeXFh9xUQGraXDgmnZhUo/BmSzXq+3PKK6jx7CKxC1sDytNj7KM2xbQJJxdYXiEsQZ70tPU&#10;G4afpO1xAuxPDavPyvjICiMVO1N5KD88iOa+XwU7WiDUacU6HEhgPjBD5AxUTtkiyu6HxSF2VrNe&#10;4ihPQrp2/ujpOdcpEC34k5aHUsIxIYM8VM20hC8oJqb/38UsI9O6SAbP9yi8kp8OLKlZqS2NwLpw&#10;aYjXHL4V+igHXj2hTyvgIfZOXEswzVQ7siZ+VXg23/cQgo/xzp7oeGJkC4mSgmy1gJHHqmXUMwwY&#10;VSQsjOZeW5PeAcOTAM4IjH01+rSAQfy5ExiuptwDjD6yJDWpx5SUgManCilm55q8nLPnYbFW5ynU&#10;XBhZEn2E2tWHezDieBUuhW/AgnJkGN/X7Wi4Nh5SgWWPLLojlXVixmOfRbui7mGCpHzps8pYKCVk&#10;21hoGBCiYV82xUkgrul39y04sRyhqLPPLX/vSqyHH1lhYb6r++NZKbHdILBcVJI7sjl+oYvhAlWp&#10;7Cq7XCagR+Vrl1T+UrI7JeqbsnsRpg1XvtQuzWcE1NCWGNrM8o1VCRdSlSBqTaNpcbSrq/ZYnL5A&#10;Mk8RU7iAcgThtXA2iu5U9XJOorvoUSe0q6oeBxFpFcxXHlFqX7UDyhEiZweRWqeo8jL6WGV05520&#10;h6q5ZrwyOqeLFNxFTw2KPlYX3dkbhYIU/ZBPGsPh7mrMbv70pcJhIjetcDg3GYPDYWsML4veFNPA&#10;R4sh+Vp6FUdCFDMWvYXdsAhmz6pIV/I9XLmK6mFpxIJaVcWUEkmWgqXtZNQRVxfpyWSPFquP02Lh&#10;vRAvl5EzUz7JOA1hZ9Riz4xcyT0tVh+nxUprpCwhITxjWDu3N1qcy7Q4tZRcUzJXRD7syaTVklPd&#10;P4SczjrdEViXCaxaiW4qhoXdGVyTgAyF4WWfHBqXxrRiZ8/bOemEstYJK4tjXBF5iMXZuTLZEzxT&#10;yVyZVhxJ2YXkKGStLrYszlAB+jetzgDODaNGpFyAZtQk0BtGc1sWaZ5ZenRXBH4JfQGyRyg0rgrd&#10;k6JwS10U8lVUt0BFUMzCQ/XiAppQ0Tsw4qLRtH1aMiHxoqZMaFzp+LBLspr5ZZAitGYeWkMafJsz&#10;aDxVcywKuk1hSfpBcahdpL/nfmzmx5Wn8PIUekzQdtQG1nH6s/TRDFu6IA6tea+EClDSinZ4rBqq&#10;uhLqgVEbJzw+AT087St+nDLLJUhGrZ11GHePKTzu4wWvBqHsKVPGFSsP206OBIuCB80FBGWtbZcc&#10;WeZRF0KOcDT94vaQcf1023nuCK8Vm1aY6wqCA4IYa0Wd2vIMt6blsyRjPtXzkmE5z0LuvuD2Ybb8&#10;uamqL5XrJCfQVetvXD1vAC5QYcGABXocBacBMi1cAAsY63POuLiwAn9V1+5VgkuRDhqcBIe8W6cO&#10;GJqd23SHo6JfVN3QYxb8YkZVqT0lzztOyYO+4tG4BbI13Fc+Vfs1eJM21qfQoAhuP1/JO3fXXytc&#10;9ZPsaluHYy3hzDUQCLR0ezhYY7ABRtBpXfRsPFK0NQ42eIrRhLXKVaPE1bcGoEQJXc0mhLH39vSt&#10;cfTORab0iPV2RZieK5YNiDAtrBCN1IHVV4Iz0y7jPf9ZXxcWYaILpBsYrth1GBhSGCCjCAcIGHv5&#10;lmcMjOfJSdH70Q0MV5M7DIyqT5QoaVfUIgVaioGbUaroS/WeVr4FXR8lLOoI5UjNELNGy5FtNIlr&#10;TxXXDOVuJSAeY3bymfMGNEJ0PobISJXJEowWPvwYYsKVB05QSEMYeMXb0hBynSwfFY0H9XlJhsM5&#10;/cOG/MSeQzwizbynPY7Ag7JbrQuPLTwoQ+0OfwOXTogZs1P51HhdS3FN7d66NH7IgyhMbt/wnEnt&#10;cZr33dBNxgfxvHpnUd/fbaBd4n4cLjA+Fy2zLe1+xMWZ4WJP8LMu1z4s5SBVg9xeybVRqrRPqcYR&#10;LAeWPule/0PXIlvLkh9HeRVm5lfFBjDke8m2kdkcWv7jtCIqSlZ0SWT2SMKrqK6nVMiYpXUVGv59&#10;hMWZwaIWyCrCa48kvEahIb0ABMNCCcViQLt+UYThHtjYo8XZB+sLqRw2WG9vg2IFnxyfeBTL5X/y&#10;8pzGMXqXbTrhWjLTo17Z4yoqfMyBLquFsWRBvupT42EWPuNV9vw8WXOv3P0wGT7XShuUi5dG/uMf&#10;vvv4p398/MvvJrzIpDo1FZPs/scxLeRVaSxp90pgWEmH1rboL3/zsAxYSaGRKoFjoAPiWesZw3ao&#10;dLihZT1JQtaBx9OPmj+x0X0oLO8MEPwaJv1SXD5Iq92kohm0gLJ8knuewWTeZqyQCwWkvwgtyhf7&#10;wXNeM/yeqXmBMeiKIf0BIlEnRBSmbIrSxIwQecy1A79UraepdUTXA7liEUkDQz2QwtJagtIlZCSY&#10;xji+lmzkW0PLCObRpUarW1EA2G9FRheE/pPC3VNAcGouqEds9F1pqUds7LQvmBSP0c8lfsBDiKk0&#10;Itxn7IKeZ2LI1LpjU93CTcaNLYPcHog4jZLuqn6d0+K5kdAkn2Pi/pniolY9Kx3Dd4Wtw3q0hHep&#10;hIzO1tmq1OOxEoYNEaKxOHHZKHkJQgZNqGvmef3j5Ce3blj6WOysPVBqrBv+vPl2B5pVi+XNt/Oc&#10;95drxNPC7u7v2L7bzkIRY6X0RZi8/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tDQAAW0NvbnRlbnRfVHlwZXNdLnhtbFBLAQIUAAoAAAAAAIdO&#10;4kAAAAAAAAAAAAAAAAAGAAAAAAAAAAAAEAAAAI8MAABfcmVscy9QSwECFAAUAAAACACHTuJAihRm&#10;PNEAAACUAQAACwAAAAAAAAABACAAAACzDAAAX3JlbHMvLnJlbHNQSwECFAAKAAAAAACHTuJAAAAA&#10;AAAAAAAAAAAABAAAAAAAAAAAABAAAAAAAAAAZHJzL1BLAQIUABQAAAAIAIdO4kDJCf6q1wAAAAUB&#10;AAAPAAAAAAAAAAEAIAAAACIAAABkcnMvZG93bnJldi54bWxQSwECFAAUAAAACACHTuJAxVWnLD0L&#10;AABffwAADgAAAAAAAAABACAAAAAmAQAAZHJzL2Uyb0RvYy54bWxQSwUGAAAAAAYABgBZAQAA1Q4A&#10;AAAA&#10;">
                        <v:fill on="f" focussize="0,0"/>
                        <v:stroke on="f"/>
                        <v:imagedata o:title=""/>
                        <o:lock v:ext="edit" aspectratio="t"/>
                      </v:shape>
                      <v:rect id="矩形 135" o:spid="_x0000_s1026" o:spt="1" style="position:absolute;left:2298700;top:1178560;height:301625;width:110363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cjMhhECAAA3BAAADgAAAGRycy9lMm9Eb2MueG1srVPNjtMw&#10;EL4j8Q6W7zRJS7vdqOkeKOWCYKVdHsC1ncSS/+Rxm/RpkLjxEDwO4jUYu2X/4NADOSTj+PM3830z&#10;Xt2MRpODDKCcbWg1KSmRljuhbNfQL/fbN0tKIDIrmHZWNvQogd6sX79aDb6WU9c7LWQgSGKhHnxD&#10;+xh9XRTAe2kYTJyXFjdbFwyLuAxdIQIbkN3oYlqWi2JwQfjguATAv5vTJj0zhksIXdsqLjeO7420&#10;8cQapGYRJUGvPNB1rrZtJY+f2xZkJLqhqDTmNybBeJfexXrF6i4w3yt+LoFdUsILTYYpi0kfqDYs&#10;MrIP6i8qo3hw4No44c4UJyHZEVRRlS+8ueuZl1kLWg3+wXT4f7T80+E2ECUa+pYSyww2/NfX7z9/&#10;fCPVbJ7cGTzUCLrzt+G8AgyT1LENJn1RBBkbOp1eL69K9PWIU1VdLeeLs7tyjIQjoKrK2WKGAI6I&#10;WVktpjlB8cjkA8QP0hmSgoYG7F42lR0+QsTsCP0DSYnBaSW2Suu8CN3unQ7kwLDT2/yk8vHIM5i2&#10;ZGjo9RxzE85wfFscGwyNRwvAdjnfsxPwlLjMz7+IU2EbBv2pgMyQYKw2KspkHat7ycR7K0g8erTZ&#10;4u2iqRgjBSVa4mVMUUZGpvQlSFSnLYpMTTq1JUVx3I1Ik8KdE0fs794H1fVoaZVLTzs4T9md8+yn&#10;gX26zqSP933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xp5H/VAAAABQEAAA8AAAAAAAAAAQAg&#10;AAAAIgAAAGRycy9kb3ducmV2LnhtbFBLAQIUABQAAAAIAIdO4kD5yMyGEQIAADcEAAAOAAAAAAAA&#10;AAEAIAAAACQBAABkcnMvZTJvRG9jLnhtbFBLBQYAAAAABgAGAFkBAACnBQAAAAA=&#10;">
                        <v:fill on="t" focussize="0,0"/>
                        <v:stroke color="#000000" joinstyle="miter"/>
                        <v:imagedata o:title=""/>
                        <o:lock v:ext="edit" aspectratio="f"/>
                        <v:textbox>
                          <w:txbxContent>
                            <w:p>
                              <w:r>
                                <w:rPr>
                                  <w:rFonts w:hint="eastAsia"/>
                                </w:rPr>
                                <w:t>冷料密闭输送</w:t>
                              </w:r>
                            </w:p>
                          </w:txbxContent>
                        </v:textbox>
                      </v:rect>
                      <v:rect id="矩形 136" o:spid="_x0000_s1026" o:spt="1" style="position:absolute;left:2428240;top:1748790;height:301625;width:83693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bxDTyQ4CAAA2BAAADgAAAGRycy9lMm9Eb2MueG1srVPNjtMw&#10;EL4j8Q6W72zStNtto6Z7oJQLgpUWHsB1nMSS/+Rxm/RpkLjxEDwO4jUYO2H/4NADOTgzmS/fzHwz&#10;3twOWpGT8CCtqejsKqdEGG5radqKfvm8f7OiBAIzNVPWiIqeBdDb7etXm96VorCdVbXwBEkMlL2r&#10;aBeCK7MMeCc0gyvrhMFgY71mAV3fZrVnPbJrlRV5vsx662vnLRcA+HU3BunE6C8htE0judhZftTC&#10;hJHVC8UCtgSddEC3qdqmETx8ahoQgaiKYqchnZgE7UM8s+2Gla1nrpN8KoFdUsKLnjSTBpM+UO1Y&#10;YOTo5V9UWnJvwTbhiludjY0kRbCLWf5Cm/uOOZF6QanBPYgO/4+WfzzdeSLrii4pMUzjwH99/f7z&#10;xzcymy+jOr2DEkH37s5PHqAZWx0ar+MbmyBDRYtFsSoWqOsZt+pmsbpZT+qKIRCOgNV8uZ5jnCNg&#10;ns+WxXXkzx6JnIfwXlhNolFRj8NLmrLTBwgj9A8k5gWrZL2XSiXHt4e3ypMTw0Hv0zOxP4MpQ/qK&#10;rq8xN+EMt7fBrUFTO1QATJvyPfsDnhLn6fkXcSxsx6AbC0gMEcZKLYPwyeoEq9+ZmoSzQ5UNXi4a&#10;i9GipkQJvIvRSsjApLoEidopgxLGGY1TiVYYDgPSRPNg6zOO9+i8bDuUdJZKjxFcp6T9tPpxX5/6&#10;ifTxu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p5H/VAAAABQEAAA8AAAAAAAAAAQAgAAAA&#10;IgAAAGRycy9kb3ducmV2LnhtbFBLAQIUABQAAAAIAIdO4kBvENPJDgIAADYEAAAOAAAAAAAAAAEA&#10;IAAAACQBAABkcnMvZTJvRG9jLnhtbFBLBQYAAAAABgAGAFkBAACkBQAAAAA=&#10;">
                        <v:fill on="t" focussize="0,0"/>
                        <v:stroke color="#000000" joinstyle="miter"/>
                        <v:imagedata o:title=""/>
                        <o:lock v:ext="edit" aspectratio="f"/>
                        <v:textbox>
                          <w:txbxContent>
                            <w:p>
                              <w:pPr>
                                <w:jc w:val="center"/>
                              </w:pPr>
                              <w:r>
                                <w:rPr>
                                  <w:rFonts w:hint="eastAsia"/>
                                </w:rPr>
                                <w:t>烘干</w:t>
                              </w:r>
                            </w:p>
                          </w:txbxContent>
                        </v:textbox>
                      </v:rect>
                      <v:rect id="矩形 137" o:spid="_x0000_s1026" o:spt="1" style="position:absolute;left:2453640;top:3481070;height:302260;width:77978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F5EZcxACAAA2BAAADgAAAGRycy9lMm9Eb2MueG1srVPLrtMw&#10;EN0j8Q+W9zRp+khv1PQuKGWD4EoXPsB1nMSSX/K4Tfo1SOz4CD4H8RuM3XJfsOiCLNJxZ3LmnDPj&#10;9e2oFTkKD9Kamk4nOSXCcNtI09X0y+fdmxUlEJhpmLJG1PQkgN5uXr9aD64She2taoQnCGKgGlxN&#10;+xBclWXAe6EZTKwTBpOt9ZoFPPouazwbEF2rrMjzZTZY3zhvuQDAf7fnJL0g+msAbdtKLraWH7Qw&#10;4YzqhWIBJUEvHdBNYtu2godPbQsiEFVTVBrSG5tgvI/vbLNmVeeZ6yW/UGDXUHihSTNpsOkD1JYF&#10;Rg5e/gWlJfcWbBsm3OrsLCQ5giqm+Qtv7nvmRNKCVoN7MB3+Hyz/eLzzRDY1LSkxTOPAf339/vPH&#10;NzKdldGdwUGFRffuzl9OgGGUOrZex18UQcaaFvPFbDlHX081nc1X07y8uCvGQDgWlOVNucI8jwV5&#10;USxTPnsEch7Ce2E1iUFNPQ4vecqOHyBgcyz9UxL7glWy2Uml0sF3+7fKkyPDQe/SE9njJ8/KlCFD&#10;TW8WxQJ5MNzeFrcGQ+3QATBd6vfsC3gKnKfnX8CR2JZBfyaQEGIZq7QMIjrHql6w5p1pSDg5dNng&#10;5aKRjBYNJUrgXYxRqgxMqmsqUZ0yKDLO6DyVGIVxPyJMDPe2OeF4D87LrkdLp4l6zOA6JXcuqx/3&#10;9ek5gT5e9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Gnkf9UAAAAFAQAADwAAAAAAAAABACAA&#10;AAAiAAAAZHJzL2Rvd25yZXYueG1sUEsBAhQAFAAAAAgAh07iQBeRGXMQAgAANgQAAA4AAAAAAAAA&#10;AQAgAAAAJAEAAGRycy9lMm9Eb2MueG1sUEsFBgAAAAAGAAYAWQEAAKYFAAAAAA==&#10;">
                        <v:fill on="t" focussize="0,0"/>
                        <v:stroke color="#000000" joinstyle="miter"/>
                        <v:imagedata o:title=""/>
                        <o:lock v:ext="edit" aspectratio="f"/>
                        <v:textbox>
                          <w:txbxContent>
                            <w:p>
                              <w:pPr>
                                <w:jc w:val="center"/>
                              </w:pPr>
                              <w:r>
                                <w:rPr>
                                  <w:rFonts w:hint="eastAsia"/>
                                </w:rPr>
                                <w:t>密闭计量</w:t>
                              </w:r>
                            </w:p>
                            <w:p/>
                          </w:txbxContent>
                        </v:textbox>
                      </v:rect>
                      <v:shape id="自选图形 138" o:spid="_x0000_s1026" o:spt="32" type="#_x0000_t32" style="position:absolute;left:3467735;top:1668145;height:635;width:585470;" filled="f" stroked="t" coordsize="21600,21600" o:gfxdata="UEsDBAoAAAAAAIdO4kAAAAAAAAAAAAAAAAAEAAAAZHJzL1BLAwQUAAAACACHTuJA+coqNNMAAAAF&#10;AQAADwAAAGRycy9kb3ducmV2LnhtbE2PP0/DMBDFdyS+g3VIbNRO1FZpiNOBlomJwsDoxkcSsM/B&#10;dv/w7TlY6HJ6p3d673fN+uydOGJMYyANxUyBQOqCHanX8PryeFeBSNmQNS4QavjGBOv2+qoxtQ0n&#10;esbjLveCQyjVRsOQ81RLmboBvUmzMCGx9x6iN5nX2EsbzYnDvZOlUkvpzUjcMJgJHwbsPncHr2HV&#10;+W2Z356c+dp8bGKR1UKWW61vbwp1DyLjOf8fwy8+o0PLTPtwIJuE08CP5L/JXlUt5iD2LOarJci2&#10;kZf07Q9QSwMEFAAAAAgAh07iQLI0jB4LAgAA9QMAAA4AAABkcnMvZTJvRG9jLnhtbK1TS44TMRDd&#10;I3EHy3vS+Se00plFwrBBEAk4gGO7uy35J5cnnezYIc7AjiV3YG4zEtyCsjtMYBDSLOiFu2y/eq73&#10;XF5dHY0mBxlAOVvR0WBIibTcCWWbir5/d/1sSQlEZgXTzsqKniTQq/XTJ6vOl3LsWqeFDARJLJSd&#10;r2gboy+LAngrDYOB89LiZu2CYRGnoSlEYB2yG12Mh8N50bkgfHBcAuDqtt+kZ8bwGEJX14rLreM3&#10;RtrYswapWURJ0CoPdJ2rrWvJ45u6BhmJrigqjXnEQzDep7FYr1jZBOZbxc8lsMeU8ECTYcriofdU&#10;WxYZuQnqLyqjeHDg6jjgzhS9kOwIqhgNH3jztmVeZi1oNfh70+H/0fLXh10gSlT0OSWWGbzw7x+/&#10;/vjw6e7z7d23L2Q0WSaPOg8lQjd2F84z8LuQBB/rYNIfpZBjRSfT+WIxmVFywt6az5ej6az3WB4j&#10;4QiYLWfTBbrPETBHINIVFxYfIL6UzpAUVBRiYKpp48ZZi1fpwiibzA6vIPaJvxJSCdqSDnXMxng8&#10;Z9iaNbYEhsajPLBNzgWnlbhWWqcMCM1+owM5sNQe+TsX9AcsHbJl0PY4gVGvqZVMvLCCxJNH3yw+&#10;F5oqMFJQoiW+rhRhnayMTOkLMgbFbKP/gUY7tEVXkue9yynaO3HK5ud17Ibs27lzU7v9Ps/Zl9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yio00wAAAAUBAAAPAAAAAAAAAAEAIAAAACIAAABk&#10;cnMvZG93bnJldi54bWxQSwECFAAUAAAACACHTuJAsjSMHgsCAAD1AwAADgAAAAAAAAABACAAAAAi&#10;AQAAZHJzL2Uyb0RvYy54bWxQSwUGAAAAAAYABgBZAQAAnwUAAAAA&#10;">
                        <v:fill on="f" focussize="0,0"/>
                        <v:stroke color="#000000" joinstyle="round" dashstyle="dash" endarrow="block"/>
                        <v:imagedata o:title=""/>
                        <o:lock v:ext="edit" aspectratio="f"/>
                      </v:shape>
                      <v:rect id="矩形 139" o:spid="_x0000_s1026" o:spt="1" style="position:absolute;left:2420620;top:4044315;height:302260;width:84836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c10FuA0CAAA3BAAADgAAAGRycy9lMm9Eb2MueG1srVPLrtMw&#10;EN0j8Q+W9zSPPtQbNb0LStkguNKFD3AdJ7Hklzxuk34NEjs+gs9B/AZjp9wXLLogC2ccT86cc2a8&#10;uR21IifhQVpT02KWUyIMt400XU2/fN6/WVMCgZmGKWtETc8C6O329avN4CpR2t6qRniCIAaqwdW0&#10;D8FVWQa8F5rBzDph8LC1XrOAW99ljWcDomuVlXm+ygbrG+ctFwD4dTcd0guivwbQtq3kYmf5UQsT&#10;JlQvFAsoCXrpgG4T27YVPHxqWxCBqJqi0pBWLILxIa7ZdsOqzjPXS36hwK6h8EKTZtJg0QeoHQuM&#10;HL38C0pL7i3YNsy41dkkJDmCKor8hTf3PXMiaUGrwT2YDv8Pln883XkiG5wEtMQwjR3/9fX7zx/f&#10;SDG/ifYMDirMund3/rIDDKPWsfU6vlEFGWtaLsp8VSLKuaaLfLGYF8vJXjEGwjFhvVjPV3jOMWGe&#10;lyXGiJg9AjkP4b2wmsSgph67l0xlpw8QptQ/KbEuWCWbvVQqbXx3eKs8OTHs9D49F/RnacqQoaY3&#10;y3KJPBiOb4tjg6F2aAGYLtV79gc8Bc7T8y/gSGzHoJ8IJIRJvZZBeCTPql6w5p1pSDg7dNng7aKR&#10;jBYNJUrgZYxRygxMqmsy0Ttl0MLYo6krMQrjYUSYGB5sc8b+Hp2XXY+WFol6PMF5St5fZj8O7NN9&#10;An287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Gnkf9UAAAAFAQAADwAAAAAAAAABACAAAAAi&#10;AAAAZHJzL2Rvd25yZXYueG1sUEsBAhQAFAAAAAgAh07iQHNdBbgNAgAANwQAAA4AAAAAAAAAAQAg&#10;AAAAJAEAAGRycy9lMm9Eb2MueG1sUEsFBgAAAAAGAAYAWQEAAKMFAAAAAA==&#10;">
                        <v:fill on="t" focussize="0,0"/>
                        <v:stroke color="#000000" joinstyle="miter"/>
                        <v:imagedata o:title=""/>
                        <o:lock v:ext="edit" aspectratio="f"/>
                        <v:textbox>
                          <w:txbxContent>
                            <w:p>
                              <w:pPr>
                                <w:jc w:val="center"/>
                              </w:pPr>
                              <w:r>
                                <w:rPr>
                                  <w:rFonts w:hint="eastAsia"/>
                                </w:rPr>
                                <w:t>密闭搅拌</w:t>
                              </w:r>
                            </w:p>
                            <w:p/>
                          </w:txbxContent>
                        </v:textbox>
                      </v:rect>
                      <v:shape id="自选图形 140" o:spid="_x0000_s1026" o:spt="32" type="#_x0000_t32" style="position:absolute;left:2846705;top:1480185;flip:x;height:268605;width:3810;" filled="f" stroked="t" coordsize="21600,21600" o:gfxdata="UEsDBAoAAAAAAIdO4kAAAAAAAAAAAAAAAAAEAAAAZHJzL1BLAwQUAAAACACHTuJAjokxsdYAAAAF&#10;AQAADwAAAGRycy9kb3ducmV2LnhtbE2PQW/CMAyF75P4D5GRdplGCgJUuqYctrGdJkQH99B4bUXj&#10;VE2A9t/P2wUu1rOe9d7ndN3bRlyw87UjBdNJBAKpcKamUsH+e/Mcg/BBk9GNI1QwoId1NnpIdWLc&#10;lXZ4yUMpOIR8ohVUIbSJlL6o0Go/cS0Sez+uszrw2pXSdPrK4baRsyhaSqtr4oZKt/haYXHKz1bB&#10;W75dbA5P+342FJ9f+Ud82tLwrtTjeBq9gAjYh9sx/OEzOmTMdHRnMl40CviR8D/Zi+PFHMSRxXy1&#10;BJml8p4++wVQSwMEFAAAAAgAh07iQLIMZfQSAgAAAgQAAA4AAABkcnMvZTJvRG9jLnhtbK1TzY7T&#10;MBC+I/EOlu80aWhLqJruoWXhgGAl4AFcx04s+U8eb9PeuCGegRtH3gHeZiV4C8ZO2cIipD2QQzT2&#10;zHwz3zfj1cXBaLIXAZSzDZ1OSkqE5a5Vtmvou7eXj2pKIDLbMu2saOhRAL1YP3ywGvxSVK53uhWB&#10;IIiF5eAb2sfol0UBvBeGwcR5YdEpXTAs4jF0RRvYgOhGF1VZLorBhdYHxwUA3m5HJz0hhvsAOikV&#10;F1vHr42wcUQNQrOIlKBXHug6dyul4PG1lCAi0Q1FpjH/sQjau/Qv1iu27ALzveKnFth9WrjDyTBl&#10;segt1JZFRq6D+gvKKB4cOBkn3JliJJIVQRbT8o42b3rmReaCUoO/FR3+Hyx/tb8KRLW4CRUllhmc&#10;+PcPX368/3jz6dvN189kOssiDR6WGLuxVwElSyfwVyExPshgiNTKv0CMrAGyIoeGVvVs8aScU3JE&#10;x6wup/V8lFscIuEY8Lie4hg4uqtFvcBIRC5GwATsA8TnwhmSjIZCDEx1fdw4a3GsLozF2P4lxDHx&#10;V0JK1pYMDX06r7A+Z7imEtcDTeORKtguNwpOq/ZSaZ0yIHS7jQ5kz9Kq5O/U0B9hqciWQT/GZdfI&#10;qhesfWZbEo8eNbT4dmhqwYiWEi3wqSUrr1tkSp8jY1DMdvof0aiHtijLWfFk7Vx7zIPI97gaWbjT&#10;Gqfd+/2cs89Pd/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okxsdYAAAAFAQAADwAAAAAAAAAB&#10;ACAAAAAiAAAAZHJzL2Rvd25yZXYueG1sUEsBAhQAFAAAAAgAh07iQLIMZfQSAgAAAgQAAA4AAAAA&#10;AAAAAQAgAAAAJQEAAGRycy9lMm9Eb2MueG1sUEsFBgAAAAAGAAYAWQEAAKkFAAAAAA==&#10;">
                        <v:fill on="f" focussize="0,0"/>
                        <v:stroke color="#000000" joinstyle="round" endarrow="block"/>
                        <v:imagedata o:title=""/>
                        <o:lock v:ext="edit" aspectratio="f"/>
                      </v:shape>
                      <v:rect id="矩形 141" o:spid="_x0000_s1026" o:spt="1" style="position:absolute;left:2199640;top:520700;height:2294890;width:1268095;" filled="f" stroked="t" coordsize="21600,21600" o:gfxdata="UEsDBAoAAAAAAIdO4kAAAAAAAAAAAAAAAAAEAAAAZHJzL1BLAwQUAAAACACHTuJAVZEfA9MAAAAF&#10;AQAADwAAAGRycy9kb3ducmV2LnhtbE2PT0vEMBDF74LfIYzgRdxkpZbabboHccGT4K7gNZvMtsVk&#10;Upp0/3x7Ry96GWZ4w3u/16zPwYsjTmmIpGG5UCCQbHQDdRo+dpv7CkTKhpzxkVDDBROs2+urxtQu&#10;nugdj9vcCTahVBsNfc5jLWWyPQaTFnFEYu0Qp2Ayn1Mn3WRObB68fFCqlMEMxAm9GfG5R/u1nQOH&#10;2JdZ+Vf/tqHLZ5nLwk53VGl9e7NUKxAZz/nvGX7wGR1aZtrHmVwSXgMXyb+Ttap6LEDseSmeSpBt&#10;I//Tt99QSwMEFAAAAAgAh07iQI50DT0FAgAAAwQAAA4AAABkcnMvZTJvRG9jLnhtbK1TzY7TMBC+&#10;I/EOlu80aWhLEzXdA2W5IFhplwdwbSex5D953KZ9GiRuPASPg3gNxk7ZheXSAzkk4/jzN/N9M97c&#10;nIwmRxlAOdvS+aykRFruhLJ9Sz8/3L5aUwKRWcG0s7KlZwn0ZvvyxWb0jazc4LSQgSCJhWb0LR1i&#10;9E1RAB+kYTBzXlrc7FwwLOIy9IUIbER2o4uqLFfF6ILwwXEJgH930ya9MIZrCF3XKS53jh+MtHFi&#10;DVKziJJgUB7oNlfbdZLHT10HMhLdUlQa8xuTYLxP72K7YU0fmB8Uv5TArinhmSbDlMWkj1Q7Fhk5&#10;BPUPlVE8OHBdnHFniklIdgRVzMtn3twPzMusBa0G/2g6/D9a/vF4F4gSOAmvKbHMYMd/fvn24/tX&#10;Ml/Mkz2jhwZR9/4uXFaAYdJ66oJJX1RBTi2t5nW9WqCx55Yuq/JNeXFXniLhuD+vVuuyXlLCEVBV&#10;9WJdZ0TxxOQDxPfSGZKClgZsX3aVHT9AxOwI/Q1Jia27VVrnFmpLxpbWyyrxMxzLDscBQ+NRGtg+&#10;04DTSqQj6TCEfv9WB3JkaTTyk+Riir9gKd+OwTDhBEbTzBgVZTKENYNk4p0VJJ49mmfx0tBUi5GC&#10;Ei3xjqUoIyNT+hok1qAtlpKsn8xO0d6JM/bq4IPqB3QndydjcDZy4Zc5TsP35zozPd3d7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kR8D0wAAAAUBAAAPAAAAAAAAAAEAIAAAACIAAABkcnMvZG93&#10;bnJldi54bWxQSwECFAAUAAAACACHTuJAjnQNPQUCAAADBAAADgAAAAAAAAABACAAAAAiAQAAZHJz&#10;L2Uyb0RvYy54bWxQSwUGAAAAAAYABgBZAQAAmQUAAAAA&#10;">
                        <v:fill on="f" focussize="0,0"/>
                        <v:stroke color="#000000" joinstyle="miter" dashstyle="dash"/>
                        <v:imagedata o:title=""/>
                        <o:lock v:ext="edit" aspectratio="f"/>
                      </v:rect>
                      <v:rect id="矩形 142" o:spid="_x0000_s1026" o:spt="1" style="position:absolute;left:2428240;top:2924810;height:301625;width:83693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cYmasgwCAAA3BAAADgAAAGRycy9lMm9Eb2MueG1srVNJjtsw&#10;ELwHyB8I3mMtXmALlucQx7kEyQCTPIAmKYkAN5C0Jb8mQG55RJ4T5BtpUspsmYMPowNVFEvV3dXN&#10;7c2gJDpz54XRNS5mOUZcU8OEbmv87evh3RojH4hmRBrNa3zhHt/s3r7Z9rbipemMZNwhENG+6m2N&#10;uxBslWWedlwRPzOWazhsjFMkwNa1GXOkB3UlszLPV1lvHLPOUO49fN2Ph3hSdNcImqYRlO8NPSmu&#10;w6jquCQBSvKdsB7vUrZNw2n40jSeByRrDJWGtEIQwMe4ZrstqVpHbCfolAK5JoVnNSkiNAS9l9qT&#10;QNDJif+klKDOeNOEGTUqGwtJjkAVRf7Mm7uOWJ5qAau9vTfdv54s/Xy+dUgwmIQlRpoo6Pif7z9/&#10;//qBikUZ7emtr4B1Z2/dtPMAY61D41R8QxVoqHG5KNflAoy9AN6Ui3Ux2cuHgCgQ1vPVZg7nFAjz&#10;vFiVy6ifPQhZ58NHbhSKoMYOupdMJedPPozUf5QY1xsp2EFImTauPb6XDp0JdPqQnkn9CU1q1Nd4&#10;s4TYiBIY3wbGBqCyYIHXbYr35A//WDhPz0vCMbE98d2YQFKINFIpEbhLqOOEfdAMhYsFlzXcLhyT&#10;UZxhJDlcxogSMxAhr2GCd1KDhbFHY1ciCsNxAJkIj4ZdoL8n60TbgaVFSj2ewDwl76fZjwP7eJ9E&#10;H+777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aeR/1QAAAAUBAAAPAAAAAAAAAAEAIAAAACIA&#10;AABkcnMvZG93bnJldi54bWxQSwECFAAUAAAACACHTuJAcYmasgwCAAA3BAAADgAAAAAAAAABACAA&#10;AAAkAQAAZHJzL2Uyb0RvYy54bWxQSwUGAAAAAAYABgBZAQAAogUAAAAA&#10;">
                        <v:fill on="t" focussize="0,0"/>
                        <v:stroke color="#000000" joinstyle="miter"/>
                        <v:imagedata o:title=""/>
                        <o:lock v:ext="edit" aspectratio="f"/>
                        <v:textbox>
                          <w:txbxContent>
                            <w:p>
                              <w:pPr>
                                <w:ind w:firstLine="210" w:firstLineChars="100"/>
                              </w:pPr>
                              <w:r>
                                <w:rPr>
                                  <w:rFonts w:hint="eastAsia"/>
                                </w:rPr>
                                <w:t>热料仓</w:t>
                              </w:r>
                            </w:p>
                            <w:p/>
                          </w:txbxContent>
                        </v:textbox>
                      </v:rect>
                      <v:rect id="矩形 143" o:spid="_x0000_s1026" o:spt="1" style="position:absolute;left:2428240;top:2350135;height:301625;width:83693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umLFWA8CAAA3BAAADgAAAGRycy9lMm9Eb2MueG1srVNLjhMx&#10;EN0jcQfLe9K/JMq00pkFIWwQjDRwAMft7rbkn1xOOjkNEjsOwXEQ16DsDvODRRZ44S53lV/Ve1Ve&#10;3560IkfhQVrT0GKWUyIMt600fUO/fN69WVECgZmWKWtEQ88C6O3m9av16GpR2sGqVniCIAbq0TV0&#10;CMHVWQZ8EJrBzDph0NlZr1nAo++z1rMR0bXKyjxfZqP1rfOWCwD8u52c9ILorwG0XSe52Fp+0MKE&#10;CdULxQJSgkE6oJtUbdcJHj51HYhAVEORaUg7JkF7H/dss2Z175kbJL+UwK4p4QUnzaTBpA9QWxYY&#10;OXj5F5SW3FuwXZhxq7OJSFIEWRT5C23uB+ZE4oJSg3sQHf4fLP94vPNEtjgJS0oM09jxX1+///zx&#10;jRTzKsozOqgx6t7d+csJ0IxcT53X8YssyKmh5bxclXMU9ox2tciLajHJK06BcAxYVcubCv0cA6q8&#10;WJbJnz0COQ/hvbCaRKOhHruXRGXHDxAwOYb+CYl5wSrZ7qRS6eD7/VvlyZFhp3dpxex45VmYMmRs&#10;6M0CcxPOcHw7HBs0tUMJwPQp37Mb8BQ4T+tfwLGwLYNhKiAhTOy1DMJjJaweBGvfmZaEs0OVDb4u&#10;GovRoqVECXyM0UqRgUl1TSSyUwZJxh5NXYlWOO1PCBPNvW3P2N+D87IfUNIilR49OE9Jncvsx4F9&#10;ek6gj+9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aeR/1QAAAAUBAAAPAAAAAAAAAAEAIAAA&#10;ACIAAABkcnMvZG93bnJldi54bWxQSwECFAAUAAAACACHTuJAumLFWA8CAAA3BAAADgAAAAAAAAAB&#10;ACAAAAAkAQAAZHJzL2Uyb0RvYy54bWxQSwUGAAAAAAYABgBZAQAApQUAAAAA&#10;">
                        <v:fill on="t" focussize="0,0"/>
                        <v:stroke color="#000000" joinstyle="miter"/>
                        <v:imagedata o:title=""/>
                        <o:lock v:ext="edit" aspectratio="f"/>
                        <v:textbox>
                          <w:txbxContent>
                            <w:p>
                              <w:pPr>
                                <w:jc w:val="center"/>
                              </w:pPr>
                              <w:r>
                                <w:rPr>
                                  <w:rFonts w:hint="eastAsia"/>
                                </w:rPr>
                                <w:t>热料筛分</w:t>
                              </w:r>
                            </w:p>
                            <w:p/>
                          </w:txbxContent>
                        </v:textbox>
                      </v:rect>
                      <v:shape id="自选图形 144" o:spid="_x0000_s1026" o:spt="32" type="#_x0000_t32" style="position:absolute;left:2846070;top:2050415;height:299720;width:635;"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CyXBO0DgIAAPcDAAAOAAAAZHJzL2Uyb0RvYy54bWytU82O&#10;0zAQviPxDpbvNGnpzzZquoeW5YJgJeABXNtJLPlPHm/T3rghnoEbR96BfZuV4C0YO2ULi5D2QA7J&#10;OJ755vs+j1eXB6PJXgZQztZ0PCopkZY7oWxb0/fvrp5dUAKRWcG0s7KmRwn0cv30yar3lZy4zmkh&#10;A0EQC1Xva9rF6KuiAN5Jw2DkvLS42bhgWMRlaAsRWI/oRheTspwXvQvCB8clAP7dDpv0hBgeA+ia&#10;RnG5dfzGSBsH1CA1iygJOuWBrjPbppE8vmkakJHomqLSmN/YBONdehfrFavawHyn+IkCewyFB5oM&#10;Uxab3kNtWWTkJqi/oIziwYFr4og7UwxCsiOoYlw+8OZtx7zMWtBq8Pemw/+D5a/314EogZOwoMQy&#10;gyf+/ePXHx8+3X2+vfv2hYyn02RS76HC3I29DqcV+OuQFB+aYNIXtZBDTScX03m5QHuPGJezcjqe&#10;DSbLQyQcE+bPZ5TwtLtcLib5BIozig8QX0pnSApqCjEw1XZx46zFs3RhnF1m+1cQkQcW/ipIFLQl&#10;fU2Xs0nqwHA2G5wJDI1HfWDbXAtOK3GltE4VENrdRgeyZ2k+8pPYIu4faanJlkE35OWtQVQnmXhh&#10;BYlHj8ZZvDA0UTBSUKIl3q8UISCrIlP6nBmDYrbV/8jG9toii2T6YHOKdk4cs/v5P85D5nma3TRw&#10;v69z9fm+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hUZz9cAAAAFAQAADwAAAAAAAAABACAA&#10;AAAiAAAAZHJzL2Rvd25yZXYueG1sUEsBAhQAFAAAAAgAh07iQLJcE7QOAgAA9wMAAA4AAAAAAAAA&#10;AQAgAAAAJgEAAGRycy9lMm9Eb2MueG1sUEsFBgAAAAAGAAYAWQEAAKYFAAAAAA==&#10;">
                        <v:fill on="f" focussize="0,0"/>
                        <v:stroke color="#000000" joinstyle="round" endarrow="block"/>
                        <v:imagedata o:title=""/>
                        <o:lock v:ext="edit" aspectratio="f"/>
                      </v:shape>
                      <v:shape id="自选图形 145" o:spid="_x0000_s1026" o:spt="32" type="#_x0000_t32" style="position:absolute;left:2846705;top:2651760;height:273050;width:635;"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CFrfVEDAIAAPcDAAAOAAAAZHJzL2Uyb0RvYy54bWytU81u&#10;EzEQviPxDpbvZDdpk5RVNj0klAuCSsADTLzeXUv+k8fNJjduiGfgxpF3oG9TCd6CsRMaKELqgT14&#10;x56Zb+b7PF5c7oxmWxlQOVvz8ajkTFrhGmW7mr9/d/XsgjOMYBvQzsqa7yXyy+XTJ4vBV3Lieqcb&#10;GRiBWKwGX/M+Rl8VBYpeGsCR89KSs3XBQKRt6IomwEDoRheTspwVgwuND05IRDpdH5z8iBgeA+ja&#10;Vgm5duLGSBsPqEFqiEQJe+WRL3O3bStFfNO2KCPTNSemMa9UhOxNWovlAqougO+VOLYAj2nhAScD&#10;ylLRe6g1RGA3Qf0FZZQIDl0bR8KZ4kAkK0IsxuUDbd724GXmQlKjvxcd/x+seL29Dkw1NAl07xYM&#10;3fj3j19/fPh09/n27tsXNj6fJpEGjxXFrux1OO7QX4fEeNcGk/7Ehe1qPrk4n83LKWd7smfT8Xx2&#10;FFnuIhMUMDsjp0je+Vk5zc7ihOIDxpfSGZaMmmMMoLo+rpy1dJcujLPKsH2FkfqgxF8JqQVt2VDz&#10;59NJqgA0my3NBJnGEz+0Xc5Fp1VzpbROGRi6zUoHtoU0H/lLbAn3j7BUZA3YH+Ky6zA5vYTmhW1Y&#10;3HsSztKD4akFIxvOtKT3lSwChCqC0qfIGBTYTv8jmsprS10k0Q8yJ2vjmn1WP5/TPOQ+j7ObBu73&#10;fc4+vdf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4VGc/XAAAABQEAAA8AAAAAAAAAAQAgAAAA&#10;IgAAAGRycy9kb3ducmV2LnhtbFBLAQIUABQAAAAIAIdO4kCFrfVEDAIAAPcDAAAOAAAAAAAAAAEA&#10;IAAAACYBAABkcnMvZTJvRG9jLnhtbFBLBQYAAAAABgAGAFkBAACkBQAAAAA=&#10;">
                        <v:fill on="f" focussize="0,0"/>
                        <v:stroke color="#000000" joinstyle="round" endarrow="block"/>
                        <v:imagedata o:title=""/>
                        <o:lock v:ext="edit" aspectratio="f"/>
                      </v:shape>
                      <v:shape id="自选图形 146" o:spid="_x0000_s1026" o:spt="32" type="#_x0000_t32" style="position:absolute;left:2843530;top:3226435;flip:x;height:254635;width:7620;" filled="f" stroked="t" coordsize="21600,21600" o:gfxdata="UEsDBAoAAAAAAIdO4kAAAAAAAAAAAAAAAAAEAAAAZHJzL1BLAwQUAAAACACHTuJAjokxsdYAAAAF&#10;AQAADwAAAGRycy9kb3ducmV2LnhtbE2PQW/CMAyF75P4D5GRdplGCgJUuqYctrGdJkQH99B4bUXj&#10;VE2A9t/P2wUu1rOe9d7ndN3bRlyw87UjBdNJBAKpcKamUsH+e/Mcg/BBk9GNI1QwoId1NnpIdWLc&#10;lXZ4yUMpOIR8ohVUIbSJlL6o0Go/cS0Sez+uszrw2pXSdPrK4baRsyhaSqtr4oZKt/haYXHKz1bB&#10;W75dbA5P+342FJ9f+Ud82tLwrtTjeBq9gAjYh9sx/OEzOmTMdHRnMl40CviR8D/Zi+PFHMSRxXy1&#10;BJml8p4++wVQSwMEFAAAAAgAh07iQBZqtOgTAgAAAgQAAA4AAABkcnMvZTJvRG9jLnhtbK1TS47U&#10;MBDdI3EHy3s63ekPQzTpWXQzsEDQEnCAasdJLPknl6c/O3aIM7BjyR2G24wEt6DsNDMwCGkWZBFV&#10;uape1Xsun18cjGY7GVA5W/PJaMyZtMI1ynY1f//u8skZZxjBNqCdlTU/SuQXy8ePzve+kqXrnW5k&#10;YARisdr7mvcx+qooUPTSAI6cl5aCrQsGIrmhK5oAe0I3uijH40Wxd6HxwQmJSKfrIchPiOEhgK5t&#10;lZBrJ66MtHFADVJDJErYK498madtWynim7ZFGZmuOTGN+U9NyN6mf7E8h6oL4HslTiPAQ0a4x8mA&#10;stT0FmoNEdhVUH9BGSWCQ9fGkXCmGIhkRYjFZHxPm7c9eJm5kNTob0XH/wcrXu82gamm5iVJYsHQ&#10;jX//+PXHh083n7/dXH9hk9kiibT3WFHuym7CyUO/CYnxoQ2GtVr5l7RNWQNixQ4EeDabzqeEeqz5&#10;tCwX5A1yy0NkghKeLlJPQeFyPlsM0WIATMA+YHwhnWHJqDnGAKrr48pZS9fqwtAMdq8w0khU+Ksg&#10;FWvL9jV/Ni/n1AFoTVtaDzKNJ6pouzwoOq2aS6V1qsDQbVc6sB2kVclfGpdw/0hLTdaA/ZCXQwOr&#10;XkLz3DYsHj1paOnt8DSCkQ1nWtJTSxYBQhVB6bvMGBTYTv8jm9prS1Mk/QfFk7V1zTFfRD6n1chz&#10;ntY47d7vfq6+e7r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6JMbHWAAAABQEAAA8AAAAAAAAA&#10;AQAgAAAAIgAAAGRycy9kb3ducmV2LnhtbFBLAQIUABQAAAAIAIdO4kAWarToEwIAAAIEAAAOAAAA&#10;AAAAAAEAIAAAACUBAABkcnMvZTJvRG9jLnhtbFBLBQYAAAAABgAGAFkBAACqBQAAAAA=&#10;">
                        <v:fill on="f" focussize="0,0"/>
                        <v:stroke color="#000000" joinstyle="round" endarrow="block"/>
                        <v:imagedata o:title=""/>
                        <o:lock v:ext="edit" aspectratio="f"/>
                      </v:shape>
                      <v:shape id="自选图形 147" o:spid="_x0000_s1026" o:spt="32" type="#_x0000_t32" style="position:absolute;left:1329690;top:3699510;height:344805;width:635;"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DXLxmmDAIAAPcDAAAOAAAAZHJzL2Uyb0RvYy54bWytU82O&#10;0zAQviPxDpbvNG36wzZquoeW5YKgEssDuI6TWPKfPN6mvXFDPAM3jrwD+zYrsW/B2AlbWIS0B3Jw&#10;xp6Zb+b7PF5dHrUiB+FBWlPSyWhMiTDcVtI0Jf1wffXighIIzFRMWSNKehJAL9fPn606V4jctlZV&#10;whMEMVB0rqRtCK7IMuCt0AxG1gmDztp6zQJufZNVnnWIrlWWj8eLrLO+ct5yAYCn295JB0T/FEBb&#10;15KLreU3WpjQo3qhWEBK0EoHdJ26rWvBw7u6BhGIKikyDWnFImjv45qtV6xoPHOt5EML7CktPOKk&#10;mTRY9AFqywIjN17+BaUl9xZsHUbc6qwnkhRBFpPxI23et8yJxAWlBvcgOvw/WP72sPNEViXNc0oM&#10;03jjPz59u//4+e7L7d33r2QyexlF6hwUGLsxOz/swO18ZHysvY5/5EKOOFDTfLlYorynkk4Xy+V8&#10;MogsjoFwDFhM55Tw6J3NLsbzCJ6dUZyH8FpYTaJRUgieyaYNG2sM3qX1k6QyO7yB0Cf+SogtKEO6&#10;ki7neazAcDZrnAk0tUN+YJqUC1bJ6koqFTPAN/uN8uTA4nykb2joj7BYZMug7eOSK4axohWsemUq&#10;Ek4OhTP4YGhsQYuKEiXwfUUrRQYm1TkyeMlMo/4RjXoog7JE0XuZo7W31Smpn85xHpJww+zGgft9&#10;n7LP7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4VGc/XAAAABQEAAA8AAAAAAAAAAQAgAAAA&#10;IgAAAGRycy9kb3ducmV2LnhtbFBLAQIUABQAAAAIAIdO4kDXLxmmDAIAAPcDAAAOAAAAAAAAAAEA&#10;IAAAACYBAABkcnMvZTJvRG9jLnhtbFBLBQYAAAAABgAGAFkBAACkBQAAAAA=&#10;">
                        <v:fill on="f" focussize="0,0"/>
                        <v:stroke color="#000000" joinstyle="round" endarrow="block"/>
                        <v:imagedata o:title=""/>
                        <o:lock v:ext="edit" aspectratio="f"/>
                      </v:shape>
                      <v:rect id="矩形 148" o:spid="_x0000_s1026" o:spt="1" style="position:absolute;left:4939030;top:3442335;height:301625;width:526415;" fillcolor="#FFFFFF" filled="t" stroked="f" coordsize="21600,21600" o:gfxdata="UEsDBAoAAAAAAIdO4kAAAAAAAAAAAAAAAAAEAAAAZHJzL1BLAwQUAAAACACHTuJABpArIdUAAAAF&#10;AQAADwAAAGRycy9kb3ducmV2LnhtbE2PMU/DMBCFd6T+B+sqsVG7kEZpiNOhUidgoEVivcbXJCK2&#10;09hpw7/nYKHL6Z3e6b3vis1kO3GhIbTeaVguFAhylTetqzV8HHYPGYgQ0RnsvCMN3xRgU87uCsyN&#10;v7p3uuxjLTjEhRw1NDH2uZShashiWPieHHsnP1iMvA61NANeOdx28lGpVFpsHTc02NO2oeprP1oN&#10;mCbm/HZ6ej28jCmu60ntVp9K6/v5Uj2DiDTF/2P4xWd0KJnp6Edngug08CPxb7KXZasExJFFsk5B&#10;loW8pS9/AFBLAwQUAAAACACHTuJA8Ag6RcYBAAB4AwAADgAAAGRycy9lMm9Eb2MueG1srVNLjtQw&#10;EN0jcQfLezrfbs1EnZ4FrWaDYKSBA7gdJ7Hkn8ru7vRpkNhxCI6DuAZlJ8zAsJkFWThV9vOreq+S&#10;7d2kFTkL8NKalharnBJhuO2kGVr6+dPhzQ0lPjDTMWWNaOlVeHq3e/1qe3GNKO1oVSeAIInxzcW1&#10;dAzBNVnm+Sg08yvrhMHD3oJmAVMYsg7YBdm1yso832QXC50Dy4X3uLufD+nCCC8htH0vudhbftLC&#10;hJkVhGIBJflROk93qdu+Fzx87HsvAlEtRaUhrVgE42Ncs92WNQMwN0q+tMBe0sIzTZpJg0UfqfYs&#10;MHIC+Q+Vlhyst31YcauzWUhyBFUU+TNvHkbmRNKCVnv3aLr/f7T8w/keiOxaWlaUGKZx4j+/fPvx&#10;/Ssp6ptoz8X5BlEP7h6WzGMYtU496PhGFWRqaX1b3eYVGnttaVXXZVWtZ3vFFAhHwLrc1MWaEh4B&#10;ebEp03n2ROTAh3fCahKDlgJOL5nKzu99wOII/Q2Jdb1VsjtIpVICw/GtAnJmOOlDemJ1vPIXTJkI&#10;NjZem4/jThZFzrJiFKbjtGg92u6KBp0cyGHEnopEGkE4kES/fDxx4n/mifTph9n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aQKyHVAAAABQEAAA8AAAAAAAAAAQAgAAAAIgAAAGRycy9kb3ducmV2&#10;LnhtbFBLAQIUABQAAAAIAIdO4kDwCDpFxgEAAHgDAAAOAAAAAAAAAAEAIAAAACQBAABkcnMvZTJv&#10;RG9jLnhtbFBLBQYAAAAABgAGAFkBAABcBQAAAAA=&#10;">
                        <v:fill on="t" focussize="0,0"/>
                        <v:stroke on="f"/>
                        <v:imagedata o:title=""/>
                        <o:lock v:ext="edit" aspectratio="f"/>
                        <v:textbox>
                          <w:txbxContent>
                            <w:p>
                              <w:r>
                                <w:rPr>
                                  <w:rFonts w:hint="eastAsia"/>
                                </w:rPr>
                                <w:t>噪声</w:t>
                              </w:r>
                            </w:p>
                          </w:txbxContent>
                        </v:textbox>
                      </v:rect>
                      <v:shape id="自选图形 149" o:spid="_x0000_s1026" o:spt="32" type="#_x0000_t32" style="position:absolute;left:2843530;top:3783330;height:260985;width:1270;"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DO4s8YDAIAAPgDAAAOAAAAZHJzL2Uyb0RvYy54bWytU81u&#10;EzEQviPxDpbvZJNN0iZRNj0klAuCSNAHcGzvriX/yeNmkxs3xDNw48g7wNtUgrdg7E0bKELqgT14&#10;x56Zb+b7PF5eHYwmexlAOVvR0WBIibTcCWWbit68v34xowQis4JpZ2VFjxLo1er5s2XnF7J0rdNC&#10;BoIgFhadr2gbo18UBfBWGgYD56VFZ+2CYRG3oSlEYB2iG12Uw+FF0bkgfHBcAuDppnfSE2J4CqCr&#10;a8XlxvFbI23sUYPULCIlaJUHusrd1rXk8W1dg4xEVxSZxrxiEbR3aS1WS7ZoAvOt4qcW2FNaeMTJ&#10;MGWx6APUhkVGboP6C8ooHhy4Og64M0VPJCuCLEbDR9q8a5mXmQtKDf5BdPh/sPzNfhuIEhUtJ5RY&#10;ZvDGf3z8+vPDp7vP3+++fSGjyTyJ1HlYYOzabsNpB34bEuNDHUz6IxdyQJjZZDwdo7zHio4vZ+Mx&#10;2llkeYiEY8CovEQvR3d5MZzPpslbnGF8gPhKOkOSUVGIgammjWtnLV6mC6MsM9u/htgn3iekHrQl&#10;XUXn03KKFRgOZ41DgabxSBBsk3PBaSWuldYpA0KzW+tA9iwNSP5ODf0RlopsGLR9XHb1rFrJxEsr&#10;SDx6VM7ii6GpBSMFJVriA0tW5h+Z0ufIGBSzjf5HNOqhLcqSVO91TtbOiWOWP5/jQGThTsObJu73&#10;fc4+P9j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4VGc/XAAAABQEAAA8AAAAAAAAAAQAgAAAA&#10;IgAAAGRycy9kb3ducmV2LnhtbFBLAQIUABQAAAAIAIdO4kDO4s8YDAIAAPgDAAAOAAAAAAAAAAEA&#10;IAAAACYBAABkcnMvZTJvRG9jLnhtbFBLBQYAAAAABgAGAFkBAACkBQAAAAA=&#10;">
                        <v:fill on="f" focussize="0,0"/>
                        <v:stroke color="#000000" joinstyle="round" endarrow="block"/>
                        <v:imagedata o:title=""/>
                        <o:lock v:ext="edit" aspectratio="f"/>
                      </v:shape>
                      <v:rect id="矩形 150" o:spid="_x0000_s1026" o:spt="1" style="position:absolute;left:2453640;top:628015;height:301625;width:77978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a7GTuQwCAAA2BAAADgAAAGRycy9lMm9Eb2MueG1srVPNjtMw&#10;EL4j8Q6W7zRJd9vtVk33QCkXBCstPIBrO4kl/8njNunTIHHjIXgcxGswdsp2d+HQAzk4M5nJN/N9&#10;M17dDUaTgwygnK1pNSkpkZY7oWxb0y+ft28WlEBkVjDtrKzpUQK9W79+ter9Uk5d57SQgSCIhWXv&#10;a9rF6JdFAbyThsHEeWkx2LhgWEQ3tIUIrEd0o4tpWc6L3gXhg+MSAL9uxiA9IYZLAF3TKC43ju+N&#10;tHFEDVKziJSgUx7oOnfbNJLHT00DMhJdU2Qa84lF0N6ls1iv2LINzHeKn1pgl7TwgpNhymLRR6gN&#10;i4zsg/oLyigeHLgmTrgzxUgkK4IsqvKFNg8d8zJzQanBP4oO/w+WfzzcB6JETaczSiwzOPFfX7//&#10;/PGNVLMsT+9hiVkP/j6gWMkDNBPXoQkmvZEFGRDgenY1v0ZhjzWdTxdlNRvVlUMkHOM3N7c3Cwxz&#10;jF+V1RwLImBxxvEB4nvpDElGTQMOL2vKDh8gjql/UlJZcFqJrdI6O6HdvdWBHBgOepufE/qzNG1J&#10;X9PbWSLLGW5vg1uDpvGoANg213v2BzwFLvPzL+DU2IZBNzaQEUb2RkUZ8pZ1kol3VpB49CiyxctF&#10;UzNGCkq0xLuYrJwZmdKXZKJ22qKE56EkKw67AWGSuXPiiOPd+6DaDiWtcuspguuUtT+tftrXp34G&#10;PV/3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aeR/1QAAAAUBAAAPAAAAAAAAAAEAIAAAACIA&#10;AABkcnMvZG93bnJldi54bWxQSwECFAAUAAAACACHTuJAa7GTuQwCAAA2BAAADgAAAAAAAAABACAA&#10;AAAkAQAAZHJzL2Uyb0RvYy54bWxQSwUGAAAAAAYABgBZAQAAogUAAAAA&#10;">
                        <v:fill on="t" focussize="0,0"/>
                        <v:stroke color="#000000" joinstyle="miter"/>
                        <v:imagedata o:title=""/>
                        <o:lock v:ext="edit" aspectratio="f"/>
                        <v:textbox>
                          <w:txbxContent>
                            <w:p>
                              <w:pPr>
                                <w:jc w:val="center"/>
                              </w:pPr>
                              <w:r>
                                <w:rPr>
                                  <w:rFonts w:hint="eastAsia"/>
                                </w:rPr>
                                <w:t>投料</w:t>
                              </w:r>
                            </w:p>
                          </w:txbxContent>
                        </v:textbox>
                      </v:rect>
                      <v:shape id="自选图形 151" o:spid="_x0000_s1026" o:spt="32" type="#_x0000_t32" style="position:absolute;left:2842260;top:930275;flip:x;height:268605;width:3810;" filled="f" stroked="t" coordsize="21600,21600" o:gfxdata="UEsDBAoAAAAAAIdO4kAAAAAAAAAAAAAAAAAEAAAAZHJzL1BLAwQUAAAACACHTuJAjokxsdYAAAAF&#10;AQAADwAAAGRycy9kb3ducmV2LnhtbE2PQW/CMAyF75P4D5GRdplGCgJUuqYctrGdJkQH99B4bUXj&#10;VE2A9t/P2wUu1rOe9d7ndN3bRlyw87UjBdNJBAKpcKamUsH+e/Mcg/BBk9GNI1QwoId1NnpIdWLc&#10;lXZ4yUMpOIR8ohVUIbSJlL6o0Go/cS0Sez+uszrw2pXSdPrK4baRsyhaSqtr4oZKt/haYXHKz1bB&#10;W75dbA5P+342FJ9f+Ud82tLwrtTjeBq9gAjYh9sx/OEzOmTMdHRnMl40CviR8D/Zi+PFHMSRxXy1&#10;BJml8p4++wVQSwMEFAAAAAgAh07iQDPTQUwUAgAAAQQAAA4AAABkcnMvZTJvRG9jLnhtbK1TzY7T&#10;MBC+I/EOlu9s0iwtpWq6h5aFA4JKwANMHSex5D95vE1744Z4Bm4ceQd4m5XgLRg7ZRcWIe2BHCLb&#10;M/PN930eLy8ORrO9DKicrfnkrORMWuEaZbuav3t7+WjOGUawDWhnZc2PEvnF6uGD5eAXsnK9040M&#10;jEAsLgZf8z5GvygKFL00gGfOS0vB1gUDkbahK5oAA6EbXVRlOSsGFxofnJCIdLoZg/yEGO4D6NpW&#10;Cblx4spIG0fUIDVEkoS98shXmW3bShFfty3KyHTNSWnMf2pC6136F6slLLoAvlfiRAHuQ+GOJgPK&#10;UtMbqA1EYFdB/QVllAgOXRvPhDPFKCQ7Qiom5R1v3vTgZdZCVqO/MR3/H6x4td8GppqaVzPOLBi6&#10;8e8fvvx4//H607frr5/ZZDpJJg0eF5S7tttw2qHfhqT40AbDWq38C5qm7AGpYgcCnD+uqhkZfaz5&#10;0/OyejId3ZaHyATFz+cTCgqKVrP5rMzRYsRLuD5gfC6dYWlRc4wBVNfHtbOWbtWFsRfsX2IkRlT4&#10;qyAVa8sG6jqtptQBaEpbmg5aGk9K0XaZJzqtmkuldarA0O3WOrA9pEnJX6JLuH+kpSYbwH7My6FR&#10;VS+heWYbFo+eLLT0dHiiYGTDmZb00tKKAGERQenbzBgU2E7/I5vaa0sskv2j4Wm1c80x30M+p8nI&#10;PE9TnEbv932uvn25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iTGx1gAAAAUBAAAPAAAAAAAA&#10;AAEAIAAAACIAAABkcnMvZG93bnJldi54bWxQSwECFAAUAAAACACHTuJAM9NBTBQCAAABBAAADgAA&#10;AAAAAAABACAAAAAlAQAAZHJzL2Uyb0RvYy54bWxQSwUGAAAAAAYABgBZAQAAqwUAAAAA&#10;">
                        <v:fill on="f" focussize="0,0"/>
                        <v:stroke color="#000000" joinstyle="round" endarrow="block"/>
                        <v:imagedata o:title=""/>
                        <o:lock v:ext="edit" aspectratio="f"/>
                      </v:shape>
                      <v:shape id="自选图形 152" o:spid="_x0000_s1026" o:spt="32" type="#_x0000_t32" style="position:absolute;left:2838450;top:359410;flip:x;height:268605;width:3810;" filled="f" stroked="t" coordsize="21600,21600" o:gfxdata="UEsDBAoAAAAAAIdO4kAAAAAAAAAAAAAAAAAEAAAAZHJzL1BLAwQUAAAACACHTuJAjokxsdYAAAAF&#10;AQAADwAAAGRycy9kb3ducmV2LnhtbE2PQW/CMAyF75P4D5GRdplGCgJUuqYctrGdJkQH99B4bUXj&#10;VE2A9t/P2wUu1rOe9d7ndN3bRlyw87UjBdNJBAKpcKamUsH+e/Mcg/BBk9GNI1QwoId1NnpIdWLc&#10;lXZ4yUMpOIR8ohVUIbSJlL6o0Go/cS0Sez+uszrw2pXSdPrK4baRsyhaSqtr4oZKt/haYXHKz1bB&#10;W75dbA5P+342FJ9f+Ud82tLwrtTjeBq9gAjYh9sx/OEzOmTMdHRnMl40CviR8D/Zi+PFHMSRxXy1&#10;BJml8p4++wVQSwMEFAAAAAgAh07iQOL8GIgUAgAAAQQAAA4AAABkcnMvZTJvRG9jLnhtbK1TzY7T&#10;MBC+I/EOlu80bbop3ajpHloWDggqsfsAU8dJLPlPtrdpb9wQz8CNI+8Ab7MSvAVjJ+zCIqQ94IM1&#10;9sx8M9/n8eriqCQ5cOeF0RWdTaaUcM1MLXRb0eury2dLSnwAXYM0mlf0xD29WD99suptyXPTGVlz&#10;RxBE+7K3Fe1CsGWWedZxBX5iLNfobIxTEPDo2qx20CO6klk+nS6y3rjaOsO493i7HZx0RHSPATRN&#10;IxjfGnajuA4DquMSAlLynbCerlO3TcNZeNs0ngciK4pMQ9qxCNr7uGfrFZStA9sJNrYAj2nhAScF&#10;QmPRO6gtBCA3TvwFpQRzxpsmTJhR2UAkKYIsZtMH2rzrwPLEBaX29k50//9g2ZvDzhFRVzR/TokG&#10;hS/+/cOXH+8/3n76dvv1M5kVeRSpt77E2I3eufHk7c5FxsfGKdJIYV/hNCUNkBU5IuByvjwrUOhT&#10;RefF+dlsVJsfA2Hony/xhjD05ovlYlrEMtmAF3Gt8+ElN4pEo6I+OBBtFzZGa3xV44ZacHjtw5D4&#10;KyEmS036ip4XeYEVAKe0welAU1lk6nWb+vRGivpSSBkzvGv3G+nIAeKkpDU29EdYLLIF3w1xyRXD&#10;oOw41C90TcLJooQavw6NLSheUyI5/rRopcgAQt5HBidAt/If0aiH1ChLlH8QPFp7U5/SO6R7nIwk&#10;3DjFcfR+P6fs+5+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iTGx1gAAAAUBAAAPAAAAAAAA&#10;AAEAIAAAACIAAABkcnMvZG93bnJldi54bWxQSwECFAAUAAAACACHTuJA4vwYiBQCAAABBAAADgAA&#10;AAAAAAABACAAAAAlAQAAZHJzL2Uyb0RvYy54bWxQSwUGAAAAAAYABgBZAQAAqwUAAAAA&#10;">
                        <v:fill on="f" focussize="0,0"/>
                        <v:stroke color="#000000" joinstyle="round" endarrow="block"/>
                        <v:imagedata o:title=""/>
                        <o:lock v:ext="edit" aspectratio="f"/>
                      </v:shape>
                      <v:rect id="矩形 153" o:spid="_x0000_s1026" o:spt="1" style="position:absolute;left:2453640;top:57785;height:301625;width:77978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ySjpsw8CAAA1BAAADgAAAGRycy9lMm9Eb2MueG1srVPNjtMw&#10;EL4j8Q6W7zRpu912o6Z7oJQLgpUWHsC1ncSS/+Rxm/RpkLjxEDwO4jUYO2X/4NADPjjjzPib+b4Z&#10;r28Ho8lRBlDO1nQ6KSmRljuhbFvTL593b1aUQGRWMO2srOlJAr3dvH617n0lZ65zWshAEMRC1fua&#10;djH6qiiAd9IwmDgvLTobFwyLeAxtIQLrEd3oYlaW10XvgvDBcQmAf7ejk54RwyWArmkUl1vHD0ba&#10;OKIGqVlEStApD3STq20ayeOnpgEZia4pMo15xyRo79NebNasagPzneLnEtglJbzgZJiymPQBassi&#10;I4eg/oIyigcHrokT7kwxEsmKIItp+UKb+455mbmg1OAfRIf/B8s/Hu8CUaKmM+y7ZQY7/uvr958/&#10;vpHpYp7k6T1UGHXv78L5BGgmrkMTTPoiCzIgwNVifn2Fwp5qulguV4tRXDlEwtG9XN4sV+jl6J6X&#10;0+tZ9hePMD5AfC+dIcmoacDeZUnZ8QNETI2hf0JSVnBaiZ3SOh9Cu3+rAzky7PMur5QdrzwL05b0&#10;Nb1ZYG7CGQ5vg0ODpvEoANg253t2A54Cl3n9CzgVtmXQjQVkhJG9UVEGrIRVnWTinRUknjxqbPFt&#10;0VSMkYISLfEpJitHRqb0JZHITlskmTo09iRZcdgPCJPMvRMn7O7BB9V2KOk0l548OE1ZnfPkp3F9&#10;es6gj69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aeR/1QAAAAUBAAAPAAAAAAAAAAEAIAAA&#10;ACIAAABkcnMvZG93bnJldi54bWxQSwECFAAUAAAACACHTuJAySjpsw8CAAA1BAAADgAAAAAAAAAB&#10;ACAAAAAkAQAAZHJzL2Uyb0RvYy54bWxQSwUGAAAAAAYABgBZAQAApQUAAAAA&#10;">
                        <v:fill on="t" focussize="0,0"/>
                        <v:stroke color="#000000" joinstyle="miter"/>
                        <v:imagedata o:title=""/>
                        <o:lock v:ext="edit" aspectratio="f"/>
                        <v:textbox>
                          <w:txbxContent>
                            <w:p>
                              <w:pPr>
                                <w:ind w:firstLine="210" w:firstLineChars="100"/>
                              </w:pPr>
                              <w:r>
                                <w:rPr>
                                  <w:rFonts w:hint="eastAsia"/>
                                </w:rPr>
                                <w:t>骨料</w:t>
                              </w:r>
                            </w:p>
                          </w:txbxContent>
                        </v:textbox>
                      </v:rect>
                      <v:shape id="自选图形 154" o:spid="_x0000_s1026" o:spt="32" type="#_x0000_t32" style="position:absolute;left:2838450;top:4346575;height:260985;width:3810;"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BOaElNDwIAAPgDAAAOAAAAZHJzL2Uyb0RvYy54bWytU82O&#10;0zAQviPxDpbvNP1LSaOme2hZLggqAQ8wdZzEkv9ke5v2xg3xDNw48g7s26wEb8HYKVtYhLQHekjH&#10;mZlvvu/LeHV1VJIcuPPC6IpORmNKuGamFrqt6Pt3188KSnwAXYM0mlf0xD29Wj99suptyaemM7Lm&#10;jiCI9mVvK9qFYMss86zjCvzIWK4x2RinIODRtVntoEd0JbPpeLzIeuNq6wzj3uPb7ZCkZ0T3GEDT&#10;NILxrWE3iuswoDouIaAk3wnr6TqxbRrOwpum8TwQWVFUGtITh2C8j89svYKydWA7wc4U4DEUHmhS&#10;IDQOvYfaQgBy48RfUEowZ7xpwogZlQ1CkiOoYjJ+4M3bDixPWtBqb+9N9/8Plr0+7BwRdUWnS0o0&#10;KPzi3z9+/fHh093n27tvX8gkn0eTeutLrN3onTufvN25qPjYOBX/UQs5IkwxK+Y52nuq6Hw2X+TP&#10;88FkfgyEYcGsmGCWYXq6GC+LlM0uMNb58JIbRWJQUR8ciLYLG6M1fkzjJslmOLzyAYlg46+GyEFq&#10;0ld0mU9znAC4nA0uBYbKokCv29TrjRT1tZAydnjX7jfSkQPEBUm/SBdx/yiLQ7bgu6EupQZVHYf6&#10;ha5JOFl0TuONoZGC4jUlkuMFixECQhlAyEtlcAJ0K/9RjeOlRhbR9cHnGO1NfUr2p/e4EInneXnj&#10;xv1+Tt2XC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4VGc/XAAAABQEAAA8AAAAAAAAAAQAg&#10;AAAAIgAAAGRycy9kb3ducmV2LnhtbFBLAQIUABQAAAAIAIdO4kBOaElNDwIAAPgDAAAOAAAAAAAA&#10;AAEAIAAAACYBAABkcnMvZTJvRG9jLnhtbFBLBQYAAAAABgAGAFkBAACnBQAAAAA=&#10;">
                        <v:fill on="f" focussize="0,0"/>
                        <v:stroke color="#000000" joinstyle="round" endarrow="block"/>
                        <v:imagedata o:title=""/>
                        <o:lock v:ext="edit" aspectratio="f"/>
                      </v:shape>
                      <v:rect id="矩形 155" o:spid="_x0000_s1026" o:spt="1" style="position:absolute;left:866140;top:4053840;height:302260;width:95377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YoSR5g4CAAA2BAAADgAAAGRycy9lMm9Eb2MueG1srVPNjtMw&#10;EL4j8Q6W7zRpuu2WqukeKOWCYKVdHsC1ncSS/+Rxm/RpkLjxEDwO4jUYO2X/4NADOaTjzuSb7/tm&#10;vL4ZjCZHGUA5W9PppKREWu6Esm1Nv9zv3iwpgcisYNpZWdOTBHqzef1q3fuVrFzntJCBIIiFVe9r&#10;2sXoV0UBvJOGwcR5aTHZuGBYxGNoCxFYj+hGF1VZLoreBeGD4xIA/92OSXpGDJcAuqZRXG4dPxhp&#10;44gapGYRJUGnPNBNZts0ksfPTQMyEl1TVBrzG5tgvE/vYrNmqzYw3yl+psAuofBCk2HKYtMHqC2L&#10;jByC+gvKKB4cuCZOuDPFKCQ7giqm5Qtv7jrmZdaCVoN/MB3+Hyz/dLwNRImaztASywxO/NfX7z9/&#10;fCPT+TzZ03tYYdWdvw3nE2CYtA5NMOkXVZChpsvFYnqFIKeaXpXz2RLj7K4cIuGYfzufXV9jnmPB&#10;rKyqRc4Xjzg+QPwgnSEpqGnA4WVP2fEjRITC0j8lqS04rcROaZ0Pod2/04EcGQ56l5/UHT95VqYt&#10;6ROTao48GG5vg1uDofHoANg293v2BTwFLvPzL+BEbMugGwlkhFG9UVGG7EMnmXhvBYknjyZbvFw0&#10;kTFSUKIl3sUU5crIlL6kEtVpiyLTiMahpCgO+wFhUrh34oTjPfig2g4tnWbqKYPrlN05r37a16fn&#10;DPp43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p5H/VAAAABQEAAA8AAAAAAAAAAQAgAAAA&#10;IgAAAGRycy9kb3ducmV2LnhtbFBLAQIUABQAAAAIAIdO4kBihJHmDgIAADYEAAAOAAAAAAAAAAEA&#10;IAAAACQBAABkcnMvZTJvRG9jLnhtbFBLBQYAAAAABgAGAFkBAACkBQAAAAA=&#10;">
                        <v:fill on="t" focussize="0,0"/>
                        <v:stroke color="#000000" joinstyle="miter"/>
                        <v:imagedata o:title=""/>
                        <o:lock v:ext="edit" aspectratio="f"/>
                        <v:textbox>
                          <w:txbxContent>
                            <w:p>
                              <w:pPr>
                                <w:jc w:val="center"/>
                              </w:pPr>
                              <w:r>
                                <w:rPr>
                                  <w:rFonts w:hint="eastAsia"/>
                                </w:rPr>
                                <w:t>密闭计量</w:t>
                              </w:r>
                            </w:p>
                            <w:p/>
                          </w:txbxContent>
                        </v:textbox>
                      </v:rect>
                      <v:rect id="矩形 156" o:spid="_x0000_s1026" o:spt="1" style="position:absolute;left:828040;top:3397250;height:302260;width:95377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Kg7slw4CAAA2BAAADgAAAGRycy9lMm9Eb2MueG1srVPNjtMw&#10;EL4j8Q6W7zRpSrvdqOkeKOWCYKVdHmBqO4kl/8l2m/RpkLjxEDwO4jUYu2X/4NADOaTjzuSb7/tm&#10;vLoZtSIH4YO0pqHTSUmJMMxyabqGfrnfvllSEiIYDsoa0dCjCPRm/frVanC1qGxvFReeIIgJ9eAa&#10;2sfo6qIIrBcawsQ6YTDZWq8h4tF3BfcwILpWRVWWi2KwnjtvmQgB/92ckvSM6C8BtG0rmdhYttfC&#10;xBOqFwoiSgq9dIGuM9u2FSx+btsgIlENRaUxv7EJxrv0LtYrqDsPrpfsTAEuofBCkwZpsOkD1AYi&#10;kL2Xf0FpybwNto0TZnVxEpIdQRXT8oU3dz04kbWg1cE9mB7+Hyz7dLj1RPKGzqaUGNA48V9fv//8&#10;8Y1M54tkz+BCjVV37tafTwHDpHVsvU6/qIKMDV1Wy/It+npErNn1VTU/uyvGSBjmr+ezqyvMs1RQ&#10;VtUi54tHHOdD/CCsJiloqMfhZU/h8DFE7I2lf0pS22CV5FupVD74bvdOeXIAHPQ2P4k8fvKsTBky&#10;JCbVHHkAbm+LW4OhduhAMF3u9+yL8BS4zM+/gBOxDYT+RCAjpDKotYwiGQd1L4C/N5zEo0OTDV4u&#10;mshowSlRAu9iinJlBKkuqUR1yqDINKLTUFIUx92IMCncWX7E8e6dl12Plk4z9ZTBdcrunFc/7evT&#10;cwZ9vO7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p5H/VAAAABQEAAA8AAAAAAAAAAQAgAAAA&#10;IgAAAGRycy9kb3ducmV2LnhtbFBLAQIUABQAAAAIAIdO4kAqDuyXDgIAADYEAAAOAAAAAAAAAAEA&#10;IAAAACQBAABkcnMvZTJvRG9jLnhtbFBLBQYAAAAABgAGAFkBAACkBQAAAAA=&#10;">
                        <v:fill on="t" focussize="0,0"/>
                        <v:stroke color="#000000" joinstyle="miter"/>
                        <v:imagedata o:title=""/>
                        <o:lock v:ext="edit" aspectratio="f"/>
                        <v:textbox>
                          <w:txbxContent>
                            <w:p>
                              <w:pPr>
                                <w:ind w:firstLine="210" w:firstLineChars="100"/>
                              </w:pPr>
                              <w:r>
                                <w:rPr>
                                  <w:rFonts w:hint="eastAsia"/>
                                </w:rPr>
                                <w:t>沥青储罐</w:t>
                              </w:r>
                            </w:p>
                          </w:txbxContent>
                        </v:textbox>
                      </v:rect>
                      <v:shape id="自选图形 157" o:spid="_x0000_s1026" o:spt="32" type="#_x0000_t32" style="position:absolute;left:4345940;top:3049270;height:344805;width:635;"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B67xPrCwIAAPcDAAAOAAAAZHJzL2Uyb0RvYy54bWytU82O&#10;0zAQviPxDpbvNGmb7m6jpntoWS4IKgEPMHWcxJL/ZHub9sYN8QzcOPIO8DYrwVswdsIWFiHtgRyc&#10;sWfmm/k+j1fXRyXJgTsvjK7odJJTwjUztdBtRd+9vXl2RYkPoGuQRvOKnrin1+unT1a9LfnMdEbW&#10;3BEE0b7sbUW7EGyZZZ51XIGfGMs1OhvjFATcujarHfSIrmQ2y/OLrDeuts4w7j2ebgcnHRHdYwBN&#10;0wjGt4bdKq7DgOq4hICUfCesp+vUbdNwFl43jeeByIoi05BWLIL2Pq7ZegVl68B2go0twGNaeMBJ&#10;gdBY9B5qCwHIrRN/QSnBnPGmCRNmVDYQSYogi2n+QJs3HVieuKDU3t6L7v8fLHt12Dki6orOZ5Ro&#10;UHjj3z98+fH+492nb3dfP5Pp4jKK1FtfYuxG79y483bnIuNj41T8IxdyrGgxLxbLAuU9IWReLGeX&#10;o8j8GAjDgIv5ghIWvUVxlS8ieHZGsc6HF9woEo2K+uBAtF3YGK3xLo2bJpXh8NKHIfFXQmxBatJX&#10;dLmYxQqAs9ngTKCpLPLzuk253khR3wgpY4Z37X4jHTlAnI/0jQ39ERaLbMF3Q1xyxTAoOw71c12T&#10;cLIonMYHQ2MLiteUSI7vK1opMoCQ58jgBOhW/iMa9ZAaZYmiDzJHa2/qU1I/neM8JOHG2Y0D9/s+&#10;ZZ/f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hUZz9cAAAAFAQAADwAAAAAAAAABACAAAAAi&#10;AAAAZHJzL2Rvd25yZXYueG1sUEsBAhQAFAAAAAgAh07iQHrvE+sLAgAA9wMAAA4AAAAAAAAAAQAg&#10;AAAAJgEAAGRycy9lMm9Eb2MueG1sUEsFBgAAAAAGAAYAWQEAAKMFAAAAAA==&#10;">
                        <v:fill on="f" focussize="0,0"/>
                        <v:stroke color="#000000" joinstyle="round" endarrow="block"/>
                        <v:imagedata o:title=""/>
                        <o:lock v:ext="edit" aspectratio="f"/>
                      </v:shape>
                      <v:rect id="矩形 158" o:spid="_x0000_s1026" o:spt="1" style="position:absolute;left:3863340;top:2766060;height:302260;width:95377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S3Q/Q4CAAA3BAAADgAAAGRycy9lMm9Eb2MueG1srVPLrtMw&#10;EN0j8Q+W9zRpQh9ETe+CUjYIrnThA6aOk1jyS7bbpF+DxI6P4HMQv8HYKfcFiy7IIh13JmfOOTPe&#10;3IxKkhN3Xhhd0/ksp4RrZhqhu5p++bx/tabEB9ANSKN5Tc/c05vtyxebwVa8ML2RDXcEQbSvBlvT&#10;PgRbZZlnPVfgZ8ZyjcnWOAUBj67LGgcDoiuZFXm+zAbjGusM497jv7spSS+I7hpA07aC8Z1hR8V1&#10;mFAdlxBQku+F9XSb2LYtZ+FT23oeiKwpKg3pjU0wPsR3tt1A1TmwvWAXCnANhWeaFAiNTe+hdhCA&#10;HJ34C0oJ5ow3bZgxo7JJSHIEVczzZ97c9WB50oJWe3tvuv9/sOzj6dYR0dS0LCnRoHDiv75+//nj&#10;G5kv1tGewfoKq+7srbucPIZR69g6FX9RBRkRYL0sy9do7LmmxWq5zJcXe/kYCMOCN4tytcI8w4Iy&#10;L4opnz0AWefDe24UiUFNHU4vmQqnDz5gcyz9UxL7eiNFsxdSpoPrDm+lIyfASe/TE9njJ0/KpCZD&#10;ZFIskAfg+ra4NhgqixZ43aV+T77wj4Hz9PwLOBLbge8nAgkhlkGlRODROah6Ds073ZBwtuiyxttF&#10;IxnFG0okx8sYo1QZQMhrKlGd1CgyzmiaSozCeBgRJoYH05xxvkfrRNejpfNEPWZwn5I7l92PC/v4&#10;nEAf7vv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p5H/VAAAABQEAAA8AAAAAAAAAAQAgAAAA&#10;IgAAAGRycy9kb3ducmV2LnhtbFBLAQIUABQAAAAIAIdO4kD9LdD9DgIAADcEAAAOAAAAAAAAAAEA&#10;IAAAACQBAABkcnMvZTJvRG9jLnhtbFBLBQYAAAAABgAGAFkBAACkBQAAAAA=&#10;">
                        <v:fill on="t" focussize="0,0"/>
                        <v:stroke color="#000000" joinstyle="miter"/>
                        <v:imagedata o:title=""/>
                        <o:lock v:ext="edit" aspectratio="f"/>
                        <v:textbox>
                          <w:txbxContent>
                            <w:p>
                              <w:pPr>
                                <w:ind w:firstLine="210" w:firstLineChars="100"/>
                              </w:pPr>
                              <w:r>
                                <w:rPr>
                                  <w:rFonts w:hint="eastAsia"/>
                                </w:rPr>
                                <w:t>矿粉筒仓</w:t>
                              </w:r>
                            </w:p>
                          </w:txbxContent>
                        </v:textbox>
                      </v:rect>
                      <v:rect id="矩形 159" o:spid="_x0000_s1026" o:spt="1" style="position:absolute;left:3853180;top:4044315;height:302260;width:95377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l70iRECAAA3BAAADgAAAGRycy9lMm9Eb2MueG1srVNLktMw&#10;EN1TxR1U2hN/ksxkXHFmQQgbCqZq4ACKLNuq0q/USuychip2HILjUFyDlhzmB4ss8MJuWa3X771u&#10;rW9HrchReJDW1LSY5ZQIw20jTVfTL593b1aUQGCmYcoaUdOTAHq7ef1qPbhKlLa3qhGeIIiBanA1&#10;7UNwVZYB74VmMLNOGNxsrdcs4NJ3WePZgOhaZWWeX2WD9Y3zlgsA/LudNukZ0V8CaNtWcrG1/KCF&#10;CROqF4oFlAS9dEA3iW3bCh4+tS2IQFRNUWlIbyyC8T6+s82aVZ1nrpf8TIFdQuGFJs2kwaIPUFsW&#10;GDl4+ReUltxbsG2YcauzSUhyBFUU+Qtv7nvmRNKCVoN7MB3+Hyz/eLzzRDY1nS8oMUxjx399/f7z&#10;xzdSLG+iPYODCrPu3Z0/rwDDqHVsvY5fVEFGBFgt58UKjT3VdJEvFvNiOdkrxkA4Jtws59fXuM8x&#10;YZ6X5VWyP3sEch7Ce2E1iUFNPXYvmcqOHyBgcUz9kxLrglWy2Uml0sJ3+7fKkyPDTu/SE6vjkWdp&#10;ypAhMimXyIPh+LY4NhhqhxaA6VK9ZyfgKXCenn8BR2JbBv1EICFM6rUMwiMTVvWCNe9MQ8LJocsG&#10;bxeNZLRoKFECL2OMUmZgUl2SieqUQZGxR1NXYhTG/YgwMdzb5oT9PTgvux4tLRL1uIPzlNw5z34c&#10;2KfrBPp43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xp5H/VAAAABQEAAA8AAAAAAAAAAQAg&#10;AAAAIgAAAGRycy9kb3ducmV2LnhtbFBLAQIUABQAAAAIAIdO4kD+XvSJEQIAADcEAAAOAAAAAAAA&#10;AAEAIAAAACQBAABkcnMvZTJvRG9jLnhtbFBLBQYAAAAABgAGAFkBAACnBQAAAAA=&#10;">
                        <v:fill on="t" focussize="0,0"/>
                        <v:stroke color="#000000" joinstyle="miter"/>
                        <v:imagedata o:title=""/>
                        <o:lock v:ext="edit" aspectratio="f"/>
                        <v:textbox>
                          <w:txbxContent>
                            <w:p>
                              <w:pPr>
                                <w:jc w:val="center"/>
                              </w:pPr>
                              <w:r>
                                <w:rPr>
                                  <w:rFonts w:hint="eastAsia"/>
                                </w:rPr>
                                <w:t>密闭计量</w:t>
                              </w:r>
                            </w:p>
                            <w:p/>
                          </w:txbxContent>
                        </v:textbox>
                      </v:rect>
                      <v:shape id="自选图形 160" o:spid="_x0000_s1026" o:spt="32" type="#_x0000_t32" style="position:absolute;left:4356100;top:3699510;height:344805;width:635;"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BRXI3kCQIAAPcDAAAOAAAAZHJzL2Uyb0RvYy54bWytU82O&#10;0zAQviPxDpbvNEm3rbZV0z20LBcElYAHcG0nseQ/ebxNe+OGeAZuHHkHeJuV4C0YO2W7uwhpD+Tg&#10;jD0z38z3eby8OhhN9jKAcram1aikRFruhLJtTT+8v35xSQlEZgXTzsqaHiXQq9XzZ8veL+TYdU4L&#10;GQiCWFj0vqZdjH5RFMA7aRiMnJcWnY0LhkXchrYQgfWIbnQxLstZ0bsgfHBcAuDpZnDSE2J4CqBr&#10;GsXlxvEbI20cUIPULCIl6JQHusrdNo3k8W3TgIxE1xSZxrxiEbR3aS1WS7ZoA/Od4qcW2FNaeMTJ&#10;MGWx6B3UhkVGboL6C8ooHhy4Jo64M8VAJCuCLKrykTbvOuZl5oJSg78THf4fLH+z3waiRE0vppRY&#10;ZvDGf3769uvj59svP26/fyXVLIvUe1hg7NpuA0qWduC3ITE+NMGkP3Ihh5pOLqazqkR5jwg5m8+n&#10;1UlkeYiEY8AsFeLJO5lcltN0A8UZxQeIr6QzJBk1hRiYaru4dtbiXbpQZZXZ/jXEIfFPQmpBW9LX&#10;dD4dpwoMZ7PBmUDTeOQHts254LQS10rrlAGh3a11IHuW5iN/p4YehKUiGwbdEJddw+R0komXVpB4&#10;9CicxQdDUwtGCkq0xPeVrDxjkSl9joxBMdvqf0SjHtqiLGeZk7Vz4pjVz+c4D1m40+ymgbu/z9nn&#10;97r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4VGc/XAAAABQEAAA8AAAAAAAAAAQAgAAAAIgAA&#10;AGRycy9kb3ducmV2LnhtbFBLAQIUABQAAAAIAIdO4kBRXI3kCQIAAPcDAAAOAAAAAAAAAAEAIAAA&#10;ACYBAABkcnMvZTJvRG9jLnhtbFBLBQYAAAAABgAGAFkBAAChBQAAAAA=&#10;">
                        <v:fill on="f" focussize="0,0"/>
                        <v:stroke color="#000000" joinstyle="round" endarrow="block"/>
                        <v:imagedata o:title=""/>
                        <o:lock v:ext="edit" aspectratio="f"/>
                      </v:shape>
                      <v:rect id="矩形 161" o:spid="_x0000_s1026" o:spt="1" style="position:absolute;left:3863340;top:3397250;height:302260;width:953135;"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hxjmA4CAAA3BAAADgAAAGRycy9lMm9Eb2MueG1srVPNjtMw&#10;EL4j8Q6W72zShHZ3o6Z7oJQLgpV2eYCp7SSW/CfbbdKnQeLGQ/A4iNdg7Jb9g0MP5JCM48/fzPfN&#10;eHkzaUX2wgdpTUtnFyUlwjDLpelb+uV+8+aKkhDBcFDWiJYeRKA3q9evlqNrRGUHq7jwBElMaEbX&#10;0iFG1xRFYIPQEC6sEwY3O+s1RFz6vuAeRmTXqqjKclGM1nPnLRMh4N/1cZOeGP05hLbrJBNry3Za&#10;mHhk9UJBRElhkC7QVa626wSLn7suiEhUS1FpzG9MgvE2vYvVEpregxskO5UA55TwQpMGaTDpA9Ua&#10;IpCdl39Racm8DbaLF8zq4igkO4IqZuULb+4GcCJrQauDezA9/D9a9ml/64nkLa0vKTGgseO/vn7/&#10;+eMbmS1myZ7RhQZRd+7Wn1YBw6R16rxOX1RBJiS4WtT1WzT2gHF9fVnNT/aKKRKGgOt5PavnlLAE&#10;KKtqkfeLRyLnQ/wgrCYpaKnH7mVTYf8xREyO0D+QlDdYJflGKpUXvt++U57sATu9yU+qHo88gylD&#10;xlRJleoAHN8OxwZD7dCCYPqc79mJ8JS4zM+/iFNhawjDsYDMkGDQaBlFcg6aQQB/bziJB4cuG7xd&#10;NBWjBadECbyMKcrICFKdg0R1yqDI1KNjV1IUp+2ENCncWn7A/u6cl/2AluaOZjjOU3bnNPtpYJ+u&#10;M+njf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p5H/VAAAABQEAAA8AAAAAAAAAAQAgAAAA&#10;IgAAAGRycy9kb3ducmV2LnhtbFBLAQIUABQAAAAIAIdO4kD+HGOYDgIAADcEAAAOAAAAAAAAAAEA&#10;IAAAACQBAABkcnMvZTJvRG9jLnhtbFBLBQYAAAAABgAGAFkBAACkBQAAAAA=&#10;">
                        <v:fill on="t" focussize="0,0"/>
                        <v:stroke color="#000000" joinstyle="miter"/>
                        <v:imagedata o:title=""/>
                        <o:lock v:ext="edit" aspectratio="f"/>
                        <v:textbox>
                          <w:txbxContent>
                            <w:p>
                              <w:pPr>
                                <w:ind w:firstLine="210" w:firstLineChars="100"/>
                              </w:pPr>
                              <w:r>
                                <w:rPr>
                                  <w:rFonts w:hint="eastAsia"/>
                                </w:rPr>
                                <w:t>密闭输送</w:t>
                              </w:r>
                            </w:p>
                            <w:p/>
                          </w:txbxContent>
                        </v:textbox>
                      </v:rect>
                      <v:shape id="自选图形 162" o:spid="_x0000_s1026" o:spt="32" type="#_x0000_t32" style="position:absolute;left:1160145;top:3067050;flip:y;height:318135;width:635;" filled="f" stroked="t" coordsize="21600,21600" o:gfxdata="UEsDBAoAAAAAAIdO4kAAAAAAAAAAAAAAAAAEAAAAZHJzL1BLAwQUAAAACACHTuJA5Vx6VtIAAAAF&#10;AQAADwAAAGRycy9kb3ducmV2LnhtbE2PwU7DMBBE70j8g7VI3KhdVEJI4/SAxIEjST7Aibdx1Hgd&#10;xW5T+HoWLnBZzWpWM2/Lw9VP4oJLHANp2G4UCKQ+2JEGDW3z9pCDiMmQNVMg1PCJEQ7V7U1pChtW&#10;+sBLnQbBIRQLo8GlNBdSxt6hN3ETZiT2jmHxJvG6DNIuZuVwP8lHpTLpzUjc4MyMrw77U332GmTn&#10;aPk6Nm22qve5XWv73Hir9f3dVu1BJLymv2P4wWd0qJipC2eyUUwa+JH0O9nL86cdiI7F7iUDWZXy&#10;P331DVBLAwQUAAAACACHTuJAoVJ5mBACAAAABAAADgAAAGRycy9lMm9Eb2MueG1srVPNjtMwEL4j&#10;8Q6W7zRJl5YlarqHluWCoBI/96ntJJb8J9vbtDduiGfgxpF3gLdZCd6CsRN2YRHSHsghmvHMfDPf&#10;5/Hq4qgVOQgfpDUNrWYlJcIwy6XpGvr2zeWjc0pCBMNBWSMaehKBXqwfPlgNrhZz21vFhScIYkI9&#10;uIb2Mbq6KALrhYYws04YDLbWa4jo+q7gHgZE16qYl+WyGKznzlsmQsDT7RikE6K/D6BtW8nE1rIr&#10;LUwcUb1QEJFS6KULdJ2nbVvB4qu2DSIS1VBkGvMfm6C9T/9ivYK68+B6yaYR4D4j3OGkQRpsegO1&#10;hQjkysu/oLRk3gbbxhmzuhiJZEWQRVXe0eZ1D05kLih1cDeih/8Hy14edp5I3tAzvHcDGm/8+4cv&#10;P95/vP707frrZ1It50mkwYUaczdm5ycvuJ1PjI+t16RV0r3DbcoaICtyRKdaltXjBSUnBC+XT8rF&#10;JLc4RsIwYXmGQZai1XmFNgIXI17CdT7E58JqkoyGhuhBdn3cWGPwVq0fe8HhRYhj4a+CVKwMGRr6&#10;dDFPHQC3tMXtQFM7ZBpMl+cMVkl+KZVKFcF3+43y5ABpU/I3DfRHWmqyhdCPeRytlAV1L4A/M5zE&#10;k0MFDb4cmibQglOiBD60ZOXMCFLdZkYvwXTqH9kohzKoSlJ/1DtZe8tP+RryOS5G1m1a4rR5v/u5&#10;+vbh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Vx6VtIAAAAFAQAADwAAAAAAAAABACAAAAAi&#10;AAAAZHJzL2Rvd25yZXYueG1sUEsBAhQAFAAAAAgAh07iQKFSeZgQAgAAAAQAAA4AAAAAAAAAAQAg&#10;AAAAIQEAAGRycy9lMm9Eb2MueG1sUEsFBgAAAAAGAAYAWQEAAKMFAAAAAA==&#10;">
                        <v:fill on="f" focussize="0,0"/>
                        <v:stroke color="#000000" joinstyle="round" dashstyle="dash" endarrow="block"/>
                        <v:imagedata o:title=""/>
                        <o:lock v:ext="edit" aspectratio="f"/>
                      </v:shape>
                      <v:shape id="自选图形 163" o:spid="_x0000_s1026" o:spt="32" type="#_x0000_t32" style="position:absolute;left:1402715;top:3083560;height:330200;width:635;" filled="f" stroked="t" coordsize="21600,21600" o:gfxdata="UEsDBAoAAAAAAIdO4kAAAAAAAAAAAAAAAAAEAAAAZHJzL1BLAwQUAAAACACHTuJA+coqNNMAAAAF&#10;AQAADwAAAGRycy9kb3ducmV2LnhtbE2PP0/DMBDFdyS+g3VIbNRO1FZpiNOBlomJwsDoxkcSsM/B&#10;dv/w7TlY6HJ6p3d673fN+uydOGJMYyANxUyBQOqCHanX8PryeFeBSNmQNS4QavjGBOv2+qoxtQ0n&#10;esbjLveCQyjVRsOQ81RLmboBvUmzMCGx9x6iN5nX2EsbzYnDvZOlUkvpzUjcMJgJHwbsPncHr2HV&#10;+W2Z356c+dp8bGKR1UKWW61vbwp1DyLjOf8fwy8+o0PLTPtwIJuE08CP5L/JXlUt5iD2LOarJci2&#10;kZf07Q9QSwMEFAAAAAgAh07iQBrdboIJAgAA9gMAAA4AAABkcnMvZTJvRG9jLnhtbK1TzY7TMBC+&#10;I/EOlu80aUvLbtR0Dy3LBUEl4AGmtpNY8p9sb9PeuCGegRtH3gHeZiV4C8ZO2MIipD2QgzP2zHwz&#10;3+fx6uqoFTkIH6Q1NZ1OSkqEYZZL09b03dvrJxeUhAiGg7JG1PQkAr1aP3606l0lZrazigtPEMSE&#10;qnc17WJ0VVEE1gkNYWKdMOhsrNcQcevbgnvoEV2rYlaWy6K3njtvmQgBT7eDk46I/iGAtmkkE1vL&#10;brQwcUD1QkFESqGTLtB17rZpBIuvmyaISFRNkWnMKxZBe5/WYr2CqvXgOsnGFuAhLdzjpEEaLHoH&#10;tYUI5MbLv6C0ZN4G28QJs7oYiGRFkMW0vKfNmw6cyFxQ6uDuRA//D5a9Ouw8kbym80tKDGi88e8f&#10;vvx4//H207fbr5/JdDlPIvUuVBi7MTs/7oLb+cT42Hid/siFHHGgnpazZ9MFJSeELC/mi+UosjhG&#10;wjBgOUcnS955ifOQwIszivMhvhBWk2TUNEQPsu3ixhqDd2n9NKsMh5chDom/ElILypC+ppeLWaoA&#10;OJsNzgSa2iG/YNqcG6yS/FoqlTKCb/cb5ckB0nzkb2zoj7BUZAuhG+I4WikKqk4Af244iSeHuhl8&#10;LzR1oAWnRAl8XsnKkRGkOkdGL8G06h/RKIcyqErSfFA5WXvLT1n8fI7jkHUbRzfN2+/7nH1+r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qNNMAAAAFAQAADwAAAAAAAAABACAAAAAiAAAAZHJz&#10;L2Rvd25yZXYueG1sUEsBAhQAFAAAAAgAh07iQBrdboIJAgAA9gMAAA4AAAAAAAAAAQAgAAAAIgEA&#10;AGRycy9lMm9Eb2MueG1sUEsFBgAAAAAGAAYAWQEAAJ0FAAAAAA==&#10;">
                        <v:fill on="f" focussize="0,0"/>
                        <v:stroke color="#000000" joinstyle="round" dashstyle="dash" endarrow="block"/>
                        <v:imagedata o:title=""/>
                        <o:lock v:ext="edit" aspectratio="f"/>
                      </v:shape>
                      <v:rect id="矩形 164" o:spid="_x0000_s1026" o:spt="1" style="position:absolute;left:850900;top:2550795;height:501650;width:109728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aSBVchECAAA3BAAADgAAAGRycy9lMm9Eb2MueG1srVM7jtsw&#10;EO0D5A4E+1iSsfLaguUt4jhNkCywyQFoipII8AcObcmnCZAuh8hxglwjQ8rZX7ZwsSqkoTh8896b&#10;4fpm1IochQdpTU2LWU6JMNw20nQ1/fZ1925JCQRmGqasETU9CaA3m7dv1oOrxNz2VjXCEwQxUA2u&#10;pn0Irsoy4L3QDGbWCYObrfWaBVz6Lms8GxBdq2ye54tssL5x3nIBgH+30yY9I/pLAG3bSi62lh+0&#10;MGFC9UKxgJKglw7oJrFtW8HDl7YFEYiqKSoN6Y1FMN7Hd7ZZs6rzzPWSnymwSyg806SZNFj0HmrL&#10;AiMHL/+D0pJ7C7YNM251NglJjqCKIn/mzV3PnEha0Gpw96bD68Hyz8dbT2RT0yu0xDCNHf/z/efv&#10;Xz9IsbiK9gwOKsy6c7f+vAIMo9ax9Tp+UQUZa7os81WOIKeazssyv16Vk7tiDITjfpGvrudLTOCY&#10;UebFokz2Zw9AzkP4KKwmMaipx+4lU9nxEwQsjqn/UmJdsEo2O6lUWvhu/155cmTY6V16Ynk88iRN&#10;GTLUdFXOS+TBcHxbHBsMtUMLwHSp3pMT8Bg4T89LwJHYlkE/EUgIk3wtg/DIhFW9YM0H05Bwcuiy&#10;wdtFIxktGkqUwMsYo5QZmFSXZKI6ZVBk7NHUlRiFcT8iTAz3tjlhfw/Oy65HS4tEPe7gPCV3zrMf&#10;B/bxOoE+3Pf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xp5H/VAAAABQEAAA8AAAAAAAAAAQAg&#10;AAAAIgAAAGRycy9kb3ducmV2LnhtbFBLAQIUABQAAAAIAIdO4kBpIFVyEQIAADcEAAAOAAAAAAAA&#10;AAEAIAAAACQBAABkcnMvZTJvRG9jLnhtbFBLBQYAAAAABgAGAFkBAACnBQAAAAA=&#10;">
                        <v:fill on="t" focussize="0,0"/>
                        <v:stroke color="#000000" joinstyle="miter"/>
                        <v:imagedata o:title=""/>
                        <o:lock v:ext="edit" aspectratio="f"/>
                        <v:textbox>
                          <w:txbxContent>
                            <w:p>
                              <w:pPr>
                                <w:rPr>
                                  <w:sz w:val="18"/>
                                  <w:szCs w:val="18"/>
                                </w:rPr>
                              </w:pPr>
                              <w:r>
                                <w:rPr>
                                  <w:rFonts w:hint="eastAsia"/>
                                  <w:sz w:val="18"/>
                                  <w:szCs w:val="18"/>
                                </w:rPr>
                                <w:t>导热油炉+</w:t>
                              </w:r>
                              <w:r>
                                <w:rPr>
                                  <w:sz w:val="18"/>
                                  <w:szCs w:val="18"/>
                                </w:rPr>
                                <w:t>低氮燃烧器</w:t>
                              </w:r>
                            </w:p>
                            <w:p>
                              <w:pPr>
                                <w:jc w:val="center"/>
                              </w:pPr>
                            </w:p>
                            <w:p>
                              <w:pPr>
                                <w:jc w:val="center"/>
                              </w:pPr>
                            </w:p>
                            <w:p/>
                          </w:txbxContent>
                        </v:textbox>
                      </v:rect>
                      <v:rect id="矩形 165" o:spid="_x0000_s1026" o:spt="1" style="position:absolute;left:3966845;top:1537335;height:301625;width:1655445;"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CQaudqsgEAAFADAAAOAAAAZHJzL2Uyb0RvYy54bWytU0tu&#10;2zAQ3RfoHQjua0mWraaC5WyMdFO0AdIcgKZIiwB/4NCWfJoC3fUQPU7Ra3RIq0mbbLLIhpohn97M&#10;e0NuriejyUkEUM52tFqUlAjLXa/soaP3X2/eXVECkdmeaWdFR88C6PX27ZvN6FuxdIPTvQgESSy0&#10;o+/oEKNviwL4IAyDhfPC4qF0wbCIaTgUfWAjshtdLMuyKUYXeh8cFwC4u7sc0pkxvITQSam42Dl+&#10;NMLGC2sQmkWUBIPyQLe5WykFj1+kBBGJ7igqjXnFIhjv01psN6w9BOYHxecW2EtaeKLJMGWx6APV&#10;jkVGjkE9ozKKBwdOxgV3prgIyY6giqp84s3dwLzIWtBq8A+mw+vR8s+n20BU39FVRYllBif++9uP&#10;Xz+/k6pZJ3tGDy2i7vxtmDPAMGmdZDDpiyrI1NH6Q9NcrdaUnPFarev3dZ3/Z62YIuEIQML1KgE4&#10;IuqyapYZUDwy+QDxo3CGpKCjAceXXWWnTxCxOkL/QlJh626U1nmE2v63gcC0U6TmL+2mKE77adaw&#10;d/0ZhR99UIcBS1VJaoaj0bnQfCnSJP/NM+rxIW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kJ&#10;/qrXAAAABQEAAA8AAAAAAAAAAQAgAAAAIgAAAGRycy9kb3ducmV2LnhtbFBLAQIUABQAAAAIAIdO&#10;4kCQaudqsgEAAFADAAAOAAAAAAAAAAEAIAAAACYBAABkcnMvZTJvRG9jLnhtbFBLBQYAAAAABgAG&#10;AFkBAABKBQAAAAA=&#10;">
                        <v:fill on="f" focussize="0,0"/>
                        <v:stroke on="f"/>
                        <v:imagedata o:title=""/>
                        <o:lock v:ext="edit" aspectratio="f"/>
                        <v:textbox>
                          <w:txbxContent>
                            <w:p>
                              <w:r>
                                <w:rPr>
                                  <w:rFonts w:hint="eastAsia"/>
                                </w:rPr>
                                <w:t>噪声、粉尘、烟气、固废</w:t>
                              </w:r>
                            </w:p>
                            <w:p/>
                          </w:txbxContent>
                        </v:textbox>
                      </v:rect>
                      <v:rect id="矩形 166" o:spid="_x0000_s1026" o:spt="1" style="position:absolute;left:1399540;top:3083560;height:301625;width:704850;"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DEYrx1sAEAAE8DAAAOAAAAZHJzL2Uyb0RvYy54bWytU0uO&#10;1DAQ3SNxB8t7Okl/Qk/U6dm0hg2CkQYO4HbsjiX/VHZ30qdBYschOA7iGpSdMAPDZhZsnKpy6dV7&#10;r5zd7Wg0uQgIytmWVouSEmG565Q9tfTzp7s3W0pCZLZj2lnR0qsI9Hb/+tVu8I1Yut7pTgBBEBua&#10;wbe0j9E3RRF4LwwLC+eFxUvpwLCIKZyKDtiA6EYXy7Ksi8FB58FxEQJWD9MlnRHhJYBOSsXFwfGz&#10;ETZOqCA0iygp9MoHus9spRQ8fpQyiEh0S1FpzCcOwfiYzmK/Y80JmO8Vnymwl1B4pskwZXHoI9SB&#10;RUbOoP6BMoqDC07GBXemmIRkR1BFVT7z5qFnXmQtaHXwj6aH/wfLP1zugaiupeslJZYZ3PjPL99+&#10;fP9KqrpO9gw+NNj14O9hzgKGSesowaQvqiAjPqXVzc1mjcZeW7oqt6tNPdsrxkg4Nrwt19sN3vPc&#10;UNXLTcIvnoA8hPhOOENS0FLA7WVT2eV9iFPr75Y017o7pTXWWaPtXwXETJUicZ/YpiiOx3GWcHTd&#10;FXWfPahTj6OqzCQ1oc+Z0/wm0iL/zDPo03+w/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JCf6q&#10;1wAAAAUBAAAPAAAAAAAAAAEAIAAAACIAAABkcnMvZG93bnJldi54bWxQSwECFAAUAAAACACHTuJA&#10;xGK8dbABAABPAwAADgAAAAAAAAABACAAAAAmAQAAZHJzL2Uyb0RvYy54bWxQSwUGAAAAAAYABgBZ&#10;AQAASAUAAAAA&#10;">
                        <v:fill on="f" focussize="0,0"/>
                        <v:stroke on="f"/>
                        <v:imagedata o:title=""/>
                        <o:lock v:ext="edit" aspectratio="f"/>
                        <v:textbox>
                          <w:txbxContent>
                            <w:p>
                              <w:r>
                                <w:t>导热油</w:t>
                              </w:r>
                              <w:r>
                                <w:rPr>
                                  <w:rFonts w:hint="eastAsia"/>
                                </w:rPr>
                                <w:t xml:space="preserve"> </w:t>
                              </w:r>
                            </w:p>
                          </w:txbxContent>
                        </v:textbox>
                      </v:rect>
                      <v:rect id="矩形 167" o:spid="_x0000_s1026" o:spt="1" style="position:absolute;left:1140460;top:4488815;height:848995;width:807720;"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DUbt2LsQEAAE8DAAAOAAAAZHJzL2Uyb0RvYy54bWytU0tu&#10;2zAQ3RfoHQjua0qOaiuC5WyMZBO0AdIcgKZIiwB/IGlLPk2B7nqIHqfoNTqklE/TTRbZUDOchzfz&#10;3lCbq1ErdOI+SGtaXC4KjLhhtpPm0OKHb9efaoxCpKajyhre4jMP+Gr78cNmcA1f2t6qjnsEJCY0&#10;g2txH6NrCAms55qGhXXcQFFYr2mE1B9I5+kA7FqRZVGsyGB957xlPAS43U1FPDP6txBaISTjO8uO&#10;mps4sXquaARJoZcu4G2eVgjO4lchAo9ItRiUxnxCE4j36STbDW0OnrpesnkE+pYRXmnSVBpo+kS1&#10;o5Gio5f/UWnJvA1WxAWzmkxCsiOgoixeeXPfU8ezFrA6uCfTw/vRsi+nO49k1+LqAiNDNWz8z/ef&#10;v3/9QOVqnewZXGgAde/u/JwFCJPWUXidvqACjfCUyqqoVmDsGciquq7Lz5O9fIyIAaAu1usl1BkA&#10;6qq+vMx18kzkfIg33GqUghZ72F42lZ5uQ4TmAH2EpL7GXkul8gaV+ecCgOmGpNmnaVMUx/04S9jb&#10;7gy6j87LQw+tyjRphoPPudH8JtIiX+YZ9fwfb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Qn+&#10;qtcAAAAFAQAADwAAAAAAAAABACAAAAAiAAAAZHJzL2Rvd25yZXYueG1sUEsBAhQAFAAAAAgAh07i&#10;QNRu3YuxAQAATwMAAA4AAAAAAAAAAQAgAAAAJgEAAGRycy9lMm9Eb2MueG1sUEsFBgAAAAAGAAYA&#10;WQEAAEkFAAAAAA==&#10;">
                        <v:fill on="f" focussize="0,0"/>
                        <v:stroke on="f"/>
                        <v:imagedata o:title=""/>
                        <o:lock v:ext="edit" aspectratio="f"/>
                        <v:textbox>
                          <w:txbxContent>
                            <w:p>
                              <w:pPr>
                                <w:rPr>
                                  <w:szCs w:val="21"/>
                                </w:rPr>
                              </w:pPr>
                              <w:r>
                                <w:t>沥青烟</w:t>
                              </w:r>
                              <w:r>
                                <w:rPr>
                                  <w:rFonts w:hint="eastAsia"/>
                                  <w:szCs w:val="21"/>
                                </w:rPr>
                                <w:t>、</w:t>
                              </w:r>
                              <w:r>
                                <w:rPr>
                                  <w:rFonts w:hint="eastAsia" w:eastAsiaTheme="minorEastAsia"/>
                                  <w:szCs w:val="21"/>
                                </w:rPr>
                                <w:t>苯并[a]芘、非甲烷总烃、</w:t>
                              </w:r>
                              <w:r>
                                <w:t>噪声</w:t>
                              </w:r>
                            </w:p>
                          </w:txbxContent>
                        </v:textbox>
                      </v:rect>
                      <v:shape id="自选图形 168" o:spid="_x0000_s1026" o:spt="32" type="#_x0000_t32" style="position:absolute;left:1882140;top:4761865;height:635;width:300990;" filled="f" stroked="t" coordsize="21600,21600" o:gfxdata="UEsDBAoAAAAAAIdO4kAAAAAAAAAAAAAAAAAEAAAAZHJzL1BLAwQUAAAACACHTuJAVKLRyNQAAAAF&#10;AQAADwAAAGRycy9kb3ducmV2LnhtbE2OTU/DMAyG70j8h8hIXCaWrIyuK013QAJxQ9uYds0a01Yk&#10;TtVkH/x7DBe4WLbeV4+fanXxTpxwjH0gDbOpAoHUBNtTq+F9+3xXgIjJkDUuEGr4wgir+vqqMqUN&#10;Z1rjaZNawRCKpdHQpTSUUsamQ2/iNAxInH2E0ZvE59hKO5ozw72TmVK59KYn/tCZAZ86bD43R69B&#10;7fevWWbvU3ppiu1yMnGLt3yn9e3NTD2CSHhJf2X40Wd1qNnpEI5ko3DM4N7v5KwoHuYgDrzMlznI&#10;upL/7etvUEsDBBQAAAAIAIdO4kDwl5PBDwIAAPYDAAAOAAAAZHJzL2Uyb0RvYy54bWytU0uOEzEQ&#10;3SNxB8t70t2ZJCStdGaRMGwQjAQcwLHd3Zb8k8uTz44d4gzsWHIH5jYjwS0ou8MEBhazoBfusl31&#10;/N5zeXl5MJrsZADlbEOrUUmJtNwJZbuGvn939WxOCURmBdPOyoYeJdDL1dMny72v5dj1TgsZCIJY&#10;qPe+oX2Mvi4K4L00DEbOS4ubrQuGRZyGrhCB7RHd6GJclrNi74LwwXEJgKubYZOeEMNjAF3bKi43&#10;jt8YaeOAGqRmESVBrzzQVWbbtpLHN20LMhLdUFQa84iHYLxNY7FasroLzPeKnyiwx1B4oMkwZfHQ&#10;e6gNi4zcBPUXlFE8OHBtHHFnikFIdgRVVOUDb972zMusBa0Gf286/D9Y/np3HYgSDZ1MKLHM4I1/&#10;//j1x4dPd59v7759IdVsnkzae6gxd22vw2kG/jokxYc2mPRHLeSADTWfj6sJ2ntEyOezaj6bDibL&#10;QyQcEy7KcrHAfY4Js4u8WZxRfID4UjpDUtBQiIGpro9rZy3epQtVdpntXkFEHlj4qyBR0JbsG7qY&#10;jqcIz7A3W+wJDI1HfWC7XAtOK3GltE4VELrtWgeyY6k/8pfYIu4faemQDYN+yBMYDZp6ycQLK0g8&#10;evQtBsVspyVNLIwUlGiJTyxFiMnqyJQ+Z1t8Xf/OxNO1RRLJ88HlFG2dOGbz8zq2Q6Z5at3Ub7/P&#10;c/X5u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i0cjUAAAABQEAAA8AAAAAAAAAAQAgAAAA&#10;IgAAAGRycy9kb3ducmV2LnhtbFBLAQIUABQAAAAIAIdO4kDwl5PBDwIAAPYDAAAOAAAAAAAAAAEA&#10;IAAAACMBAABkcnMvZTJvRG9jLnhtbFBLBQYAAAAABgAGAFkBAACkBQAAAAA=&#10;">
                        <v:fill on="f" focussize="0,0"/>
                        <v:stroke color="#000000" joinstyle="round" dashstyle="dash" startarrow="block"/>
                        <v:imagedata o:title=""/>
                        <o:lock v:ext="edit" aspectratio="f"/>
                      </v:shape>
                      <v:shape id="自选图形 169" o:spid="_x0000_s1026" o:spt="32" type="#_x0000_t32" style="position:absolute;left:1536065;top:2174875;height:635;width:635000;"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DKK3QxDAIAAPcDAAAOAAAAZHJzL2Uyb0RvYy54bWytU81u&#10;EzEQviPxDpbvZDdpk7arbHpIKBcEkYAHmHi9u5b8J4+bnxs3xDNw48g7wNtUgrdg7A0NFCH1wB68&#10;Y8/MN/N9Hs+v90azrQyonK35eFRyJq1wjbJdzd+9vXl2yRlGsA1oZ2XNDxL59eLpk/nOV3Lieqcb&#10;GRiBWKx2vuZ9jL4qChS9NIAj56UlZ+uCgUjb0BVNgB2hG11MynJW7FxofHBCItLpanDyI2J4DKBr&#10;WyXkyolbI20cUIPUEIkS9sojX+Ru21aK+LptUUama05MY16pCNmbtBaLOVRdAN8rcWwBHtPCA04G&#10;lKWi91AriMBug/oLyigRHLo2joQzxUAkK0IsxuUDbd704GXmQlKjvxcd/x+seLVdB6aamp9PObNg&#10;6Ma/f/jy4/3Hu0/f7r5+ZuPZVRJp57Gi2KVdh+MO/Tokxvs2mPQnLmxPAzU9m5UzwjrUfDK+OL+8&#10;mA4iy31kggJmZ9OyJPkFBZCdnMUJxQeML6QzLBk1xxhAdX1cOmvpLl0YZ5Vh+xLjkPgrIbWgLdvV&#10;/Go6ofICaDZbmgkyjSd+aLuci06r5kZpnTIwdJulDmwLaT7yd2zoj7BUZAXYD3HZNZDqJTTPbcPi&#10;wZNwlh4MTy0Y2XCmJb2vZFGjUEVQ+hQZgwLb6X9Ekx7akixJ9EHmZG1cc8jq53OahyzccXbTwP2+&#10;z9mn9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4VGc/XAAAABQEAAA8AAAAAAAAAAQAgAAAA&#10;IgAAAGRycy9kb3ducmV2LnhtbFBLAQIUABQAAAAIAIdO4kDKK3QxDAIAAPcDAAAOAAAAAAAAAAEA&#10;IAAAACYBAABkcnMvZTJvRG9jLnhtbFBLBQYAAAAABgAGAFkBAACkBQAAAAA=&#10;">
                        <v:fill on="f" focussize="0,0"/>
                        <v:stroke color="#000000" joinstyle="round" endarrow="block"/>
                        <v:imagedata o:title=""/>
                        <o:lock v:ext="edit" aspectratio="f"/>
                      </v:shape>
                      <v:rect id="矩形 170" o:spid="_x0000_s1026" o:spt="1" style="position:absolute;left:180340;top:2029460;height:302260;width:1344295;"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YISFIhACAAA3BAAADgAAAGRycy9lMm9Eb2MueG1srVNLbtsw&#10;EN0X6B0I7mvJsuPGguUs4rqbog2Q9AA0RUkE+AOHtuTTFOiuh+hxil6jQ8qNk7QLL8IFNSMO38x7&#10;M1zdDFqRg/AgranodJJTIgy3tTRtRb8+bN9dUwKBmZopa0RFjwLozfrtm1XvSlHYzqpaeIIgBsre&#10;VbQLwZVZBrwTmsHEOmHwsLFes4Cub7Pasx7RtcqKPF9kvfW185YLAPy7GQ/pCdFfAmibRnKxsXyv&#10;hQkjqheKBaQEnXRA16naphE8fGkaEIGoiiLTkHZMgvYu7tl6xcrWM9dJfiqBXVLCC06aSYNJH6E2&#10;LDCy9/IfKC25t2CbMOFWZyORpAiymOYvtLnvmBOJC0oN7lF0eD1Y/vlw54msKzpfUGKYxo7//vbj&#10;18/vZPo+ydM7KDHq3t15FCt6gGbkOjRexy+yIAOO0nU+m6Oux4oWebGcL07qiiEQHs9n83mxvKKE&#10;Y8QsL4oxIDsDOQ/ho7CaRKOiHruXRGWHTxAwOYb+DYl5wSpZb6VSyfHt7lZ5cmDY6W1asbl45VmY&#10;MqSv6PKqiHUwHN8GxwZN7VACMG3K9+wGPAXO0/ofcCxsw6AbC0gI43BpGURUjpWdYPUHU5NwdKiy&#10;wddFYzFa1JQogY8xWikyMKkuiUR2yiDJc1eiFYbdgDDR3Nn6iP3dOy/bDiWdptLjCc5TUuc0+3Fg&#10;n/oJ9Pze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Gnkf9UAAAAFAQAADwAAAAAAAAABACAA&#10;AAAiAAAAZHJzL2Rvd25yZXYueG1sUEsBAhQAFAAAAAgAh07iQGCEhSIQAgAANwQAAA4AAAAAAAAA&#10;AQAgAAAAJAEAAGRycy9lMm9Eb2MueG1sUEsFBgAAAAAGAAYAWQEAAKYFAAAAAA==&#10;">
                        <v:fill on="t" focussize="0,0"/>
                        <v:stroke color="#000000" joinstyle="miter"/>
                        <v:imagedata o:title=""/>
                        <o:lock v:ext="edit" aspectratio="f"/>
                        <v:textbox>
                          <w:txbxContent>
                            <w:p>
                              <w:pPr>
                                <w:ind w:firstLine="105" w:firstLineChars="50"/>
                              </w:pPr>
                              <w:r>
                                <w:rPr>
                                  <w:rFonts w:hint="eastAsia" w:hAnsiTheme="minorEastAsia" w:eastAsiaTheme="minorEastAsia"/>
                                  <w:bCs/>
                                  <w:szCs w:val="21"/>
                                </w:rPr>
                                <w:t>燃烧器</w:t>
                              </w:r>
                            </w:p>
                          </w:txbxContent>
                        </v:textbox>
                      </v:rect>
                      <v:rect id="矩形 171" o:spid="_x0000_s1026" o:spt="1" style="position:absolute;left:1607185;top:1949450;height:302260;width:568960;"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Ch/KTNrwEAAE8DAAAOAAAAZHJzL2Uyb0RvYy54bWytU0tu&#10;2zAQ3RfoHQjua0muv4LlbIx0U7QB0h6ApkiLAH/g0JZ8mgLd9RA9TtFrdEipSZtsssiGmhk+vJn3&#10;htrdDEaTiwignG1oNSspEZa7VtlTQ79+uX23oQQisy3TzoqGXgXQm/3bN7ve12LuOqdbEQiSWKh7&#10;39AuRl8XBfBOGAYz54XFS+mCYRHTcCrawHpkN7qYl+Wq6F1ofXBcAGD1MF7SiTG8hNBJqbg4OH42&#10;wsaRNQjNIkqCTnmg+zytlILHz1KCiEQ3FJXGfGITjI/pLPY7Vp8C853i0wjsJSM80WSYstj0gerA&#10;IiPnoJ5RGcWDAyfjjDtTjEKyI6iiKp94c98xL7IWtBr8g+nwerT80+UuENU2dLGmxDKDG//97cev&#10;n99Jta6SPb2HGlH3/i5MGWCYtA4ymPRFFWTAp7Qq19VmSckV4+1iu1hO9oohEo6A5WqzXaHxHAHv&#10;y/kcY2QsHol8gPhBOENS0NCA28umsstHiCP0LyT1te5WaY11Vmv7XwE5U6VIs4/TpigOx2GScHTt&#10;FXWffVCnDltlpRmOPueZpjeRFvlvnkkf/4P9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kJ/qrX&#10;AAAABQEAAA8AAAAAAAAAAQAgAAAAIgAAAGRycy9kb3ducmV2LnhtbFBLAQIUABQAAAAIAIdO4kCh&#10;/KTNrwEAAE8DAAAOAAAAAAAAAAEAIAAAACYBAABkcnMvZTJvRG9jLnhtbFBLBQYAAAAABgAGAFkB&#10;AABHBQAAAAA=&#10;">
                        <v:fill on="f" focussize="0,0"/>
                        <v:stroke on="f"/>
                        <v:imagedata o:title=""/>
                        <o:lock v:ext="edit" aspectratio="f"/>
                        <v:textbox>
                          <w:txbxContent>
                            <w:p>
                              <w:r>
                                <w:rPr>
                                  <w:rFonts w:hint="eastAsia"/>
                                </w:rPr>
                                <w:t>明火</w:t>
                              </w:r>
                            </w:p>
                          </w:txbxContent>
                        </v:textbox>
                      </v:rect>
                      <v:rect id="矩形 172" o:spid="_x0000_s1026" o:spt="1" style="position:absolute;left:2199640;top:2815590;height:1105535;width:1268095;" filled="f" stroked="t" coordsize="21600,21600" o:gfxdata="UEsDBAoAAAAAAIdO4kAAAAAAAAAAAAAAAAAEAAAAZHJzL1BLAwQUAAAACACHTuJAVZEfA9MAAAAF&#10;AQAADwAAAGRycy9kb3ducmV2LnhtbE2PT0vEMBDF74LfIYzgRdxkpZbabboHccGT4K7gNZvMtsVk&#10;Upp0/3x7Ry96GWZ4w3u/16zPwYsjTmmIpGG5UCCQbHQDdRo+dpv7CkTKhpzxkVDDBROs2+urxtQu&#10;nugdj9vcCTahVBsNfc5jLWWyPQaTFnFEYu0Qp2Ayn1Mn3WRObB68fFCqlMEMxAm9GfG5R/u1nQOH&#10;2JdZ+Vf/tqHLZ5nLwk53VGl9e7NUKxAZz/nvGX7wGR1aZtrHmVwSXgMXyb+Ttap6LEDseSmeSpBt&#10;I//Tt99QSwMEFAAAAAgAh07iQDS1JaAGAgAABAQAAA4AAABkcnMvZTJvRG9jLnhtbK1TS27bMBDd&#10;F+gdCO5rfRq5tmA5i7rppmgDJD3AmKQkAvyBpC37NAW66yF6nKLX6FBSkzbZeBEtqCH5+Gbe43Bz&#10;fdKKHIUP0pqGFoucEmGY5dJ0Df16f/NmRUmIYDgoa0RDzyLQ6+3rV5vB1aK0vVVceIIkJtSDa2gf&#10;o6uzLLBeaAgL64TBzdZ6DRGnvsu4hwHZtcrKPF9mg/XcectECLi6mzbpzOgvIbRtK5nYWXbQwsSJ&#10;1QsFESWFXrpAt2O1bStY/NK2QUSiGopK4zhiEoz3acy2G6g7D66XbC4BLinhiSYN0mDSB6odRCAH&#10;L59Racm8DbaNC2Z1NgkZHUEVRf7Em7senBi1oNXBPZgeXo6WfT7eeiJ5Q6/w3g1ovPHf3378+vmd&#10;FO/KZM/gQo2oO3fr51nAMGk9tV6nP6ogp4aWxXq9vEJjzxiviqpaz/aKUyQMAUW5XOXrihKGiKLI&#10;q+ptlTJkj1TOh/hRWE1S0FCP9zfaCsdPIU7Qv5CU2dgbqRSuQ60MGRq6rsrED9iXLfYDhtqhtmC6&#10;kSZYJXk6kk4E3+3fK0+OkHpj/OZq/oOlfDsI/YTjGCUU1FpGkRyBuhfAPxhO4tmhewZfDU21aMEp&#10;UQIfWYpGZASpLkGiI8qgMcn7ye0U7S0/42UdnJddj+4UY7lpB5tjtHFu5NR9/85HpsfHu/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ZEfA9MAAAAFAQAADwAAAAAAAAABACAAAAAiAAAAZHJzL2Rv&#10;d25yZXYueG1sUEsBAhQAFAAAAAgAh07iQDS1JaAGAgAABAQAAA4AAAAAAAAAAQAgAAAAIgEAAGRy&#10;cy9lMm9Eb2MueG1sUEsFBgAAAAAGAAYAWQEAAJoFAAAAAA==&#10;">
                        <v:fill on="f" focussize="0,0"/>
                        <v:stroke color="#000000" joinstyle="miter" dashstyle="dash"/>
                        <v:imagedata o:title=""/>
                        <o:lock v:ext="edit" aspectratio="f"/>
                      </v:rect>
                      <v:rect id="矩形 173" o:spid="_x0000_s1026" o:spt="1" style="position:absolute;left:2425700;top:4607560;height:302260;width:848360;" fillcolor="#FFFFFF" filled="t" stroked="t" coordsize="21600,21600" o:gfxdata="UEsDBAoAAAAAAIdO4kAAAAAAAAAAAAAAAAAEAAAAZHJzL1BLAwQUAAAACACHTuJADGnkf9UAAAAF&#10;AQAADwAAAGRycy9kb3ducmV2LnhtbE2PMU/DMBCFdyT+g3VIbNRuKVUa4nQAFYmxTRc2Jz6SQHyO&#10;YqcN/PpeWcpyeqd3eu+7bDO5ThxxCK0nDfOZAoFUedtSreFQbB8SECEasqbzhBp+MMAmv73JTGr9&#10;iXZ43MdacAiF1GhoYuxTKUPVoDNh5nsk9j794EzkdailHcyJw10nF0qtpDMtcUNjenxpsPrej05D&#10;2S4O5ndXvCm33j7G96n4Gj9etb6/m6tnEBGneD2GCz6jQ85MpR/JBtFp4Efi32QvSZ6WIEoWy/UK&#10;ZJ7J//T5GVBLAwQUAAAACACHTuJAkGnGvw8CAAA3BAAADgAAAGRycy9lMm9Eb2MueG1srVPLrtMw&#10;EN0j8Q+W9zRp+rxR07uglA2CK134gKnjJJb8ku026dcgseMj+BzEbzB2yn3BoguySMbx+Mw5Z8ab&#10;20FJcuLOC6MrOp3klHDNTC10W9Evn/dv1pT4ALoGaTSv6Jl7ert9/WrT25IXpjOy5o4giPZlbyva&#10;hWDLLPOs4wr8xFiucbMxTkHApWuz2kGP6EpmRZ4vs9642jrDuPf4dzdu0guiuwbQNI1gfGfYUXEd&#10;RlTHJQSU5DthPd0mtk3DWfjUNJ4HIiuKSkN6YxGMD/GdbTdQtg5sJ9iFAlxD4YUmBUJj0QeoHQQg&#10;Ryf+glKCOeNNEybMqGwUkhxBFdP8hTf3HVietKDV3j6Y7v8fLPt4unNE1BWd31CiQWHHf339/vPH&#10;NzJdzaI9vfUlZt3bO3dZeQyj1qFxKn5RBRkqWsyLxSpHY88ItsxXi+XFXj4EwjBhPV/P8B9hmDDL&#10;i2Lczx6BrPPhPTeKxKCiDruXTIXTBx+wOKb+SYl1vZGi3gsp08K1h7fSkRNgp/fpiezxyLM0qUlf&#10;0ZtFsUAegOPb4NhgqCxa4HWb6j074Z8C5+n5F3AktgPfjQQSQkyDUonAo3NQdhzqd7om4WzRZY23&#10;i0YyiteUSI6XMUYpM4CQ12SiOqlRZOzR2JUYheEwIEwMD6Y+Y3+P1om2Q0uniXrcwXlK7lxmPw7s&#10;03UCfbzv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aeR/1QAAAAUBAAAPAAAAAAAAAAEAIAAA&#10;ACIAAABkcnMvZG93bnJldi54bWxQSwECFAAUAAAACACHTuJAkGnGvw8CAAA3BAAADgAAAAAAAAAB&#10;ACAAAAAkAQAAZHJzL2Uyb0RvYy54bWxQSwUGAAAAAAYABgBZAQAApQUAAAAA&#10;">
                        <v:fill on="t" focussize="0,0"/>
                        <v:stroke color="#000000" joinstyle="miter"/>
                        <v:imagedata o:title=""/>
                        <o:lock v:ext="edit" aspectratio="f"/>
                        <v:textbox>
                          <w:txbxContent>
                            <w:p>
                              <w:pPr>
                                <w:jc w:val="center"/>
                              </w:pPr>
                              <w:r>
                                <w:rPr>
                                  <w:rFonts w:hint="eastAsia"/>
                                </w:rPr>
                                <w:t>成品外运</w:t>
                              </w:r>
                            </w:p>
                          </w:txbxContent>
                        </v:textbox>
                      </v:rect>
                      <v:shape id="自选图形 174" o:spid="_x0000_s1026" o:spt="32" type="#_x0000_t32" style="position:absolute;left:1819910;top:4210685;height:635;width:585470;" filled="f" stroked="t" coordsize="21600,21600" o:gfxdata="UEsDBAoAAAAAAIdO4kAAAAAAAAAAAAAAAAAEAAAAZHJzL1BLAwQUAAAACACHTuJAvhUZz9cAAAAF&#10;AQAADwAAAGRycy9kb3ducmV2LnhtbE2PT0vDQBDF74LfYRnBm91UakhjNgUtYi4WbEU8brNjdjE7&#10;G7Lbf376jl70MrzhDe/9plocfS/2OEYXSMF0koFAaoNx1Cl42zzdFCBi0mR0HwgVnDDCor68qHRp&#10;woFecb9OneAQiqVWYFMaSilja9HrOAkDEnufYfQ68Tp20oz6wOG+l7dZlkuvHXGD1QM+Wmy/1juv&#10;IC0/TjZ/bx/mbrV5fsndd9M0S6Wur6bZPYiEx/R3DD/4jA41M23DjkwUvQJ+JP1O9oribgZiy2I2&#10;z0HWlfxPX58BUEsDBBQAAAAIAIdO4kDGHzWXDwIAAPcDAAAOAAAAZHJzL2Uyb0RvYy54bWytU82O&#10;0zAQviPxDpbvNE1pum3UdA8tywVBJdgHcB0nseQ/ebxNe+OGeAZuHHkH9m1WgrfYsVO2sAhpD+Tg&#10;jDMzn7/vy3h5edCK7IUHaU1F89GYEmG4raVpK3r94erFnBIIzNRMWSMqehRAL1fPny17V4qJ7ayq&#10;hScIYqDsXUW7EFyZZcA7oRmMrBMGk431mgXc+jarPesRXatsMh7Pst762nnLBQB+3QxJekL0TwG0&#10;TSO52Fh+o4UJA6oXigWUBJ10QFeJbdMIHt41DYhAVEVRaUgrHoLxLq7ZasnK1jPXSX6iwJ5C4ZEm&#10;zaTBQx+gNiwwcuPlX1Bacm/BNmHErc4GIckRVJGPH3nzvmNOJC1oNbgH0+H/wfK3+60nsq5ogZYY&#10;pvGP//j07efHz3dfbu++fyX5xTSa1DsosXZttv60A7f1UfGh8Tq+UQs54EDN88UiR6xjRaeTfDyb&#10;F4PJ4hAIx4JiXkwvMM+xYPYyJbMzivMQXgurSQwqCsEz2XZhbY3Bf2l9nlxm+zcQkAc2/mqIFJQh&#10;fUUXxaRAeIaz2eBMYKgd6gPTpl6wStZXUqnYAb7drZUnexbnIz2RLeL+URYP2TDohrqUGkR1gtWv&#10;TE3C0aFxBi8MjRS0qClRAu9XjBCQlYFJda4MXjLTqn9U4/HKIIto+mBzjHa2Pib303ech8TzNLtx&#10;4H7fp+7zfV3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4VGc/XAAAABQEAAA8AAAAAAAAAAQAg&#10;AAAAIgAAAGRycy9kb3ducmV2LnhtbFBLAQIUABQAAAAIAIdO4kDGHzWXDwIAAPcDAAAOAAAAAAAA&#10;AAEAIAAAACYBAABkcnMvZTJvRG9jLnhtbFBLBQYAAAAABgAGAFkBAACnBQAAAAA=&#10;">
                        <v:fill on="f" focussize="0,0"/>
                        <v:stroke color="#000000" joinstyle="round" endarrow="block"/>
                        <v:imagedata o:title=""/>
                        <o:lock v:ext="edit" aspectratio="f"/>
                      </v:shape>
                      <v:shape id="自选图形 175" o:spid="_x0000_s1026" o:spt="32" type="#_x0000_t32" style="position:absolute;left:3261995;top:4210050;height:635;width:585470;" filled="f" stroked="t" coordsize="21600,21600" o:gfxdata="UEsDBAoAAAAAAIdO4kAAAAAAAAAAAAAAAAAEAAAAZHJzL1BLAwQUAAAACACHTuJAVIWAX9MAAAAF&#10;AQAADwAAAGRycy9kb3ducmV2LnhtbE2PzU7DQAyE70i8w8pI3OgmqEQhZFMBUrnTIsTRyZokatYb&#10;Zbc/6dPXcIGLNdZYM5/L1ckN6kBT6D0bSBcJKOLG255bAx/b9V0OKkRki4NnMjBTgFV1fVViYf2R&#10;3+mwia2SEA4FGuhiHAutQ9ORw7DwI7F4335yGGWdWm0nPEq4G/R9kmTaYc/S0OFIrx01u83eGVhn&#10;YUy3u+Tlk9zbuQ5fs8Xn2ZjbmzR5AhXpFP+O4Qdf0KESptrv2QY1GJBH4u8UL88flqBqEcvHDHRV&#10;6v/01QVQSwMEFAAAAAgAh07iQEv0l78QAgAA9wMAAA4AAABkcnMvZTJvRG9jLnhtbK1TzY7TMBC+&#10;I/EOlu80SXfT3UZN99CyXBBUgn2AqeMklvwn29u0N26IZ+DGkXeAt1kJ3oKx093CwmEP5OCM45lv&#10;vu/LeHG1V5LsuPPC6JoWk5wSrplphO5qevP++sUlJT6AbkAazWt64J5eLZ8/Wwy24lPTG9lwRxBE&#10;+2qwNe1DsFWWedZzBX5iLNd42BqnIODWdVnjYEB0JbNpns+ywbjGOsO49/h1PR7SI6J7CqBpW8H4&#10;2rBbxXUYUR2XEFCS74X1dJnYti1n4W3beh6IrCkqDWnFJhhv45otF1B1Dmwv2JECPIXCI00KhMam&#10;D1BrCEBunfgLSgnmjDdtmDCjslFIcgRVFPkjb971YHnSglZ7+2C6/3+w7M1u44hoaloWlGhQ+Md/&#10;fPz688Onu8/f7759IcVFGU0arK8wd6U37rjzduOi4n3rVHyjFrKv6dl0VsznJSWHmp5Pizwvjybz&#10;fSAME8rL8vwC7WeYMDtL4NkJxTofXnGjSAxq6oMD0fVhZbTGf2lckVyG3WsfkAcW3hdEClKToabz&#10;cortGeBstjgTGCqL+rzuUq03UjTXQspY4V23XUlHdhDnIz1RLeL+kRabrMH3Y146Gien59C81A0J&#10;B4vGBSdAd5LTSEPxhhLJ8Y7FCEGhCiDkKVvj9fp3JraXGllE00ebY7Q1zSG5n77jPCSex9mNA/f7&#10;PlWf7uv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FgF/TAAAABQEAAA8AAAAAAAAAAQAgAAAA&#10;IgAAAGRycy9kb3ducmV2LnhtbFBLAQIUABQAAAAIAIdO4kBL9Je/EAIAAPcDAAAOAAAAAAAAAAEA&#10;IAAAACIBAABkcnMvZTJvRG9jLnhtbFBLBQYAAAAABgAGAFkBAACkBQAAAAA=&#10;">
                        <v:fill on="f" focussize="0,0"/>
                        <v:stroke color="#000000" joinstyle="round" startarrow="block"/>
                        <v:imagedata o:title=""/>
                        <o:lock v:ext="edit" aspectratio="f"/>
                      </v:shape>
                      <v:shape id="自选图形 176" o:spid="_x0000_s1026" o:spt="32" type="#_x0000_t32" style="position:absolute;left:526415;top:2815590;height:635;width:324485;" filled="f" stroked="t" coordsize="21600,21600" o:gfxdata="UEsDBAoAAAAAAIdO4kAAAAAAAAAAAAAAAAAEAAAAZHJzL1BLAwQUAAAACACHTuJAVKLRyNQAAAAF&#10;AQAADwAAAGRycy9kb3ducmV2LnhtbE2OTU/DMAyG70j8h8hIXCaWrIyuK013QAJxQ9uYds0a01Yk&#10;TtVkH/x7DBe4WLbeV4+fanXxTpxwjH0gDbOpAoHUBNtTq+F9+3xXgIjJkDUuEGr4wgir+vqqMqUN&#10;Z1rjaZNawRCKpdHQpTSUUsamQ2/iNAxInH2E0ZvE59hKO5ozw72TmVK59KYn/tCZAZ86bD43R69B&#10;7fevWWbvU3ppiu1yMnGLt3yn9e3NTD2CSHhJf2X40Wd1qNnpEI5ko3DM4N7v5KwoHuYgDrzMlznI&#10;upL/7etvUEsDBBQAAAAIAIdO4kBAZtmFCgIAAPUDAAAOAAAAZHJzL2Uyb0RvYy54bWytU02O0zAU&#10;3iNxB8t7mibTlE7UdBYtwwZBJeAAruMklvwnP0/T7tghzsCOJXdgbjMS3IJnN0xhYDELsnCe7e99&#10;ft/n5+XVQSuyFx6kNTXNJ1NKhOG2kaar6ft3188WlEBgpmHKGlHTowB6tXr6ZDm4ShS2t6oRniCJ&#10;gWpwNe1DcFWWAe+FZjCxThjcbK3XLODUd1nj2YDsWmXFdDrPBusb5y0XALi6OW3SkdE/htC2reRi&#10;Y/mNFiacWL1QLKAk6KUDukrVtq3g4U3bgghE1RSVhjTiIRjv4pitlqzqPHO95GMJ7DElPNCkmTR4&#10;6D3VhgVGbrz8i0pL7i3YNky41dlJSHIEVeTTB9687ZkTSQtaDe7edPh/tPz1fuuJbGpaFpQYpvHG&#10;v3/8+uPDp7vPt3ffvpD8+TyaNDioELs2Wz/OwG19VHxovY5/1EIOkWY+y0tKjjUtFnlZXo4ei0Mg&#10;HPcvitlsgfscAfOLMnJnZxLnIbwUVpMY1BSCZ7Lrw9oag1dpfZ5MZvtXEE6JvxJiBcqQoaaXZRHp&#10;GbZmiy2BoXYoD0yXcsEq2VxLpWIG+G63Vp7sWWyP9I0F/QGLh2wY9Cdcg1FEsaoXrHlhGhKODm0L&#10;XjLTKUFjFVo0lCiBLyxGCR2YVGe0wcf1byTaoQy6Ei0/mRyjnW2Oyfu0jt2QfBs7N7bb7/OUfX6t&#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otHI1AAAAAUBAAAPAAAAAAAAAAEAIAAAACIAAABk&#10;cnMvZG93bnJldi54bWxQSwECFAAUAAAACACHTuJAQGbZhQoCAAD1AwAADgAAAAAAAAABACAAAAAj&#10;AQAAZHJzL2Uyb0RvYy54bWxQSwUGAAAAAAYABgBZAQAAnwUAAAAA&#10;">
                        <v:fill on="f" focussize="0,0"/>
                        <v:stroke color="#000000" joinstyle="round" dashstyle="dash" startarrow="block"/>
                        <v:imagedata o:title=""/>
                        <o:lock v:ext="edit" aspectratio="f"/>
                      </v:shape>
                      <v:rect id="矩形 177" o:spid="_x0000_s1026" o:spt="1" style="position:absolute;left:179705;top:2680335;height:301625;width:508635;"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DH5ly3sQEAAE4DAAAOAAAAZHJzL2Uyb0RvYy54bWytU0tu&#10;2zAQ3RfoHQjua0o2/KlgORsj2QRNgLQHoCnKIsAfOLQln6ZAdj1Ej1P0Gh1SatImmyyyoYYzD2/m&#10;vaG2V4PR5CwDKGdrWs4KSqQVrlH2WNNvX68/bSiByG3DtbOyphcJ9Gr38cO295Wcu87pRgaCJBaq&#10;3te0i9FXjIHopOEwc15aLLYuGB7xGo6sCbxHdqPZvChWrHeh8cEJCYDZ/VikE2N4C6FrWyXk3omT&#10;kTaOrEFqHlESdMoD3eVp21aKeNe2ICPRNUWlMZ/YBONDOtluy6tj4L5TYhqBv2WEF5oMVxabPlHt&#10;eeTkFNQrKqNEcODaOBPOsFFIdgRVlMULbx467mXWglaDfzId3o9WfDnfB6Kami4XlFhucOO/v//4&#10;9fORlOt1sqf3UCHqwd+H6QYYJq1DG0z6ogoy4FNaf14XS0ouNZ2vNsVisRzdlUMkAuvLYrPCHBEI&#10;WBTlap7r7JnHB4g30hmSgpoGXF72lJ9vIWJvhP6FpLbWXSut8wK1/S+BwJRhafRx2BTF4TBMCg6u&#10;uaDskw/q2GGrMk2a4WhzbjQ9ibTHf+8Z9fwb7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Qn+&#10;qtcAAAAFAQAADwAAAAAAAAABACAAAAAiAAAAZHJzL2Rvd25yZXYueG1sUEsBAhQAFAAAAAgAh07i&#10;QMfmXLexAQAATgMAAA4AAAAAAAAAAQAgAAAAJgEAAGRycy9lMm9Eb2MueG1sUEsFBgAAAAAGAAYA&#10;WQEAAEkFAAAAAA==&#10;">
                        <v:fill on="f" focussize="0,0"/>
                        <v:stroke on="f"/>
                        <v:imagedata o:title=""/>
                        <o:lock v:ext="edit" aspectratio="f"/>
                        <v:textbox>
                          <w:txbxContent>
                            <w:p>
                              <w:r>
                                <w:rPr>
                                  <w:rFonts w:hint="eastAsia"/>
                                </w:rPr>
                                <w:t>烟气</w:t>
                              </w:r>
                            </w:p>
                            <w:p/>
                          </w:txbxContent>
                        </v:textbox>
                      </v:rect>
                      <v:shape id="自选图形 180" o:spid="_x0000_s1026" o:spt="32" type="#_x0000_t32" style="position:absolute;left:4817110;top:2924175;height:635;width:200025;" filled="f" stroked="t" coordsize="21600,21600" o:gfxdata="UEsDBAoAAAAAAIdO4kAAAAAAAAAAAAAAAAAEAAAAZHJzL1BLAwQUAAAACACHTuJA+coqNNMAAAAF&#10;AQAADwAAAGRycy9kb3ducmV2LnhtbE2PP0/DMBDFdyS+g3VIbNRO1FZpiNOBlomJwsDoxkcSsM/B&#10;dv/w7TlY6HJ6p3d673fN+uydOGJMYyANxUyBQOqCHanX8PryeFeBSNmQNS4QavjGBOv2+qoxtQ0n&#10;esbjLveCQyjVRsOQ81RLmboBvUmzMCGx9x6iN5nX2EsbzYnDvZOlUkvpzUjcMJgJHwbsPncHr2HV&#10;+W2Z356c+dp8bGKR1UKWW61vbwp1DyLjOf8fwy8+o0PLTPtwIJuE08CP5L/JXlUt5iD2LOarJci2&#10;kZf07Q9QSwMEFAAAAAgAh07iQJ3/i7sNAgAA9gMAAA4AAABkcnMvZTJvRG9jLnhtbK1TzY7TMBC+&#10;I/EOlu80TWl3u1HTPbQsFwSVYB/AtZ3Ekv/k8TbtjRviGbhx5B3Yt1kJ3mLHTtnCIqQ9kIMzjme+&#10;+b4v48Xl3miykwGUszUtR2NKpOVOKNvW9PrD1Ys5JRCZFUw7K2t6kEAvl8+fLXpfyYnrnBYyEASx&#10;UPW+pl2MvioK4J00DEbOS4uHjQuGRdyGthCB9YhudDEZj8+K3gXhg+MSAL+uh0N6RAxPAXRNo7hc&#10;O35jpI0DapCaRZQEnfJAl5lt00ge3zUNyEh0TVFpzCs2wXib1mK5YFUbmO8UP1JgT6HwSJNhymLT&#10;B6g1i4zcBPUXlFE8OHBNHHFnikFIdgRVlONH3rzvmJdZC1oN/sF0+H+w/O1uE4gSNZ1NKbHM4B//&#10;8enbz4+f777c3n3/Ssp5Nqn3UGHuym4CWpZ24DchKd43waQ3aiH7mk7n5XlZor2Hmk4uJtPyfDaY&#10;LPeRcEzAGRhPZpRwTDh7mQ+LE4oPEF9LZ0gKagoxMNV2ceWsxX/pQpldZrs3EJEHFv4qSBS0JX1N&#10;L2YZnuFsNjgT2Ml41Ae2zbXgtBJXSutUAaHdrnQgO5bmIz+JLeL+kZaarBl0Q57AaNDUSSZeWUHi&#10;waNvFu8LTQyMFJRoidcrRXnEIlP6lBmDYrbV/8jG7toiiZPLKdo6ccjm5+84DpnmcXTTvP2+z9Wn&#10;67q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KKjTTAAAABQEAAA8AAAAAAAAAAQAgAAAAIgAA&#10;AGRycy9kb3ducmV2LnhtbFBLAQIUABQAAAAIAIdO4kCd/4u7DQIAAPYDAAAOAAAAAAAAAAEAIAAA&#10;ACIBAABkcnMvZTJvRG9jLnhtbFBLBQYAAAAABgAGAFkBAAChBQAAAAA=&#10;">
                        <v:fill on="f" focussize="0,0"/>
                        <v:stroke color="#000000" joinstyle="round" dashstyle="dash" endarrow="block"/>
                        <v:imagedata o:title=""/>
                        <o:lock v:ext="edit" aspectratio="f"/>
                      </v:shape>
                      <v:rect id="矩形 181" o:spid="_x0000_s1026" o:spt="1" style="position:absolute;left:4948555;top:2794635;height:301625;width:626110;" filled="f" stroked="f" coordsize="21600,21600" o:gfxdata="UEsDBAoAAAAAAIdO4kAAAAAAAAAAAAAAAAAEAAAAZHJzL1BLAwQUAAAACACHTuJAyQn+qtcAAAAF&#10;AQAADwAAAGRycy9kb3ducmV2LnhtbE2PQWvCQBCF70L/wzJCL1I3FisxzcaDUCqlIMbqec1Ok2B2&#10;NmbXxP77TntpL8Mb3vDeN+nqZhvRY+drRwpm0wgEUuFMTaWCj/3LQwzCB01GN45QwRd6WGV3o1Qn&#10;xg20wz4PpeAQ8olWUIXQJlL6okKr/dS1SOx9us7qwGtXStPpgcNtIx+jaCGtrokbKt3iusLinF+t&#10;gqHY9sf9+6vcTo4bR5fNZZ0f3pS6H8+iZxABb+HvGH7wGR0yZjq5KxkvGgX8SPid7MXx0xzEicV8&#10;uQCZpfI/ffYNUEsDBBQAAAAIAIdO4kC0Fsp1sAEAAE8DAAAOAAAAZHJzL2Uyb0RvYy54bWytU0tu&#10;2zAQ3RfoHQjua31iq45gOhsj2QRpgLQHoCnSIsAfSNqSTxOgux6ixyl6jQ4pNWmTTRbZkDPDhzfz&#10;3kibq1ErdOI+SGsIrhYlRtww20lzIPjb1+tPa4xCpKajyhpO8JkHfLX9+GEzuJbXtreq4x4BiQnt&#10;4AjuY3RtUQTWc03Dwjpu4FFYr2mE1B+KztMB2LUq6rJsisH6znnLeAhQ3U2PeGb0byG0QkjGd5Yd&#10;NTdxYvVc0QiSQi9dwNs8rRCcxS9CBB6RIhiUxnxCE4j36Sy2G9oePHW9ZPMI9C0jvNCkqTTQ9Ilq&#10;RyNFRy9fUWnJvA1WxAWzupiEZEdARVW+8Oahp45nLWB1cE+mh/ejZXene49kR/BqhZGhGjb++/HH&#10;r5/fUbWukj2DCy2gHty9n7MAYdI6Cq/TDSrQSPDycrleJZYzwfXny2VzsZrs5WNEDABN3VQVGM8A&#10;cFFWTZ3fi2ci50O84VajFBDsYXvZVHq6DRGaA/QvJPU19loqlTeozH8FAKZKkWafpk1RHPfjLGFv&#10;uzPoPjovDz20ykozHHzOjeZvIi3y3zyTPv8H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JCf6q&#10;1wAAAAUBAAAPAAAAAAAAAAEAIAAAACIAAABkcnMvZG93bnJldi54bWxQSwECFAAUAAAACACHTuJA&#10;tBbKdbABAABPAwAADgAAAAAAAAABACAAAAAmAQAAZHJzL2Uyb0RvYy54bWxQSwUGAAAAAAYABgBZ&#10;AQAASAUAAAAA&#10;">
                        <v:fill on="f" focussize="0,0"/>
                        <v:stroke on="f"/>
                        <v:imagedata o:title=""/>
                        <o:lock v:ext="edit" aspectratio="f"/>
                        <v:textbox>
                          <w:txbxContent>
                            <w:p>
                              <w:r>
                                <w:rPr>
                                  <w:rFonts w:hint="eastAsia"/>
                                </w:rPr>
                                <w:t>粉尘</w:t>
                              </w:r>
                            </w:p>
                          </w:txbxContent>
                        </v:textbox>
                      </v:rect>
                      <v:shape id="自选图形 182" o:spid="_x0000_s1026" o:spt="32" type="#_x0000_t32" style="position:absolute;left:4826635;top:3571240;height:635;width:200025;" filled="f" stroked="t" coordsize="21600,21600" o:gfxdata="UEsDBAoAAAAAAIdO4kAAAAAAAAAAAAAAAAAEAAAAZHJzL1BLAwQUAAAACACHTuJA+coqNNMAAAAF&#10;AQAADwAAAGRycy9kb3ducmV2LnhtbE2PP0/DMBDFdyS+g3VIbNRO1FZpiNOBlomJwsDoxkcSsM/B&#10;dv/w7TlY6HJ6p3d673fN+uydOGJMYyANxUyBQOqCHanX8PryeFeBSNmQNS4QavjGBOv2+qoxtQ0n&#10;esbjLveCQyjVRsOQ81RLmboBvUmzMCGx9x6iN5nX2EsbzYnDvZOlUkvpzUjcMJgJHwbsPncHr2HV&#10;+W2Z356c+dp8bGKR1UKWW61vbwp1DyLjOf8fwy8+o0PLTPtwIJuE08CP5L/JXlUt5iD2LOarJci2&#10;kZf07Q9QSwMEFAAAAAgAh07iQADsJUEJAgAA9gMAAA4AAABkcnMvZTJvRG9jLnhtbK1TTY7TMBTe&#10;I3EHy3uaNjMtJWo6i5Zhg6AScIBX20ks+U+2p2l37BBnYMeSO8BtRoJb8OyEKQxCmgVZOM/29z6/&#10;7/Pz6uqoFTkIH6Q1NZ1NppQIwyyXpq3pu7fXT5aUhAiGg7JG1PQkAr1aP3606l0lSttZxYUnSGJC&#10;1buadjG6qigC64SGMLFOGNxsrNcQcerbgnvokV2ropxOF0VvPXfeMhECrm6HTToy+ocQ2qaRTGwt&#10;u9HCxIHVCwURJYVOukDXudqmESy+bpogIlE1RaUxj3gIxvs0FusVVK0H10k2lgAPKeGeJg3S4KF3&#10;VFuIQG68/ItKS+ZtsE2cMKuLQUh2BFXMpve8edOBE1kLWh3cnenh/9GyV4edJ5LXdL6gxIDGG//+&#10;4cuP9x9vP327/fqZzJZlMql3oULsxuz8OAtu55PiY+N1+qMWcqzp5bJcLC7mlJxqejF/OisvR5PF&#10;MRKGAOyBaYn7DAEJiHTFmcX5EF8Iq0kKahqiB9l2cWONwbu0fpZdhsPLEIfEXwmpBGVIX9Nn80wP&#10;2JsN9gSepB3qC6bNucEqya+lUikj+Ha/UZ4cIPVH/saC/oClQ7YQugHHMUooqDoB/LnhJJ4c+mbw&#10;vdBUgRacEiXweaUoIyNIdUZGL8G06h9otEMZdCV5Pricor3lp2x+Xsd2yL6NrZv67fd5zj4/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qNNMAAAAFAQAADwAAAAAAAAABACAAAAAiAAAAZHJz&#10;L2Rvd25yZXYueG1sUEsBAhQAFAAAAAgAh07iQADsJUEJAgAA9gMAAA4AAAAAAAAAAQAgAAAAIgEA&#10;AGRycy9lMm9Eb2MueG1sUEsFBgAAAAAGAAYAWQEAAJ0FAAAAAA==&#10;">
                        <v:fill on="f" focussize="0,0"/>
                        <v:stroke color="#000000" joinstyle="round" dashstyle="dash" endarrow="block"/>
                        <v:imagedata o:title=""/>
                        <o:lock v:ext="edit" aspectratio="f"/>
                      </v:shape>
                      <v:shape id="自选图形 183" o:spid="_x0000_s1026" o:spt="32" type="#_x0000_t32" style="position:absolute;left:4826635;top:4209415;height:635;width:200025;" filled="f" stroked="t" coordsize="21600,21600" o:gfxdata="UEsDBAoAAAAAAIdO4kAAAAAAAAAAAAAAAAAEAAAAZHJzL1BLAwQUAAAACACHTuJA+coqNNMAAAAF&#10;AQAADwAAAGRycy9kb3ducmV2LnhtbE2PP0/DMBDFdyS+g3VIbNRO1FZpiNOBlomJwsDoxkcSsM/B&#10;dv/w7TlY6HJ6p3d673fN+uydOGJMYyANxUyBQOqCHanX8PryeFeBSNmQNS4QavjGBOv2+qoxtQ0n&#10;esbjLveCQyjVRsOQ81RLmboBvUmzMCGx9x6iN5nX2EsbzYnDvZOlUkvpzUjcMJgJHwbsPncHr2HV&#10;+W2Z356c+dp8bGKR1UKWW61vbwp1DyLjOf8fwy8+o0PLTPtwIJuE08CP5L/JXlUt5iD2LOarJci2&#10;kZf07Q9QSwMEFAAAAAgAh07iQMtXovULAgAA9gMAAA4AAABkcnMvZTJvRG9jLnhtbK1TTW4TMRTe&#10;I3EHy3syk7QJ6SiTLhLKBkEk6AEc2zNjyX/yczPJjh3iDOxYcgd6m0pwiz57QgNFSF0wC8+z/b3P&#10;7/v8vLjcG012MoBytqbjUUmJtNwJZduaXn+4ejGnBCKzgmlnZU0PEujl8vmzRe8rOXGd00IGgiQW&#10;qt7XtIvRV0UBvJOGwch5aXGzccGwiNPQFiKwHtmNLiZlOSt6F4QPjksAXF0Pm/TIGJ5C6JpGcbl2&#10;/MZIGwfWIDWLKAk65YEuc7VNI3l81zQgI9E1RaUxj3gIxts0FssFq9rAfKf4sQT2lBIeaTJMWTz0&#10;gWrNIiM3Qf1FZRQPDlwTR9yZYhCSHUEV4/KRN+875mXWglaDfzAd/h8tf7vbBKJETacvKbHM4I3/&#10;+PTt58fPd19u775/JeP5WTKp91AhdmU34TgDvwlJ8b4JJv1RC9nX9Hw+mc3OppQcMJ6UF+fj6WCy&#10;3EfCEYA9UE5wnyMgAZGuOLH4APG1dIakoKYQA1NtF1fOWrxLF8bZZbZ7A3FI/JWQStCW9DW9mGZ6&#10;hr3ZYE/gScajPrBtzgWnlbhSWqcMCO12pQPZsdQf+TsW9AcsHbJm0A04gdGgqZNMvLKCxINH3yy+&#10;F5oqMFJQoiU+rxRhnayKTOkTMgbFbKv/gUY7tEVXkueDyynaOnHI5ud1bIfs27F1U7/9Ps/Zp+e6&#10;v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yio00wAAAAUBAAAPAAAAAAAAAAEAIAAAACIAAABk&#10;cnMvZG93bnJldi54bWxQSwECFAAUAAAACACHTuJAy1ei9QsCAAD2AwAADgAAAAAAAAABACAAAAAi&#10;AQAAZHJzL2Uyb0RvYy54bWxQSwUGAAAAAAYABgBZAQAAnwUAAAAA&#10;">
                        <v:fill on="f" focussize="0,0"/>
                        <v:stroke color="#000000" joinstyle="round" dashstyle="dash" endarrow="block"/>
                        <v:imagedata o:title=""/>
                        <o:lock v:ext="edit" aspectratio="f"/>
                      </v:shape>
                      <v:rect id="矩形 184" o:spid="_x0000_s1026" o:spt="1" style="position:absolute;left:5007610;top:4083050;height:301625;width:526415;" fillcolor="#FFFFFF" filled="t" stroked="f" coordsize="21600,21600" o:gfxdata="UEsDBAoAAAAAAIdO4kAAAAAAAAAAAAAAAAAEAAAAZHJzL1BLAwQUAAAACACHTuJABpArIdUAAAAF&#10;AQAADwAAAGRycy9kb3ducmV2LnhtbE2PMU/DMBCFd6T+B+sqsVG7kEZpiNOhUidgoEVivcbXJCK2&#10;09hpw7/nYKHL6Z3e6b3vis1kO3GhIbTeaVguFAhylTetqzV8HHYPGYgQ0RnsvCMN3xRgU87uCsyN&#10;v7p3uuxjLTjEhRw1NDH2uZShashiWPieHHsnP1iMvA61NANeOdx28lGpVFpsHTc02NO2oeprP1oN&#10;mCbm/HZ6ej28jCmu60ntVp9K6/v5Uj2DiDTF/2P4xWd0KJnp6Edngug08CPxb7KXZasExJFFsk5B&#10;loW8pS9/AFBLAwQUAAAACACHTuJA4YmuQ8MBAAB4AwAADgAAAGRycy9lMm9Eb2MueG1srZPPjtMw&#10;EMbvSLyD5TtN0m1LFTXdA1W5IFhp2QdwHTux5H8au036NEjceAgeB/EajJ2wC8tlD+TgzDiTn+f7&#10;JtndjkaTi4CgnG1otSgpEZa7VtmuoQ+fj2+2lITIbMu0s6KhVxHo7f71q93ga7F0vdOtAIIQG+rB&#10;N7SP0ddFEXgvDAsL54XFh9KBYRFT6IoW2IB0o4tlWW6KwUHrwXERAu4epod0JsJLgE5KxcXB8bMR&#10;Nk5UEJpFlBR65QPd526lFDx+kjKISHRDUWnMKx6C8SmtxX7H6g6Y7xWfW2AvaeGZJsOUxUMfUQcW&#10;GTmD+gdlFAcXnIwL7kwxCcmOoIqqfObNfc+8yFrQ6uAfTQ//D8s/Xu6AqLaha5y7ZQYn/vPLtx/f&#10;v5Jqu0r2DD7UWHXv72DOAoZJ6yjBpDuqICMCyvLtpkJjrw1dldubcj3bK8ZIeCpYblbVmhKOBTdl&#10;tVmuE794AnkI8b1whqSgoYDTy6ayy4cQp9LfJenc4LRqj0rrnEB3eqeBXBhO+pivmf5Xmbap2Lr0&#10;2kRMO0USOclKURxP46z15NorGnT2oLoee6oyNBXhQHLz88eTJv5nnqFPP8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aQKyHVAAAABQEAAA8AAAAAAAAAAQAgAAAAIgAAAGRycy9kb3ducmV2Lnht&#10;bFBLAQIUABQAAAAIAIdO4kDhia5DwwEAAHgDAAAOAAAAAAAAAAEAIAAAACQBAABkcnMvZTJvRG9j&#10;LnhtbFBLBQYAAAAABgAGAFkBAABZBQAAAAA=&#10;">
                        <v:fill on="t" focussize="0,0"/>
                        <v:stroke on="f"/>
                        <v:imagedata o:title=""/>
                        <o:lock v:ext="edit" aspectratio="f"/>
                        <v:textbox>
                          <w:txbxContent>
                            <w:p>
                              <w:r>
                                <w:rPr>
                                  <w:rFonts w:hint="eastAsia"/>
                                </w:rPr>
                                <w:t>噪声</w:t>
                              </w:r>
                            </w:p>
                          </w:txbxContent>
                        </v:textbox>
                      </v:rect>
                      <v:shape id="自选图形 185" o:spid="_x0000_s1026" o:spt="32" type="#_x0000_t32" style="position:absolute;left:497840;top:3571875;height:635;width:324485;" filled="f" stroked="t" coordsize="21600,21600" o:gfxdata="UEsDBAoAAAAAAIdO4kAAAAAAAAAAAAAAAAAEAAAAZHJzL1BLAwQUAAAACACHTuJAVKLRyNQAAAAF&#10;AQAADwAAAGRycy9kb3ducmV2LnhtbE2OTU/DMAyG70j8h8hIXCaWrIyuK013QAJxQ9uYds0a01Yk&#10;TtVkH/x7DBe4WLbeV4+fanXxTpxwjH0gDbOpAoHUBNtTq+F9+3xXgIjJkDUuEGr4wgir+vqqMqUN&#10;Z1rjaZNawRCKpdHQpTSUUsamQ2/iNAxInH2E0ZvE59hKO5ozw72TmVK59KYn/tCZAZ86bD43R69B&#10;7fevWWbvU3ppiu1yMnGLt3yn9e3NTD2CSHhJf2X40Wd1qNnpEI5ko3DM4N7v5KwoHuYgDrzMlznI&#10;upL/7etvUEsDBBQAAAAIAIdO4kC1+ebyDQIAAPUDAAAOAAAAZHJzL2Uyb0RvYy54bWytU0uOEzEQ&#10;3SNxB8t70vlOklY6s0gYNggiAQeo2O5uS/7J9qSTHTvEGdix5A5wm5HgFpTdYQIDi1nQC3fZVfWq&#10;3nN5dX3UihyED9Kaio4GQ0qEYZZL01T03dubZwtKQgTDQVkjKnoSgV6vnz5Zda4UY9taxYUnCGJC&#10;2bmKtjG6sigCa4WGMLBOGHTW1muIuPVNwT10iK5VMR4Or4rOeu68ZSIEPN32TnpG9I8BtHUtmdha&#10;dquFiT2qFwoiUgqtdIGuc7d1LVh8XddBRKIqikxjXrEI2vu0FusVlI0H10p2bgEe08IDThqkwaL3&#10;UFuIQG69/AtKS+ZtsHUcMKuLnkhWBFmMhg+0edOCE5kLSh3cvejh/8GyV4edJ5JXdLakxIDGG//+&#10;4cuP9x/vPn27+/qZjBazJFLnQomxG7Pz511wO58YH2uv0x+5kGNFp8v5Yorqnio6mc1Hi3lOh1Ic&#10;I2Hon4ynU4QkDAOuJtlZXECcD/GFsJoko6IhepBNGzfWGLxK60dZZDi8DBHbwMRfCakDZUhX0eVs&#10;nOABR7PGkUBTO6QXTJNzg1WS30ilUkbwzX6jPDlAGo/8JbKI+0dYKrKF0PZxHK1+bloB/LnhJJ4c&#10;yha9BNMoQVMXWnBKlMAXlizEhDKCVJdog4/r35FYXRlsIknei5ysveWnrH0+x2nIbZ4nN43b7/uc&#10;fXmt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otHI1AAAAAUBAAAPAAAAAAAAAAEAIAAAACIA&#10;AABkcnMvZG93bnJldi54bWxQSwECFAAUAAAACACHTuJAtfnm8g0CAAD1AwAADgAAAAAAAAABACAA&#10;AAAjAQAAZHJzL2Uyb0RvYy54bWxQSwUGAAAAAAYABgBZAQAAogUAAAAA&#10;">
                        <v:fill on="f" focussize="0,0"/>
                        <v:stroke color="#000000" joinstyle="round" dashstyle="dash" startarrow="block"/>
                        <v:imagedata o:title=""/>
                        <o:lock v:ext="edit" aspectratio="f"/>
                      </v:shape>
                      <v:shape id="自选图形 186" o:spid="_x0000_s1026" o:spt="32" type="#_x0000_t32" style="position:absolute;left:541655;top:4208780;height:635;width:324485;" filled="f" stroked="t" coordsize="21600,21600" o:gfxdata="UEsDBAoAAAAAAIdO4kAAAAAAAAAAAAAAAAAEAAAAZHJzL1BLAwQUAAAACACHTuJAVKLRyNQAAAAF&#10;AQAADwAAAGRycy9kb3ducmV2LnhtbE2OTU/DMAyG70j8h8hIXCaWrIyuK013QAJxQ9uYds0a01Yk&#10;TtVkH/x7DBe4WLbeV4+fanXxTpxwjH0gDbOpAoHUBNtTq+F9+3xXgIjJkDUuEGr4wgir+vqqMqUN&#10;Z1rjaZNawRCKpdHQpTSUUsamQ2/iNAxInH2E0ZvE59hKO5ozw72TmVK59KYn/tCZAZ86bD43R69B&#10;7fevWWbvU3ppiu1yMnGLt3yn9e3NTD2CSHhJf2X40Wd1qNnpEI5ko3DM4N7v5KwoHuYgDrzMlznI&#10;upL/7etvUEsDBBQAAAAIAIdO4kBwTcHsCwIAAPUDAAAOAAAAZHJzL2Uyb0RvYy54bWytU0uOEzEQ&#10;3SNxB8t70kkmCaGVziwShg2CSAwHcGx3tyX/5PKkkx07xBnYseQOcJuR4BZTdjcTGFjMgl64y/ar&#10;53rP5dXl0WhykAGUsxWdjMaUSMudULap6Pvrq2dLSiAyK5h2Vlb0JIFerp8+WXW+lFPXOi1kIEhi&#10;oex8RdsYfVkUwFtpGIyclxY3axcMizgNTSEC65Dd6GI6Hi+KzgXhg+MSAFe3/SYdGMNjCF1dKy63&#10;jt8YaWPPGqRmESVBqzzQda62riWPb+saZCS6oqg05hEPwXifxmK9YmUTmG8VH0pgjynhgSbDlMVD&#10;76m2LDJyE9RfVEbx4MDVccSdKXoh2RFUMRk/8OZdy7zMWtBq8Pemw/+j5W8Ou0CUqOgCLbHM4I3/&#10;+Pj154dPt5+/3377QibLRTKp81AidmN3YZiB34Wk+FgHk/6ohRwrOp9NFvM5JaeKzqbj5fPl4LE8&#10;RsJx/2I6my1xnyNgcTFP3MWZxAeIr6QzJAUVhRiYatq4cdbiVbowySazw2uIfeKvhFSBtqSr6Iv5&#10;NNEzbM0aWwJD41Ee2CbngtNKXCmtUwaEZr/RgRxYao/8DQX9AUuHbBm0PU5glFCsbCUTL60g8eTR&#10;thgUs42WNFVhpKBES3xhKcroyJQ+oy0+rn8j0Q5t0ZVkeW9yivZOnLL3eR27Ifs2dG5qt9/nOfv8&#10;Wtd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KLRyNQAAAAFAQAADwAAAAAAAAABACAAAAAiAAAA&#10;ZHJzL2Rvd25yZXYueG1sUEsBAhQAFAAAAAgAh07iQHBNwewLAgAA9QMAAA4AAAAAAAAAAQAgAAAA&#10;IwEAAGRycy9lMm9Eb2MueG1sUEsFBgAAAAAGAAYAWQEAAKAFAAAAAA==&#10;">
                        <v:fill on="f" focussize="0,0"/>
                        <v:stroke color="#000000" joinstyle="round" dashstyle="dash" startarrow="block"/>
                        <v:imagedata o:title=""/>
                        <o:lock v:ext="edit" aspectratio="f"/>
                      </v:shape>
                      <v:rect id="矩形 187" o:spid="_x0000_s1026" o:spt="1" style="position:absolute;left:164465;top:4073525;height:301625;width:485775;" fillcolor="#FFFFFF" filled="t" stroked="f" coordsize="21600,21600" o:gfxdata="UEsDBAoAAAAAAIdO4kAAAAAAAAAAAAAAAAAEAAAAZHJzL1BLAwQUAAAACACHTuJAS0SRUdUAAAAF&#10;AQAADwAAAGRycy9kb3ducmV2LnhtbE2PMU/DQAyFdyT+w8lIbPRSKFUaculAm4GBgRTU9Zpzk4ic&#10;L8q5bfj3GBZYrGc9673P+XryvTrjGLtABuazBBRSHVxHjYH3XXmXgopsydk+EBr4wgjr4voqt5kL&#10;F3rDc8WNkhCKmTXQMg+Z1rFu0ds4CwOSeMcwesuyjo12o71IuO/1fZIstbcdSUNrB3xusf6sTt5A&#10;VX6419WeH/ZhKpvty2Zz3A47Y25v5skTKMaJ/47hB1/QoRCmQziRi6o3II/w7xQvTR8XoA4iFqsl&#10;6CLX/+mLb1BLAwQUAAAACACHTuJA1LHQTtEBAACUAwAADgAAAGRycy9lMm9Eb2MueG1srVNLbtsw&#10;EN0X6B0I7mtJji0bguUsaribog2Q9gA0RUkE+AOHtuTTFOiuh+hxil6jQ0pN2mSTRbSgZjijN/Pe&#10;jHa3o1bkIjxIa2paLHJKhOG2kaar6dcvx3dbSiAw0zBljajpVQC93b99sxtcJZa2t6oRniCIgWpw&#10;Ne1DcFWWAe+FZrCwThgMttZrFtD1XdZ4NiC6Vtkyz8tssL5x3nIBgLeHKUhnRP8SQNu2kouD5Wct&#10;TJhQvVAsICXopQO6T922reDhc9uCCETVFJmGdGIRtE/xzPY7VnWeuV7yuQX2khaecNJMGiz6AHVg&#10;gZGzl8+gtOTegm3DgludTUSSIsiiyJ9oc98zJxIXlBrcg+jwerD80+XOE9nUtCwoMUzjxH9/+/Hr&#10;53dSbDdRnsFBhVn37s7PHqAZuY6t1/GNLMiIq1SuVuWakmtNV/nmZr1cT+qKMRCO8dV2vdlgnGPC&#10;TV6UUzx7xHEewgdhNYlGTT0OL2nKLh8hYG1M/ZsSy4JVsjlKpZLju9N75cmF4aCP6Zm+Va5n020a&#10;NmLAlJrw/sNQJiIZGzGncvEmiwJMlKMVxtM463CyzRXFOzsvux4bLiLflI7DSvDzYsVt+NdPWY8/&#10;0/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0SRUdUAAAAFAQAADwAAAAAAAAABACAAAAAiAAAA&#10;ZHJzL2Rvd25yZXYueG1sUEsBAhQAFAAAAAgAh07iQNSx0E7RAQAAlAMAAA4AAAAAAAAAAQAgAAAA&#10;JAEAAGRycy9lMm9Eb2MueG1sUEsFBgAAAAAGAAYAWQEAAGcFAAAAAA==&#10;">
                        <v:fill on="t" opacity="0f" focussize="0,0"/>
                        <v:stroke on="f"/>
                        <v:imagedata o:title=""/>
                        <o:lock v:ext="edit" aspectratio="f"/>
                        <v:textbox>
                          <w:txbxContent>
                            <w:p>
                              <w:r>
                                <w:rPr>
                                  <w:rFonts w:hint="eastAsia"/>
                                </w:rPr>
                                <w:t>噪声</w:t>
                              </w:r>
                            </w:p>
                          </w:txbxContent>
                        </v:textbox>
                      </v:rect>
                      <v:shape id="自选图形 189" o:spid="_x0000_s1026" o:spt="32" type="#_x0000_t32" style="position:absolute;left:983615;top:4838700;height:635;width:290195;" filled="f" stroked="t" coordsize="21600,21600" o:gfxdata="UEsDBAoAAAAAAIdO4kAAAAAAAAAAAAAAAAAEAAAAZHJzL1BLAwQUAAAACACHTuJAVIWAX9MAAAAF&#10;AQAADwAAAGRycy9kb3ducmV2LnhtbE2PzU7DQAyE70i8w8pI3OgmqEQhZFMBUrnTIsTRyZokatYb&#10;Zbc/6dPXcIGLNdZYM5/L1ckN6kBT6D0bSBcJKOLG255bAx/b9V0OKkRki4NnMjBTgFV1fVViYf2R&#10;3+mwia2SEA4FGuhiHAutQ9ORw7DwI7F4335yGGWdWm0nPEq4G/R9kmTaYc/S0OFIrx01u83eGVhn&#10;YUy3u+Tlk9zbuQ5fs8Xn2ZjbmzR5AhXpFP+O4Qdf0KESptrv2QY1GJBH4u8UL88flqBqEcvHDHRV&#10;6v/01QVQSwMEFAAAAAgAh07iQJ6BF1oKAgAA9gMAAA4AAABkcnMvZTJvRG9jLnhtbK1TzY7TMBC+&#10;I/EOlu80SUtLGzXdQ8tyQVAJeADXcRJL/pPH27Q3bohn4MaRd4C3WQnegrETtrBw2AM5OOPMN5/n&#10;+zJeX520IkfhQVpT0WKSUyIMt7U0bUXfvb1+sqQEAjM1U9aIip4F0KvN40fr3pViajurauEJkhgo&#10;e1fRLgRXZhnwTmgGE+uEwWRjvWYBt77Nas96ZNcqm+b5Iuutr523XADg192QpCOjfwihbRrJxc7y&#10;Gy1MGFi9UCygJOikA7pJ3TaN4OF104AIRFUUlYa04iEYH+KabdasbD1zneRjC+whLdzTpJk0eOgd&#10;1Y4FRm68/ItKS+4t2CZMuNXZICQ5giqK/J43bzrmRNKCVoO7Mx3+Hy1/ddx7IuuKLqaUGKbxj3//&#10;8OXH+4+3n77dfv1MiuUqmtQ7KBG7NXs/7sDtfVR8aryOb9RCThVdLWeLYk7JuaJPl7Pls3z0WJwC&#10;4ZifrvJihXmOgMVsHrmzC4nzEF4Iq0kMKgrBM9l2YWuNwV9pfZFMZseXEIbCXwWxA2VIjw3Mp5Ge&#10;4Wg2OBIYaofywLSpFqyS9bVUKlaAbw9b5cmRxfFIz9jQH7B4yI5BN+BSKsJY2QlWPzc1CWeHvgUv&#10;mWmVoLENLWpKlMArFqOEDkyqC9rg7fo3Ev1QBm2Jng8ux+hg63MyP33HcUjGjaMb5+33faq+XNf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SFgF/TAAAABQEAAA8AAAAAAAAAAQAgAAAAIgAAAGRy&#10;cy9kb3ducmV2LnhtbFBLAQIUABQAAAAIAIdO4kCegRdaCgIAAPYDAAAOAAAAAAAAAAEAIAAAACIB&#10;AABkcnMvZTJvRG9jLnhtbFBLBQYAAAAABgAGAFkBAACeBQAAAAA=&#10;">
                        <v:fill on="f" focussize="0,0"/>
                        <v:stroke color="#000000" joinstyle="round" startarrow="block"/>
                        <v:imagedata o:title=""/>
                        <o:lock v:ext="edit" aspectratio="f"/>
                      </v:shape>
                      <v:shape id="文本框 190" o:spid="_x0000_s1026" o:spt="202" type="#_x0000_t202" style="position:absolute;left:107315;top:4488815;height:685165;width:876300;" filled="f" stroked="t" coordsize="21600,21600" o:gfxdata="UEsDBAoAAAAAAIdO4kAAAAAAAAAAAAAAAAAEAAAAZHJzL1BLAwQUAAAACACHTuJA4LQTG9QAAAAF&#10;AQAADwAAAGRycy9kb3ducmV2LnhtbE2Py07DQAxF90j8w8hI7OikD9o0ZNIFhT2EAlsn4yYRGU+U&#10;mT7g6zFsYGPZuva9x/nm7Hp1pDF0ng1MJwko4trbjhsDu5fHmxRUiMgWe89k4JMCbIrLixwz60/8&#10;TMcyNkpMOGRooI1xyLQOdUsOw8QPxKLt/egwyjg22o54EnPX61mSLLXDjiWhxYHuW6o/yoMTjNn7&#10;br59Kmm1wmq+ffh6Xe/femOur6bJHahI5/i3DD/4cgOFMFX+wDao3oA8En+raGl6uwBVSbNYL0EX&#10;uf5PX3wDUEsDBBQAAAAIAIdO4kBURaNXEwIAABoEAAAOAAAAZHJzL2Uyb0RvYy54bWytU0tu2zAQ&#10;3RfoHQjua8l27CiG5QCtm26KtkDaA9AkJRHgDxzaki/Q3qCrbrrvuXyODGk3TtKNF/VCHnGe3sx7&#10;M1zeDkaTnQygnK3peFRSIi13Qtm2pt++3r2pKIHIrGDaWVnTvQR6u3r9atn7hZy4zmkhA0ESC4ve&#10;17SL0S+KAngnDYOR89JisnHBsIivoS1EYD2yG11MynJe9C4IHxyXAHi6PibpiTFcQuiaRnG5dnxr&#10;pI1H1iA1iygJOuWBrnK3TSN5/Nw0ICPRNUWlMT+xCMab9CxWS7ZoA/Od4qcW2CUtvNBkmLJY9JFq&#10;zSIj26D+oTKKBweuiSPuTHEUkh1BFePyhTf3HfMya0GrwT+aDv+Pln/afQlEiZrOp5RYZnDih58/&#10;Dr/+HH5/J+Ob7FDvYYHAe4/QOLx1A+5Nci6dAx4m4UMTTPpHSSTly+vpeEbJvqZXV1VVYZytlkMk&#10;HPPV9Xxa4hA4AubVbDzP+eLM4wPED9IZkoKaBpxkNpjtPkJEKoT+haSy1t0prXMJbUlf05vZBMtz&#10;hhva4GZgaDyqBNtmGnBaifRJ+hhCu3mnA9mxtCX5l7rFEs9gqd6aQXfE5dRRlFFRhly7k0y8t4LE&#10;vUcjLV4gmpoxUlCiJd63FGVkZEpfgsQmtMVezl6nKA6bAWlSuHFij3PZ+qDaDp3Kk8lwXJks4rTe&#10;aSefvmfS85VeP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tBMb1AAAAAUBAAAPAAAAAAAAAAEA&#10;IAAAACIAAABkcnMvZG93bnJldi54bWxQSwECFAAUAAAACACHTuJAVEWjVxMCAAAaBAAADgAAAAAA&#10;AAABACAAAAAjAQAAZHJzL2Uyb0RvYy54bWxQSwUGAAAAAAYABgBZAQAAqAUAAAAA&#10;">
                        <v:fill on="f" focussize="0,0"/>
                        <v:stroke color="#000000" joinstyle="miter"/>
                        <v:imagedata o:title=""/>
                        <o:lock v:ext="edit" aspectratio="f"/>
                        <v:textbox>
                          <w:txbxContent>
                            <w:p>
                              <w:pPr>
                                <w:rPr>
                                  <w:rFonts w:hint="eastAsia" w:eastAsia="宋体"/>
                                  <w:szCs w:val="15"/>
                                  <w:lang w:eastAsia="zh-CN"/>
                                </w:rPr>
                              </w:pPr>
                              <w:r>
                                <w:rPr>
                                  <w:rFonts w:hint="eastAsia"/>
                                  <w:szCs w:val="21"/>
                                  <w:lang w:eastAsia="zh-CN"/>
                                </w:rPr>
                                <w:t>活性炭吸附</w:t>
                              </w:r>
                            </w:p>
                          </w:txbxContent>
                        </v:textbox>
                      </v:shape>
                      <v:shape id="自选图形 191" o:spid="_x0000_s1026" o:spt="32" type="#_x0000_t32" style="position:absolute;left:5026660;top:1776730;flip:y;height:252730;width:635;" filled="f" stroked="t" coordsize="21600,21600" o:gfxdata="UEsDBAoAAAAAAIdO4kAAAAAAAAAAAAAAAAAEAAAAZHJzL1BLAwQUAAAACACHTuJAsGw1ZtYAAAAF&#10;AQAADwAAAGRycy9kb3ducmV2LnhtbE2PzU7DQAyE70i8w8pI3OimqFQhZFMhfk9Baqkqjtusm6Rk&#10;vVHWbcPbY7jAxRprrJnP+WL0nTriENtABqaTBBRSFVxLtYH1+/NVCiqyJWe7QGjgCyMsivOz3GYu&#10;nGiJxxXXSkIoZtZAw9xnWseqQW/jJPRI4u3C4C3LOtTaDfYk4b7T10ky1962JA2N7fGhwepzdfAG&#10;9uWufPpYujHF/X3/9vq4Kdm9GHN5MU3uQDGO/HcMP/iCDoUwbcOBXFSdAXmEf6d4aXozA7UVMbud&#10;gy5y/Z+++AZQSwMEFAAAAAgAh07iQDDSOqEUAgAAAQQAAA4AAABkcnMvZTJvRG9jLnhtbK1TzY7T&#10;MBC+I/EOlu80aZambNR0Dy3LBUElfu6u4ySW/CePt2lv3BDPwI0j77C8zUrwFoydsAsLhz3ggzX2&#10;zHwz3+fx6uKoFTkID9Kams5nOSXCcNtI09X03dvLJ88ogcBMw5Q1oqYnAfRi/fjRanCVKGxvVSM8&#10;QRAD1eBq2ofgqiwD3gvNYGadMOhsrdcs4NF3WePZgOhaZUWel9lgfeO85QIAb7ejk06I/iGAtm0l&#10;F1vLr7QwYUT1QrGAlKCXDug6ddu2gofXbQsiEFVTZBrSjkXQ3sc9W69Y1XnmesmnFthDWrjHSTNp&#10;sOgt1JYFRq68/AtKS+4t2DbMuNXZSCQpgizm+T1t3vTMicQFpQZ3Kzr8P1j+6rDzRDY1LZ9SYpjG&#10;F//+8euPD59uPn+7uf5C5ufzKNLgoMLYjdn56QRu5yPjY+s1aZV073GakgbIihxrusiLsixR6BM6&#10;lstyeTbJLY6BcAwozxaUcPQWi2JyZiNexHUewgthNYlGTSF4Jrs+bKwx+KrWj7XY4SUE7AgTfyXE&#10;ZGXIUNPzRRErMJzSFqcDTe2QKZgu9QlWyeZSKhUzwHf7jfLkwOKkpBV5I+4fYbHIlkE/xiXXOEO9&#10;YM1z05Bwcihh8JKZTgka29CioUQJ/G3RQlBWBSbVXbTBj/bvSCyvDHYR5R8Fj9beNqf0DukeJyP1&#10;OU1xHL3fzyn77ue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bDVm1gAAAAUBAAAPAAAAAAAA&#10;AAEAIAAAACIAAABkcnMvZG93bnJldi54bWxQSwECFAAUAAAACACHTuJAMNI6oRQCAAABBAAADgAA&#10;AAAAAAABACAAAAAlAQAAZHJzL2Uyb0RvYy54bWxQSwUGAAAAAAYABgBZAQAAqwUAAAAA&#10;">
                        <v:fill on="f" focussize="0,0"/>
                        <v:stroke color="#000000" joinstyle="round" startarrow="block"/>
                        <v:imagedata o:title=""/>
                        <o:lock v:ext="edit" aspectratio="f"/>
                      </v:shape>
                      <v:shape id="自选图形 192" o:spid="_x0000_s1026" o:spt="32" type="#_x0000_t32" style="position:absolute;left:4641215;top:1776730;flip:y;height:252730;width:635;" filled="f" stroked="t" coordsize="21600,21600" o:gfxdata="UEsDBAoAAAAAAIdO4kAAAAAAAAAAAAAAAAAEAAAAZHJzL1BLAwQUAAAACACHTuJAsGw1ZtYAAAAF&#10;AQAADwAAAGRycy9kb3ducmV2LnhtbE2PzU7DQAyE70i8w8pI3OimqFQhZFMhfk9Baqkqjtusm6Rk&#10;vVHWbcPbY7jAxRprrJnP+WL0nTriENtABqaTBBRSFVxLtYH1+/NVCiqyJWe7QGjgCyMsivOz3GYu&#10;nGiJxxXXSkIoZtZAw9xnWseqQW/jJPRI4u3C4C3LOtTaDfYk4b7T10ky1962JA2N7fGhwepzdfAG&#10;9uWufPpYujHF/X3/9vq4Kdm9GHN5MU3uQDGO/HcMP/iCDoUwbcOBXFSdAXmEf6d4aXozA7UVMbud&#10;gy5y/Z+++AZQSwMEFAAAAAgAh07iQHpNwe4TAgAAAQQAAA4AAABkcnMvZTJvRG9jLnhtbK1TvY4T&#10;MRDukXgHyz3ZZO+ScKtsrkg4GgSR+Okdr71ryX/y+LJJR4d4BjpK3gHe5iR4C8be5Q4OiitwYY09&#10;M9/M93m8ujwaTQ4igHK2prPJlBJhuWuUbWv69s3Vk6eUQGS2YdpZUdOTAHq5fvxo1ftKlK5zuhGB&#10;IIiFqvc17WL0VVEA74RhMHFeWHRKFwyLeAxt0QTWI7rRRTmdLorehcYHxwUA3m4HJx0Rw0MAnZSK&#10;i63j10bYOKAGoVlEStApD3Sdu5VS8PhKShCR6Joi05h3LIL2Pu3FesWqNjDfKT62wB7Swj1OhimL&#10;RW+htiwych3UX1BG8eDAyTjhzhQDkawIsphN72nzumNeZC4oNfhb0eH/wfKXh10gqqnpYk6JZQZf&#10;/PuHLz/ef7z59O3m62cyuyiTSL2HCmM3dhfGE/hdSIyPMhgitfLvcJqyBsiKHGt6vjiflTNEPaFj&#10;uVwsz0a5xTESjgGLM3Ry9JbzcnQWA17C9QHic+EMSUZNIQam2i5unLX4qi4MtdjhBUTsCBN/JaRk&#10;bUlf04t5mSownFKJ04Gm8cgUbJv7BKdVc6W0ThkQ2v1GB3JgaVLySrwR94+wVGTLoBvismuYoU6w&#10;5pltSDx5lDAGxWyrBU1tGNFQogX+tmQhKKsiU/ou2uJH+3ckltcWu0jyD4Ina++aU36HfI+Tkfsc&#10;pziN3u/nnH33c9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BsNWbWAAAABQEAAA8AAAAAAAAA&#10;AQAgAAAAIgAAAGRycy9kb3ducmV2LnhtbFBLAQIUABQAAAAIAIdO4kB6TcHuEwIAAAEEAAAOAAAA&#10;AAAAAAEAIAAAACUBAABkcnMvZTJvRG9jLnhtbFBLBQYAAAAABgAGAFkBAACqBQAAAAA=&#10;">
                        <v:fill on="f" focussize="0,0"/>
                        <v:stroke color="#000000" joinstyle="round" startarrow="block"/>
                        <v:imagedata o:title=""/>
                        <o:lock v:ext="edit" aspectratio="f"/>
                      </v:shape>
                      <v:shape id="文本框 193" o:spid="_x0000_s1026" o:spt="202" type="#_x0000_t202" style="position:absolute;left:4547235;top:2059305;height:518160;width:986790;" filled="f" stroked="t" coordsize="21600,21600" o:gfxdata="UEsDBAoAAAAAAIdO4kAAAAAAAAAAAAAAAAAEAAAAZHJzL1BLAwQUAAAACACHTuJA4LQTG9QAAAAF&#10;AQAADwAAAGRycy9kb3ducmV2LnhtbE2Py07DQAxF90j8w8hI7OikD9o0ZNIFhT2EAlsn4yYRGU+U&#10;mT7g6zFsYGPZuva9x/nm7Hp1pDF0ng1MJwko4trbjhsDu5fHmxRUiMgWe89k4JMCbIrLixwz60/8&#10;TMcyNkpMOGRooI1xyLQOdUsOw8QPxKLt/egwyjg22o54EnPX61mSLLXDjiWhxYHuW6o/yoMTjNn7&#10;br59Kmm1wmq+ffh6Xe/femOur6bJHahI5/i3DD/4cgOFMFX+wDao3oA8En+raGl6uwBVSbNYL0EX&#10;uf5PX3wDUEsDBBQAAAAIAIdO4kC2PEI4FgIAABsEAAAOAAAAZHJzL2Uyb0RvYy54bWytU82O0zAQ&#10;viPxDpbvNGm76bZV05WgLBcESAsP4NpOYsl/8rhN+gLwBpy4cOe5+hyMne4uLJc9kEMysT9/M983&#10;483NYDQ5ygDK2ZpOJyUl0nInlG1r+uXz7aslJRCZFUw7K2t6kkBvti9fbHq/ljPXOS1kIEhiYd37&#10;mnYx+nVRAO+kYTBxXlrcbFwwLOJvaAsRWI/sRhezslwUvQvCB8clAK7uxk16YQzPIXRNo7jcOX4w&#10;0saRNUjNIkqCTnmg21xt00gePzYNyEh0TVFpzG9MgvE+vYvthq3bwHyn+KUE9pwSnmgyTFlM+kC1&#10;Y5GRQ1D/UBnFgwPXxAl3phiFZEdQxbR84s1dx7zMWtBq8A+mw/+j5R+OnwJRoqaLBSWWGez4+fu3&#10;849f559fyXQ1Tw71HtYIvPMIjcNrN+Dc3K8DLibhQxNM+qIkgvtX1dX1bF5RcqrprKxW87IavZZD&#10;JBwBq+XieoVd4AiopsvpIveieCTyAeI76QxJQU0DtjI7zI7vIWJRCL2HpLzW3Sqtczu1JT0mqGaY&#10;njMc0QZHA0PjUSbYNtOA00qkI+kwhHb/RgdyZGlM8pOqxRR/wVK+HYNuxOWtUZRRUYacu5NMvLWC&#10;xJNHJy3eIJqKMVJQoiVeuBRlZGRKPweJRWiLtaQmjGanKA77AWlSuHfihI05+KDaDp3KrclwnJks&#10;4jLfaSj//M+kj3d6+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tBMb1AAAAAUBAAAPAAAAAAAA&#10;AAEAIAAAACIAAABkcnMvZG93bnJldi54bWxQSwECFAAUAAAACACHTuJAtjxCOBYCAAAbBAAADgAA&#10;AAAAAAABACAAAAAjAQAAZHJzL2Uyb0RvYy54bWxQSwUGAAAAAAYABgBZAQAAqwU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除尘系统</w:t>
                              </w:r>
                            </w:p>
                          </w:txbxContent>
                        </v:textbox>
                      </v:shape>
                      <v:shape id="自选图形 194" o:spid="_x0000_s1026" o:spt="32" type="#_x0000_t32" style="position:absolute;left:5179695;top:2577465;flip:y;height:252730;width:635;" filled="f" stroked="t" coordsize="21600,21600" o:gfxdata="UEsDBAoAAAAAAIdO4kAAAAAAAAAAAAAAAAAEAAAAZHJzL1BLAwQUAAAACACHTuJAjokxsdYAAAAF&#10;AQAADwAAAGRycy9kb3ducmV2LnhtbE2PQW/CMAyF75P4D5GRdplGCgJUuqYctrGdJkQH99B4bUXj&#10;VE2A9t/P2wUu1rOe9d7ndN3bRlyw87UjBdNJBAKpcKamUsH+e/Mcg/BBk9GNI1QwoId1NnpIdWLc&#10;lXZ4yUMpOIR8ohVUIbSJlL6o0Go/cS0Sez+uszrw2pXSdPrK4baRsyhaSqtr4oZKt/haYXHKz1bB&#10;W75dbA5P+342FJ9f+Ud82tLwrtTjeBq9gAjYh9sx/OEzOmTMdHRnMl40CviR8D/Zi+PFHMSRxXy1&#10;BJml8p4++wVQSwMEFAAAAAgAh07iQJFth/EVAgAAAQQAAA4AAABkcnMvZTJvRG9jLnhtbK1TzY7T&#10;MBC+I/EOlu80bXfb0qjpHlqWC4KV+LlPHSex5D95vE1744Z4Bm4ceQd4m5XgLRg7ZRcWIe2BHKKx&#10;Z+ab+b4Zry4ORrO9DKicrfhkNOZMWuFqZduKv31z+eQpZxjB1qCdlRU/SuQX68ePVr0v5dR1Ttcy&#10;MAKxWPa+4l2MviwKFJ00gCPnpSVn44KBSMfQFnWAntCNLqbj8bzoXah9cEIi0u12cPITYngIoGsa&#10;JeTWiWsjbRxQg9QQiRJ2yiNf526bRor4qmlQRqYrTkxj/lMRsnfpX6xXULYBfKfEqQV4SAv3OBlQ&#10;loreQm0hArsO6i8oo0Rw6Jo4Es4UA5GsCLGYjO9p87oDLzMXkhr9rej4/2DFy/1VYKqu+HzBmQVD&#10;E//+4cuP9x9vPn27+fqZTZbnSaTeY0mxG3sVTif0VyExPjTBsEYr/462KWtArNih4rPJYjlfzjg7&#10;Vnw6WyzO57NBbnmITFDA/IycInuni7M8i2LAS7g+YHwunWHJqDjGAKrt4sZZS1N1YagF+xcYqSNK&#10;/JWQkrVlfcWXs2mqALSlDW0HmcYTU7Rt7hOdVvWl0jplYGh3Gx3YHtKm5C91S7h/hKUiW8BuiMuu&#10;gVQnoX5maxaPniS09HR4asHImjMt6aUliwChjKD0XWQMCmyr/xFN5bWlLpL8g+DJ2rn6mOeQ72kz&#10;cp+nLU6r9/s5Z9+93P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okxsdYAAAAFAQAADwAAAAAA&#10;AAABACAAAAAiAAAAZHJzL2Rvd25yZXYueG1sUEsBAhQAFAAAAAgAh07iQJFth/EVAgAAAQQAAA4A&#10;AAAAAAAAAQAgAAAAJQEAAGRycy9lMm9Eb2MueG1sUEsFBgAAAAAGAAYAWQEAAKwFAAAAAA==&#10;">
                        <v:fill on="f" focussize="0,0"/>
                        <v:stroke color="#000000" joinstyle="round" endarrow="block"/>
                        <v:imagedata o:title=""/>
                        <o:lock v:ext="edit" aspectratio="f"/>
                      </v:shape>
                      <v:shape id="自选图形 195" o:spid="_x0000_s1026" o:spt="32" type="#_x0000_t32" style="position:absolute;left:3467735;top:3226435;height:635;width:163830;" filled="f" stroked="t" coordsize="21600,21600" o:gfxdata="UEsDBAoAAAAAAIdO4kAAAAAAAAAAAAAAAAAEAAAAZHJzL1BLAwQUAAAACACHTuJA+coqNNMAAAAF&#10;AQAADwAAAGRycy9kb3ducmV2LnhtbE2PP0/DMBDFdyS+g3VIbNRO1FZpiNOBlomJwsDoxkcSsM/B&#10;dv/w7TlY6HJ6p3d673fN+uydOGJMYyANxUyBQOqCHanX8PryeFeBSNmQNS4QavjGBOv2+qoxtQ0n&#10;esbjLveCQyjVRsOQ81RLmboBvUmzMCGx9x6iN5nX2EsbzYnDvZOlUkvpzUjcMJgJHwbsPncHr2HV&#10;+W2Z356c+dp8bGKR1UKWW61vbwp1DyLjOf8fwy8+o0PLTPtwIJuE08CP5L/JXlUt5iD2LOarJci2&#10;kZf07Q9QSwMEFAAAAAgAh07iQEQvM2wNAgAA9gMAAA4AAABkcnMvZTJvRG9jLnhtbK1TzY7TMBC+&#10;I/EOlu80/dlmd6Ome2hZLggqwT6AazuJJf/J423aGzfEM3DjyDvA26wEb8HY6W5hEdIeyCEZxzPf&#10;fN/n8eJqbzTZyQDK2ZpORmNKpOVOKNvW9Ob99YsLSiAyK5h2Vtb0IIFeLZ8/W/S+klPXOS1kIAhi&#10;oep9TbsYfVUUwDtpGIyclxY3GxcMi7gMbSEC6xHd6GI6HpdF74LwwXEJgH/XwyY9IoanALqmUVyu&#10;Hb810sYBNUjNIkqCTnmgy8y2aSSPb5sGZCS6pqg05jc2wXib3sVywao2MN8pfqTAnkLhkSbDlMWm&#10;D1BrFhm5DeovKKN4cOCaOOLOFIOQ7AiqmIwfefOuY15mLWg1+AfT4f/B8je7TSBK1LTEc7fM4In/&#10;+Pj154dPd5+/3337QiaX82RS76HC3JXdhOMK/CYkxfsmmPRFLWRf09lZeX4+m1NywHg6Lc8wzibL&#10;fSQcEybl7GKG9nNMKIfN4oTiA8RX0hmSgppCDEy1XVw5a/EsXZhkl9nuNURExcL7gkRBW9LX9HI+&#10;xfac4Ww2OBMYGo/6wLa5FpxW4lppnSogtNuVDmTH0nzkJ7FF3D/SUpM1g27IExgNmjrJxEsrSDx4&#10;9M3ifaGJgZGCEi3xeqUoq49M6VNmDIrZVv8jG7triySS54PLKdo6ccjm5/84DpnmcXTTvP2+ztWn&#10;67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KKjTTAAAABQEAAA8AAAAAAAAAAQAgAAAAIgAA&#10;AGRycy9kb3ducmV2LnhtbFBLAQIUABQAAAAIAIdO4kBELzNsDQIAAPYDAAAOAAAAAAAAAAEAIAAA&#10;ACIBAABkcnMvZTJvRG9jLnhtbFBLBQYAAAAABgAGAFkBAAChBQAAAAA=&#10;">
                        <v:fill on="f" focussize="0,0"/>
                        <v:stroke color="#000000" joinstyle="round" dashstyle="dash" endarrow="block"/>
                        <v:imagedata o:title=""/>
                        <o:lock v:ext="edit" aspectratio="f"/>
                      </v:shape>
                      <v:rect id="矩形 196" o:spid="_x0000_s1026" o:spt="1" style="position:absolute;left:3593465;top:3083560;height:301625;width:526415;" fillcolor="#FFFFFF" filled="t" stroked="f" coordsize="21600,21600" o:gfxdata="UEsDBAoAAAAAAIdO4kAAAAAAAAAAAAAAAAAEAAAAZHJzL1BLAwQUAAAACACHTuJAS0SRUdUAAAAF&#10;AQAADwAAAGRycy9kb3ducmV2LnhtbE2PMU/DQAyFdyT+w8lIbPRSKFUaculAm4GBgRTU9Zpzk4ic&#10;L8q5bfj3GBZYrGc9673P+XryvTrjGLtABuazBBRSHVxHjYH3XXmXgopsydk+EBr4wgjr4voqt5kL&#10;F3rDc8WNkhCKmTXQMg+Z1rFu0ds4CwOSeMcwesuyjo12o71IuO/1fZIstbcdSUNrB3xusf6sTt5A&#10;VX6419WeH/ZhKpvty2Zz3A47Y25v5skTKMaJ/47hB1/QoRCmQziRi6o3II/w7xQvTR8XoA4iFqsl&#10;6CLX/+mLb1BLAwQUAAAACACHTuJALFe36M8BAACVAwAADgAAAGRycy9lMm9Eb2MueG1srVPNjtMw&#10;EL4j8Q6W7zRJu4m2UdM9UJULgpUWHsB1nMSS/+Rxm/RpkLjxEDwO4jUYO2EXlsseyMGZsb98M983&#10;zu5u0opchAdpTUOLVU6JMNy20vQN/fzp+OaWEgjMtExZIxp6FUDv9q9f7UZXi7UdrGqFJ0hioB5d&#10;Q4cQXJ1lwAehGaysEwYPO+s1C5j6Pms9G5Fdq2yd51U2Wt86b7kAwN3DfEgXRv8SQtt1kouD5Wct&#10;TJhZvVAsoCQYpAO6T912neDhY9eBCEQ1FJWGtGIRjE9xzfY7VveeuUHypQX2khaeadJMGiz6SHVg&#10;gZGzl/9Qacm9BduFFbc6m4UkR1BFkT/z5mFgTiQtaDW4R9Ph/9HyD5d7T2Tb0GpLiWEaJ/7zy7cf&#10;37+SYltFe0YHNaIe3L1fMsAwap06r+MbVZCpoZtyu7mpSkquGOe3m7Ja7BVTIBwB5bq6KfCcJ0BR&#10;rcvInz0ROQ/hnbCaxKChHqeXTGWX9xBm6G9IrAtWyfYolUqJ709vlScXhpM+pmf+VrmBzbupHSwH&#10;MzSV/otDmchkbOScy8WdLDowa45RmE7TYsTJtld07+y87AdsuEh6IginleiXmxWvw595In36m/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tEkVHVAAAABQEAAA8AAAAAAAAAAQAgAAAAIgAAAGRy&#10;cy9kb3ducmV2LnhtbFBLAQIUABQAAAAIAIdO4kAsV7fozwEAAJUDAAAOAAAAAAAAAAEAIAAAACQB&#10;AABkcnMvZTJvRG9jLnhtbFBLBQYAAAAABgAGAFkBAABlBQAAAAA=&#10;">
                        <v:fill on="t" opacity="0f" focussize="0,0"/>
                        <v:stroke on="f"/>
                        <v:imagedata o:title=""/>
                        <o:lock v:ext="edit" aspectratio="f"/>
                        <v:textbox>
                          <w:txbxContent>
                            <w:p>
                              <w:r>
                                <w:rPr>
                                  <w:rFonts w:hint="eastAsia"/>
                                </w:rPr>
                                <w:t>噪声</w:t>
                              </w:r>
                            </w:p>
                          </w:txbxContent>
                        </v:textbox>
                      </v:rect>
                      <v:rect id="矩形 197" o:spid="_x0000_s1026" o:spt="1" style="position:absolute;left:2199640;top:3989070;height:1105535;width:1268095;" filled="f" stroked="t" coordsize="21600,21600" o:gfxdata="UEsDBAoAAAAAAIdO4kAAAAAAAAAAAAAAAAAEAAAAZHJzL1BLAwQUAAAACACHTuJAVZEfA9MAAAAF&#10;AQAADwAAAGRycy9kb3ducmV2LnhtbE2PT0vEMBDF74LfIYzgRdxkpZbabboHccGT4K7gNZvMtsVk&#10;Upp0/3x7Ry96GWZ4w3u/16zPwYsjTmmIpGG5UCCQbHQDdRo+dpv7CkTKhpzxkVDDBROs2+urxtQu&#10;nugdj9vcCTahVBsNfc5jLWWyPQaTFnFEYu0Qp2Ayn1Mn3WRObB68fFCqlMEMxAm9GfG5R/u1nQOH&#10;2JdZ+Vf/tqHLZ5nLwk53VGl9e7NUKxAZz/nvGX7wGR1aZtrHmVwSXgMXyb+Ttap6LEDseSmeSpBt&#10;I//Tt99QSwMEFAAAAAgAh07iQCNddocEAgAABAQAAA4AAABkcnMvZTJvRG9jLnhtbK1TS27bMBDd&#10;F+gdCO5rSU7tWIblLOqmm6INkPYANElJBPgDh7bs0xTorofocYpeo0NKTZpk40W1oIbk45t5j8PN&#10;zclocpQBlLMNrWYlJdJyJ5TtGvr1y+2bFSUQmRVMOysbepZAb7avX20Gv5Zz1zstZCBIYmE9+Ib2&#10;Mfp1UQDvpWEwc15a3GxdMCziNHSFCGxAdqOLeVkui8EF4YPjEgBXd+MmnRjDJYSubRWXO8cPRto4&#10;sgapWURJ0CsPdJurbVvJ4+e2BRmJbigqjXnEJBjv01hsN2zdBeZ7xacS2CUlPNNkmLKY9IFqxyIj&#10;h6BeUBnFgwPXxhl3phiFZEdQRVU+8+a+Z15mLWg1+AfT4f/R8k/Hu0CUaOg1WmKZwRv//e3Hr5/f&#10;SVVfJ3sGD2tE3fu7MM0Aw6T11AaT/qiCnBo6r+p6+RZZzg29qld1iYzZXnmKhCOgmi9XZb2ghCOi&#10;qsrF4mqREMUjlQ8QP0hnSAoaGvD+sq3s+BHiCP0LSZmtu1Va5yTakqGh9WKe+Bn2ZYv9gKHxqA1s&#10;l2nAaSXSkXQYQrd/pwM5stQb+ZuqeQJL+XYM+hEnMBpVGRVlyKl7ycR7K0g8e3TP4quhqRYjBSVa&#10;4iNLUUZGpvQlSHREWzQmeT+6naK9E2e8rIMPquvRnSqXm3awObKNUyOn7vt3npkeH+/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RHwPTAAAABQEAAA8AAAAAAAAAAQAgAAAAIgAAAGRycy9kb3du&#10;cmV2LnhtbFBLAQIUABQAAAAIAIdO4kAjXXaHBAIAAAQEAAAOAAAAAAAAAAEAIAAAACIBAABkcnMv&#10;ZTJvRG9jLnhtbFBLBQYAAAAABgAGAFkBAACYBQAAAAA=&#10;">
                        <v:fill on="f" focussize="0,0"/>
                        <v:stroke color="#000000" joinstyle="miter" dashstyle="dash"/>
                        <v:imagedata o:title=""/>
                        <o:lock v:ext="edit" aspectratio="f"/>
                      </v:rect>
                      <w10:wrap type="none"/>
                      <w10:anchorlock/>
                    </v:group>
                  </w:pict>
                </mc:Fallback>
              </mc:AlternateContent>
            </w:r>
          </w:p>
          <w:p>
            <w:pPr>
              <w:pStyle w:val="17"/>
              <w:jc w:val="center"/>
              <w:rPr>
                <w:rFonts w:hint="eastAsia" w:cs="宋体"/>
                <w:b/>
                <w:color w:val="auto"/>
                <w:kern w:val="28"/>
                <w:sz w:val="24"/>
              </w:rPr>
            </w:pPr>
            <w:r>
              <w:rPr>
                <w:rFonts w:hint="eastAsia" w:cs="宋体"/>
                <w:b/>
                <w:color w:val="auto"/>
                <w:kern w:val="28"/>
                <w:sz w:val="24"/>
              </w:rPr>
              <w:t>图2-1  生产工艺流程及产污环节图</w:t>
            </w:r>
          </w:p>
          <w:p>
            <w:pPr>
              <w:spacing w:line="360" w:lineRule="auto"/>
              <w:ind w:firstLine="480" w:firstLineChars="200"/>
              <w:contextualSpacing/>
              <w:rPr>
                <w:b/>
                <w:bCs/>
                <w:color w:val="auto"/>
                <w:sz w:val="24"/>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b/>
                <w:bCs/>
                <w:color w:val="auto"/>
                <w:sz w:val="24"/>
              </w:rPr>
              <w:t>产排污环节分析：</w:t>
            </w:r>
          </w:p>
          <w:p>
            <w:pPr>
              <w:spacing w:line="360" w:lineRule="auto"/>
              <w:ind w:firstLine="480" w:firstLineChars="200"/>
              <w:contextualSpacing/>
              <w:rPr>
                <w:bCs/>
                <w:color w:val="auto"/>
                <w:sz w:val="24"/>
              </w:rPr>
            </w:pPr>
            <w:r>
              <w:rPr>
                <w:color w:val="auto"/>
                <w:sz w:val="24"/>
              </w:rPr>
              <w:t>本项目污染物主要为生产过程中产生的废气，员工生活污水，设备噪声，生产固废</w:t>
            </w:r>
            <w:r>
              <w:rPr>
                <w:bCs/>
                <w:color w:val="auto"/>
                <w:sz w:val="24"/>
              </w:rPr>
              <w:t>。</w:t>
            </w:r>
          </w:p>
          <w:p>
            <w:pPr>
              <w:spacing w:line="360" w:lineRule="auto"/>
              <w:ind w:firstLine="480" w:firstLineChars="200"/>
              <w:contextualSpacing/>
              <w:rPr>
                <w:bCs/>
                <w:color w:val="auto"/>
                <w:sz w:val="24"/>
              </w:rPr>
            </w:pPr>
            <w:r>
              <w:rPr>
                <w:bCs/>
                <w:color w:val="auto"/>
                <w:sz w:val="24"/>
              </w:rPr>
              <w:t>1、废气：</w:t>
            </w:r>
            <w:r>
              <w:rPr>
                <w:rFonts w:hint="eastAsia" w:eastAsiaTheme="minorEastAsia"/>
                <w:color w:val="auto"/>
                <w:sz w:val="24"/>
              </w:rPr>
              <w:t>铲装集堆</w:t>
            </w:r>
            <w:r>
              <w:rPr>
                <w:rFonts w:eastAsiaTheme="minorEastAsia"/>
                <w:color w:val="auto"/>
                <w:sz w:val="24"/>
              </w:rPr>
              <w:t>粉尘、</w:t>
            </w:r>
            <w:r>
              <w:rPr>
                <w:rFonts w:hint="eastAsia" w:eastAsiaTheme="minorEastAsia"/>
                <w:color w:val="auto"/>
                <w:sz w:val="24"/>
              </w:rPr>
              <w:t>堆场</w:t>
            </w:r>
            <w:r>
              <w:rPr>
                <w:rFonts w:eastAsiaTheme="minorEastAsia"/>
                <w:color w:val="auto"/>
                <w:sz w:val="24"/>
              </w:rPr>
              <w:t>粉尘、冷料仓上料粉尘、矿粉筒仓</w:t>
            </w:r>
            <w:r>
              <w:rPr>
                <w:rFonts w:eastAsiaTheme="minorEastAsia"/>
                <w:bCs/>
                <w:color w:val="auto"/>
                <w:sz w:val="24"/>
              </w:rPr>
              <w:t>装卸</w:t>
            </w:r>
            <w:r>
              <w:rPr>
                <w:rFonts w:eastAsiaTheme="minorEastAsia"/>
                <w:color w:val="auto"/>
                <w:sz w:val="24"/>
              </w:rPr>
              <w:t>粉尘、</w:t>
            </w:r>
            <w:r>
              <w:rPr>
                <w:bCs/>
                <w:color w:val="auto"/>
                <w:sz w:val="24"/>
              </w:rPr>
              <w:t>筛分粉尘、</w:t>
            </w:r>
            <w:r>
              <w:rPr>
                <w:rFonts w:eastAsiaTheme="minorEastAsia"/>
                <w:bCs/>
                <w:color w:val="auto"/>
                <w:sz w:val="24"/>
              </w:rPr>
              <w:t>碎石料</w:t>
            </w:r>
            <w:r>
              <w:rPr>
                <w:rFonts w:hint="eastAsia" w:eastAsiaTheme="minorEastAsia"/>
                <w:bCs/>
                <w:color w:val="auto"/>
                <w:sz w:val="24"/>
              </w:rPr>
              <w:t>烘干</w:t>
            </w:r>
            <w:r>
              <w:rPr>
                <w:rFonts w:eastAsiaTheme="minorEastAsia"/>
                <w:bCs/>
                <w:color w:val="auto"/>
                <w:sz w:val="24"/>
              </w:rPr>
              <w:t>产生的粉尘</w:t>
            </w:r>
            <w:r>
              <w:rPr>
                <w:bCs/>
                <w:color w:val="auto"/>
                <w:sz w:val="24"/>
              </w:rPr>
              <w:t>、</w:t>
            </w:r>
            <w:r>
              <w:rPr>
                <w:rFonts w:eastAsiaTheme="minorEastAsia"/>
                <w:bCs/>
                <w:color w:val="auto"/>
                <w:sz w:val="24"/>
              </w:rPr>
              <w:t>燃烧器烟气</w:t>
            </w:r>
            <w:r>
              <w:rPr>
                <w:bCs/>
                <w:color w:val="auto"/>
                <w:sz w:val="24"/>
              </w:rPr>
              <w:t>、</w:t>
            </w:r>
            <w:r>
              <w:rPr>
                <w:rFonts w:eastAsiaTheme="minorEastAsia"/>
                <w:color w:val="auto"/>
                <w:sz w:val="24"/>
              </w:rPr>
              <w:t>热料仓落料粉尘、</w:t>
            </w:r>
            <w:r>
              <w:rPr>
                <w:color w:val="auto"/>
                <w:sz w:val="24"/>
              </w:rPr>
              <w:t>搅拌机出料口</w:t>
            </w:r>
            <w:r>
              <w:rPr>
                <w:rFonts w:eastAsiaTheme="minorEastAsia"/>
                <w:bCs/>
                <w:color w:val="auto"/>
                <w:sz w:val="24"/>
              </w:rPr>
              <w:t>及</w:t>
            </w:r>
            <w:r>
              <w:rPr>
                <w:bCs/>
                <w:color w:val="auto"/>
                <w:sz w:val="24"/>
              </w:rPr>
              <w:t>沥青储罐呼吸口</w:t>
            </w:r>
            <w:r>
              <w:rPr>
                <w:rFonts w:eastAsiaTheme="minorEastAsia"/>
                <w:bCs/>
                <w:color w:val="auto"/>
                <w:sz w:val="24"/>
              </w:rPr>
              <w:t>产生沥青烟（主要为非甲烷总烃、沥青烟、</w:t>
            </w:r>
            <w:r>
              <w:rPr>
                <w:rFonts w:hint="eastAsia" w:eastAsiaTheme="minorEastAsia"/>
                <w:bCs/>
                <w:color w:val="auto"/>
                <w:sz w:val="24"/>
              </w:rPr>
              <w:t>苯并[a]芘</w:t>
            </w:r>
            <w:r>
              <w:rPr>
                <w:rFonts w:eastAsiaTheme="minorEastAsia"/>
                <w:bCs/>
                <w:color w:val="auto"/>
                <w:sz w:val="24"/>
              </w:rPr>
              <w:t>）、</w:t>
            </w:r>
            <w:r>
              <w:rPr>
                <w:rFonts w:eastAsiaTheme="minorEastAsia"/>
                <w:color w:val="auto"/>
                <w:kern w:val="0"/>
                <w:sz w:val="24"/>
              </w:rPr>
              <w:t>导热油炉烟气</w:t>
            </w:r>
            <w:r>
              <w:rPr>
                <w:rFonts w:hint="eastAsia" w:eastAsiaTheme="minorEastAsia"/>
                <w:color w:val="auto"/>
                <w:sz w:val="24"/>
              </w:rPr>
              <w:t>（主要为颗粒物、SO</w:t>
            </w:r>
            <w:r>
              <w:rPr>
                <w:rFonts w:hint="eastAsia" w:eastAsiaTheme="minorEastAsia"/>
                <w:color w:val="auto"/>
                <w:sz w:val="24"/>
                <w:vertAlign w:val="subscript"/>
              </w:rPr>
              <w:t>2</w:t>
            </w:r>
            <w:r>
              <w:rPr>
                <w:rFonts w:hint="eastAsia" w:eastAsiaTheme="minorEastAsia"/>
                <w:color w:val="auto"/>
                <w:sz w:val="24"/>
              </w:rPr>
              <w:t>、NOx、烟气黑度）</w:t>
            </w:r>
            <w:r>
              <w:rPr>
                <w:bCs/>
                <w:color w:val="auto"/>
                <w:sz w:val="24"/>
              </w:rPr>
              <w:t>。</w:t>
            </w:r>
          </w:p>
          <w:p>
            <w:pPr>
              <w:spacing w:line="360" w:lineRule="auto"/>
              <w:ind w:firstLine="480" w:firstLineChars="200"/>
              <w:contextualSpacing/>
              <w:rPr>
                <w:bCs/>
                <w:color w:val="auto"/>
                <w:sz w:val="24"/>
              </w:rPr>
            </w:pPr>
            <w:r>
              <w:rPr>
                <w:bCs/>
                <w:color w:val="auto"/>
                <w:sz w:val="24"/>
              </w:rPr>
              <w:t>2、废水：</w:t>
            </w:r>
            <w:r>
              <w:rPr>
                <w:rFonts w:hint="eastAsia"/>
                <w:bCs/>
                <w:color w:val="auto"/>
                <w:sz w:val="24"/>
                <w:lang w:val="en-US" w:eastAsia="zh-CN"/>
              </w:rPr>
              <w:t>设备及车辆清洗水（SS和石油类）</w:t>
            </w:r>
            <w:r>
              <w:rPr>
                <w:bCs/>
                <w:color w:val="auto"/>
                <w:sz w:val="24"/>
              </w:rPr>
              <w:t>。</w:t>
            </w:r>
          </w:p>
          <w:p>
            <w:pPr>
              <w:spacing w:line="360" w:lineRule="auto"/>
              <w:ind w:firstLine="480" w:firstLineChars="200"/>
              <w:contextualSpacing/>
              <w:rPr>
                <w:bCs/>
                <w:color w:val="auto"/>
                <w:sz w:val="24"/>
              </w:rPr>
            </w:pPr>
            <w:r>
              <w:rPr>
                <w:bCs/>
                <w:color w:val="auto"/>
                <w:sz w:val="24"/>
              </w:rPr>
              <w:t>3、噪声：主要噪声来自于筛分机、搅拌机、风机等设备。</w:t>
            </w:r>
          </w:p>
          <w:p>
            <w:pPr>
              <w:spacing w:line="360" w:lineRule="auto"/>
              <w:ind w:firstLine="480" w:firstLineChars="200"/>
              <w:contextualSpacing/>
              <w:rPr>
                <w:color w:val="auto"/>
              </w:rPr>
            </w:pPr>
            <w:r>
              <w:rPr>
                <w:bCs/>
                <w:color w:val="auto"/>
                <w:sz w:val="24"/>
              </w:rPr>
              <w:t>4、固废：生活垃圾、</w:t>
            </w:r>
            <w:r>
              <w:rPr>
                <w:rFonts w:hint="eastAsia" w:ascii="Times New Roman" w:hAnsi="Times New Roman" w:eastAsia="宋体" w:cs="Times New Roman"/>
                <w:bCs/>
                <w:color w:val="auto"/>
                <w:sz w:val="24"/>
              </w:rPr>
              <w:t>除尘</w:t>
            </w:r>
            <w:r>
              <w:rPr>
                <w:bCs/>
                <w:color w:val="auto"/>
                <w:sz w:val="24"/>
              </w:rPr>
              <w:t>系统收集的粉尘、废布袋、</w:t>
            </w:r>
            <w:r>
              <w:rPr>
                <w:rFonts w:hint="eastAsia"/>
                <w:color w:val="auto"/>
                <w:sz w:val="24"/>
                <w:lang w:val="en-US" w:eastAsia="zh-CN"/>
              </w:rPr>
              <w:t>废石块</w:t>
            </w:r>
            <w:r>
              <w:rPr>
                <w:color w:val="auto"/>
                <w:sz w:val="24"/>
              </w:rPr>
              <w:t>、</w:t>
            </w:r>
            <w:r>
              <w:rPr>
                <w:rFonts w:hint="eastAsia"/>
                <w:color w:val="auto"/>
                <w:sz w:val="24"/>
                <w:lang w:val="en-US" w:eastAsia="zh-CN"/>
              </w:rPr>
              <w:t>隔油</w:t>
            </w:r>
            <w:r>
              <w:rPr>
                <w:color w:val="auto"/>
                <w:sz w:val="24"/>
              </w:rPr>
              <w:t>池油污</w:t>
            </w:r>
            <w:r>
              <w:rPr>
                <w:rFonts w:hint="eastAsia"/>
                <w:color w:val="auto"/>
                <w:sz w:val="24"/>
              </w:rPr>
              <w:t>、</w:t>
            </w:r>
            <w:r>
              <w:rPr>
                <w:bCs/>
                <w:color w:val="auto"/>
                <w:sz w:val="24"/>
              </w:rPr>
              <w:t>废油桶、废导热油、废</w:t>
            </w:r>
            <w:r>
              <w:rPr>
                <w:rFonts w:hint="eastAsia"/>
                <w:color w:val="auto"/>
                <w:sz w:val="24"/>
              </w:rPr>
              <w:t>活性</w:t>
            </w:r>
            <w:r>
              <w:rPr>
                <w:bCs/>
                <w:color w:val="auto"/>
                <w:sz w:val="24"/>
              </w:rPr>
              <w:t>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467" w:type="pct"/>
            <w:vAlign w:val="center"/>
          </w:tcPr>
          <w:p>
            <w:pPr>
              <w:pStyle w:val="29"/>
              <w:adjustRightInd w:val="0"/>
              <w:snapToGrid w:val="0"/>
              <w:spacing w:before="0" w:beforeAutospacing="0" w:after="0" w:afterAutospacing="0"/>
              <w:jc w:val="center"/>
              <w:rPr>
                <w:rFonts w:ascii="Times New Roman" w:hAnsi="Times New Roman"/>
                <w:color w:val="auto"/>
                <w:szCs w:val="21"/>
              </w:rPr>
            </w:pPr>
            <w:r>
              <w:rPr>
                <w:rFonts w:ascii="Times New Roman" w:hAnsi="Times New Roman"/>
                <w:bCs/>
                <w:color w:val="auto"/>
                <w:kern w:val="2"/>
                <w:szCs w:val="21"/>
              </w:rPr>
              <w:t>与项目有关的原有环境污染问题</w:t>
            </w:r>
          </w:p>
        </w:tc>
        <w:tc>
          <w:tcPr>
            <w:tcW w:w="4532" w:type="pct"/>
          </w:tcPr>
          <w:p>
            <w:pPr>
              <w:spacing w:line="360" w:lineRule="auto"/>
              <w:ind w:firstLine="480" w:firstLineChars="200"/>
              <w:contextualSpacing/>
              <w:rPr>
                <w:rFonts w:hint="eastAsia"/>
                <w:bCs/>
                <w:color w:val="auto"/>
                <w:sz w:val="24"/>
                <w:lang w:val="en-US" w:eastAsia="zh-CN"/>
              </w:rPr>
            </w:pPr>
            <w:r>
              <w:rPr>
                <w:rFonts w:hint="eastAsia"/>
                <w:bCs/>
                <w:color w:val="auto"/>
                <w:sz w:val="24"/>
              </w:rPr>
              <w:t>伊春市交通路桥建筑有限责任公司</w:t>
            </w:r>
            <w:r>
              <w:rPr>
                <w:rFonts w:hint="eastAsia"/>
                <w:bCs/>
                <w:color w:val="auto"/>
                <w:sz w:val="24"/>
                <w:lang w:val="en-US" w:eastAsia="zh-CN"/>
              </w:rPr>
              <w:t>于2007年委托编制了《</w:t>
            </w:r>
            <w:r>
              <w:rPr>
                <w:rFonts w:hint="eastAsia"/>
                <w:bCs/>
                <w:color w:val="auto"/>
                <w:sz w:val="24"/>
              </w:rPr>
              <w:t>伊春市交通路桥建筑有限责任公司办公楼及沥青搅拌站异地新建工程环境影响报告表</w:t>
            </w:r>
            <w:r>
              <w:rPr>
                <w:rFonts w:hint="eastAsia"/>
                <w:bCs/>
                <w:color w:val="auto"/>
                <w:sz w:val="24"/>
                <w:lang w:val="en-US" w:eastAsia="zh-CN"/>
              </w:rPr>
              <w:t>》，伊春市环境保护局于2007年9月12日以《</w:t>
            </w:r>
            <w:r>
              <w:rPr>
                <w:rFonts w:hint="eastAsia"/>
                <w:bCs/>
                <w:color w:val="auto"/>
                <w:sz w:val="24"/>
              </w:rPr>
              <w:t>伊春市交通路桥建筑有限责任公司办公楼及沥青搅拌站异地新建工程环境影响报告表的批复</w:t>
            </w:r>
            <w:r>
              <w:rPr>
                <w:rFonts w:hint="eastAsia"/>
                <w:bCs/>
                <w:color w:val="auto"/>
                <w:sz w:val="24"/>
                <w:lang w:val="en-US" w:eastAsia="zh-CN"/>
              </w:rPr>
              <w:t>》批复该环评，批复文号为伊环建审[2007]96号。</w:t>
            </w:r>
          </w:p>
          <w:p>
            <w:pPr>
              <w:spacing w:line="360" w:lineRule="auto"/>
              <w:ind w:firstLine="480" w:firstLineChars="200"/>
              <w:contextualSpacing/>
              <w:rPr>
                <w:rFonts w:hint="eastAsia"/>
                <w:bCs/>
                <w:color w:val="auto"/>
                <w:sz w:val="24"/>
                <w:lang w:val="en-US" w:eastAsia="zh-CN"/>
              </w:rPr>
            </w:pPr>
            <w:r>
              <w:rPr>
                <w:rFonts w:hint="eastAsia"/>
                <w:bCs/>
                <w:color w:val="auto"/>
                <w:sz w:val="24"/>
              </w:rPr>
              <w:t>伊春市交通路桥建筑有限责任公司</w:t>
            </w:r>
            <w:r>
              <w:rPr>
                <w:rFonts w:hint="eastAsia"/>
                <w:bCs/>
                <w:color w:val="auto"/>
                <w:sz w:val="24"/>
                <w:lang w:val="en-US" w:eastAsia="zh-CN"/>
              </w:rPr>
              <w:t>于2011年委托编制了《</w:t>
            </w:r>
            <w:r>
              <w:rPr>
                <w:rFonts w:hint="eastAsia"/>
                <w:bCs/>
                <w:color w:val="auto"/>
                <w:sz w:val="24"/>
              </w:rPr>
              <w:t>伊春市交通路桥建筑有限责任公司办公楼及沥青搅拌站异地新建工程</w:t>
            </w:r>
            <w:r>
              <w:rPr>
                <w:rFonts w:hint="eastAsia"/>
                <w:bCs/>
                <w:color w:val="auto"/>
                <w:sz w:val="24"/>
                <w:lang w:val="en-US" w:eastAsia="zh-CN"/>
              </w:rPr>
              <w:t>竣工环境保护验收监测报告》，伊春市环境保护局于2011年9月13日以《</w:t>
            </w:r>
            <w:r>
              <w:rPr>
                <w:rFonts w:hint="eastAsia"/>
                <w:bCs/>
                <w:color w:val="auto"/>
                <w:sz w:val="24"/>
              </w:rPr>
              <w:t>伊春市交通路桥建筑有限责任公司办公楼及沥青搅拌站异地新建工程</w:t>
            </w:r>
            <w:r>
              <w:rPr>
                <w:rFonts w:hint="eastAsia"/>
                <w:bCs/>
                <w:color w:val="auto"/>
                <w:sz w:val="24"/>
                <w:lang w:val="en-US" w:eastAsia="zh-CN"/>
              </w:rPr>
              <w:t>竣工环境保护验收申请</w:t>
            </w:r>
            <w:r>
              <w:rPr>
                <w:rFonts w:hint="eastAsia"/>
                <w:bCs/>
                <w:color w:val="auto"/>
                <w:sz w:val="24"/>
              </w:rPr>
              <w:t>的批复</w:t>
            </w:r>
            <w:r>
              <w:rPr>
                <w:rFonts w:hint="eastAsia"/>
                <w:bCs/>
                <w:color w:val="auto"/>
                <w:sz w:val="24"/>
                <w:lang w:val="en-US" w:eastAsia="zh-CN"/>
              </w:rPr>
              <w:t>》批复该验收，批复文号为伊环验[2011]41号。</w:t>
            </w:r>
          </w:p>
          <w:p>
            <w:pPr>
              <w:spacing w:line="360" w:lineRule="auto"/>
              <w:ind w:firstLine="480" w:firstLineChars="200"/>
              <w:contextualSpacing/>
              <w:rPr>
                <w:rFonts w:hint="eastAsia"/>
                <w:bCs/>
                <w:color w:val="auto"/>
                <w:sz w:val="24"/>
                <w:lang w:val="en-US" w:eastAsia="zh-CN"/>
              </w:rPr>
            </w:pPr>
            <w:r>
              <w:rPr>
                <w:rFonts w:hint="eastAsia"/>
                <w:bCs/>
                <w:color w:val="auto"/>
                <w:sz w:val="24"/>
              </w:rPr>
              <w:t>伊春市交通路桥建筑有限责任公司</w:t>
            </w:r>
            <w:r>
              <w:rPr>
                <w:rFonts w:hint="eastAsia"/>
                <w:bCs/>
                <w:color w:val="auto"/>
                <w:sz w:val="24"/>
                <w:lang w:val="en-US" w:eastAsia="zh-CN"/>
              </w:rPr>
              <w:t>于2021年9月30日取得排污许可证，编号</w:t>
            </w:r>
            <w:r>
              <w:rPr>
                <w:rFonts w:hint="default"/>
                <w:bCs/>
                <w:color w:val="auto"/>
                <w:sz w:val="24"/>
                <w:lang w:val="en-US"/>
              </w:rPr>
              <w:t>91230700702674755C001Q</w:t>
            </w:r>
            <w:r>
              <w:rPr>
                <w:rFonts w:hint="eastAsia"/>
                <w:bCs/>
                <w:color w:val="auto"/>
                <w:sz w:val="24"/>
                <w:lang w:val="en-US" w:eastAsia="zh-CN"/>
              </w:rPr>
              <w:t>。</w:t>
            </w:r>
          </w:p>
          <w:p>
            <w:pPr>
              <w:spacing w:line="360" w:lineRule="auto"/>
              <w:ind w:firstLine="480" w:firstLineChars="200"/>
              <w:contextualSpacing/>
              <w:rPr>
                <w:rFonts w:hint="eastAsia"/>
                <w:bCs/>
                <w:color w:val="auto"/>
                <w:sz w:val="24"/>
                <w:lang w:val="en-US" w:eastAsia="zh-CN"/>
              </w:rPr>
            </w:pPr>
            <w:r>
              <w:rPr>
                <w:rFonts w:hint="eastAsia"/>
                <w:bCs/>
                <w:color w:val="auto"/>
                <w:sz w:val="24"/>
                <w:lang w:val="en-US" w:eastAsia="zh-CN"/>
              </w:rPr>
              <w:t>一、现有厂区主要建设内容如下：</w:t>
            </w:r>
          </w:p>
          <w:p>
            <w:pPr>
              <w:adjustRightInd w:val="0"/>
              <w:jc w:val="center"/>
              <w:rPr>
                <w:color w:val="auto"/>
              </w:rPr>
            </w:pPr>
            <w:r>
              <w:rPr>
                <w:rFonts w:eastAsia="黑体"/>
                <w:bCs/>
                <w:color w:val="auto"/>
                <w:sz w:val="24"/>
              </w:rPr>
              <w:t xml:space="preserve">表2-1 </w:t>
            </w:r>
            <w:r>
              <w:rPr>
                <w:rFonts w:hint="eastAsia" w:eastAsia="黑体"/>
                <w:bCs/>
                <w:color w:val="auto"/>
                <w:sz w:val="24"/>
                <w:lang w:val="en-US" w:eastAsia="zh-CN"/>
              </w:rPr>
              <w:t>原有项目</w:t>
            </w:r>
            <w:r>
              <w:rPr>
                <w:rFonts w:eastAsia="黑体"/>
                <w:bCs/>
                <w:color w:val="auto"/>
                <w:sz w:val="24"/>
              </w:rPr>
              <w:t>建设内容一览表</w:t>
            </w:r>
          </w:p>
          <w:tbl>
            <w:tblPr>
              <w:tblStyle w:val="3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849"/>
              <w:gridCol w:w="5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项目名称</w:t>
                  </w:r>
                </w:p>
              </w:tc>
              <w:tc>
                <w:tcPr>
                  <w:tcW w:w="104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建设情况</w:t>
                  </w:r>
                </w:p>
              </w:tc>
              <w:tc>
                <w:tcPr>
                  <w:tcW w:w="3204" w:type="pct"/>
                  <w:shd w:val="clear" w:color="auto" w:fill="FFFFFF"/>
                  <w:vAlign w:val="center"/>
                </w:tcPr>
                <w:p>
                  <w:pPr>
                    <w:adjustRightInd w:val="0"/>
                    <w:snapToGrid w:val="0"/>
                    <w:jc w:val="center"/>
                    <w:rPr>
                      <w:color w:val="auto"/>
                      <w:szCs w:val="21"/>
                    </w:rPr>
                  </w:pPr>
                  <w:r>
                    <w:rPr>
                      <w:color w:val="auto"/>
                      <w:szCs w:val="21"/>
                    </w:rPr>
                    <w:t>本工程建设内容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5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主体工程</w:t>
                  </w:r>
                </w:p>
              </w:tc>
              <w:tc>
                <w:tcPr>
                  <w:tcW w:w="1042" w:type="pct"/>
                  <w:shd w:val="clear" w:color="auto" w:fill="FFFFFF"/>
                  <w:vAlign w:val="center"/>
                </w:tcPr>
                <w:p>
                  <w:pPr>
                    <w:adjustRightInd w:val="0"/>
                    <w:snapToGrid w:val="0"/>
                    <w:jc w:val="center"/>
                    <w:textAlignment w:val="center"/>
                    <w:rPr>
                      <w:bCs/>
                      <w:color w:val="auto"/>
                      <w:kern w:val="0"/>
                      <w:szCs w:val="21"/>
                    </w:rPr>
                  </w:pPr>
                  <w:r>
                    <w:rPr>
                      <w:rFonts w:hint="eastAsia"/>
                      <w:bCs/>
                      <w:color w:val="auto"/>
                      <w:kern w:val="0"/>
                      <w:szCs w:val="21"/>
                    </w:rPr>
                    <w:t>沥青混凝土生产线</w:t>
                  </w:r>
                </w:p>
              </w:tc>
              <w:tc>
                <w:tcPr>
                  <w:tcW w:w="3204" w:type="pct"/>
                  <w:shd w:val="clear" w:color="auto" w:fill="FFFFFF"/>
                  <w:vAlign w:val="center"/>
                </w:tcPr>
                <w:p>
                  <w:pPr>
                    <w:widowControl/>
                    <w:rPr>
                      <w:color w:val="auto"/>
                      <w:szCs w:val="21"/>
                    </w:rPr>
                  </w:pPr>
                  <w:r>
                    <w:rPr>
                      <w:rFonts w:hint="eastAsia"/>
                      <w:color w:val="auto"/>
                      <w:szCs w:val="21"/>
                    </w:rPr>
                    <w:t>建设1条沥青混凝土生产线，设备型号为</w:t>
                  </w:r>
                  <w:r>
                    <w:rPr>
                      <w:rFonts w:hint="eastAsia" w:ascii="宋体" w:hAnsi="宋体" w:eastAsia="宋体" w:cs="宋体"/>
                      <w:b w:val="0"/>
                      <w:bCs w:val="0"/>
                      <w:color w:val="auto"/>
                      <w:sz w:val="21"/>
                      <w:szCs w:val="21"/>
                      <w:lang w:val="en-US" w:eastAsia="zh-CN"/>
                    </w:rPr>
                    <w:t>LJ4000型</w:t>
                  </w:r>
                  <w:r>
                    <w:rPr>
                      <w:rFonts w:hint="eastAsia"/>
                      <w:color w:val="auto"/>
                      <w:szCs w:val="21"/>
                      <w:highlight w:val="none"/>
                      <w:lang w:val="en-US" w:eastAsia="zh-CN"/>
                    </w:rPr>
                    <w:t>沥青拌合站</w:t>
                  </w:r>
                  <w:r>
                    <w:rPr>
                      <w:rFonts w:hint="eastAsia" w:hAnsi="宋体"/>
                      <w:bCs/>
                      <w:color w:val="auto"/>
                      <w:szCs w:val="21"/>
                    </w:rPr>
                    <w:t>，年产</w:t>
                  </w:r>
                  <w:r>
                    <w:rPr>
                      <w:rFonts w:hint="eastAsia"/>
                      <w:color w:val="auto"/>
                      <w:szCs w:val="21"/>
                    </w:rPr>
                    <w:t>沥青混凝土</w:t>
                  </w:r>
                  <w:r>
                    <w:rPr>
                      <w:rFonts w:hint="eastAsia"/>
                      <w:color w:val="auto"/>
                      <w:szCs w:val="21"/>
                      <w:lang w:val="en-US" w:eastAsia="zh-CN"/>
                    </w:rPr>
                    <w:t>1</w:t>
                  </w:r>
                  <w:r>
                    <w:rPr>
                      <w:rFonts w:hint="eastAsia"/>
                      <w:color w:val="auto"/>
                      <w:szCs w:val="21"/>
                    </w:rPr>
                    <w:t>万t/a</w:t>
                  </w:r>
                  <w:r>
                    <w:rPr>
                      <w:rFonts w:hint="eastAsia" w:hAnsi="宋体"/>
                      <w:bCs/>
                      <w:color w:val="auto"/>
                      <w:szCs w:val="21"/>
                    </w:rPr>
                    <w:t>。</w:t>
                  </w:r>
                  <w:r>
                    <w:rPr>
                      <w:rFonts w:eastAsiaTheme="minorEastAsia"/>
                      <w:color w:val="auto"/>
                      <w:szCs w:val="21"/>
                    </w:rPr>
                    <w:t>包括上料口、传送带、搅拌设施，设置</w:t>
                  </w:r>
                  <w:r>
                    <w:rPr>
                      <w:rFonts w:hint="eastAsia" w:eastAsiaTheme="minorEastAsia"/>
                      <w:color w:val="auto"/>
                      <w:szCs w:val="21"/>
                      <w:lang w:val="en-US" w:eastAsia="zh-CN"/>
                    </w:rPr>
                    <w:t>1</w:t>
                  </w:r>
                  <w:r>
                    <w:rPr>
                      <w:rFonts w:eastAsiaTheme="minorEastAsia"/>
                      <w:color w:val="auto"/>
                      <w:szCs w:val="21"/>
                    </w:rPr>
                    <w:t>个</w:t>
                  </w:r>
                  <w:r>
                    <w:rPr>
                      <w:rFonts w:hint="eastAsia" w:eastAsiaTheme="minorEastAsia"/>
                      <w:bCs/>
                      <w:color w:val="auto"/>
                      <w:szCs w:val="21"/>
                      <w:lang w:val="en-US" w:eastAsia="zh-CN"/>
                    </w:rPr>
                    <w:t>烘干</w:t>
                  </w:r>
                  <w:r>
                    <w:rPr>
                      <w:rFonts w:eastAsiaTheme="minorEastAsia"/>
                      <w:bCs/>
                      <w:color w:val="auto"/>
                      <w:szCs w:val="21"/>
                    </w:rPr>
                    <w:t>筒，</w:t>
                  </w:r>
                  <w:r>
                    <w:rPr>
                      <w:rFonts w:hint="eastAsia" w:eastAsiaTheme="minorEastAsia"/>
                      <w:bCs/>
                      <w:color w:val="auto"/>
                      <w:szCs w:val="21"/>
                      <w:lang w:val="en-US" w:eastAsia="zh-CN"/>
                    </w:rPr>
                    <w:t>骨料烘干</w:t>
                  </w:r>
                  <w:r>
                    <w:rPr>
                      <w:rFonts w:eastAsiaTheme="minorEastAsia"/>
                      <w:bCs/>
                      <w:color w:val="auto"/>
                      <w:szCs w:val="21"/>
                    </w:rPr>
                    <w:t>热量由1台</w:t>
                  </w:r>
                  <w:r>
                    <w:rPr>
                      <w:rFonts w:hint="eastAsia" w:eastAsiaTheme="minorEastAsia"/>
                      <w:bCs/>
                      <w:color w:val="auto"/>
                      <w:szCs w:val="21"/>
                      <w:lang w:val="en-US" w:eastAsia="zh-CN"/>
                    </w:rPr>
                    <w:t>主</w:t>
                  </w:r>
                  <w:r>
                    <w:rPr>
                      <w:rFonts w:eastAsiaTheme="minorEastAsia"/>
                      <w:bCs/>
                      <w:color w:val="auto"/>
                      <w:szCs w:val="21"/>
                    </w:rPr>
                    <w:t>燃烧器提供，</w:t>
                  </w:r>
                  <w:r>
                    <w:rPr>
                      <w:rFonts w:hint="eastAsia" w:eastAsiaTheme="minorEastAsia"/>
                      <w:bCs/>
                      <w:color w:val="auto"/>
                      <w:szCs w:val="21"/>
                      <w:lang w:val="en-US" w:eastAsia="zh-CN"/>
                    </w:rPr>
                    <w:t>燃料为</w:t>
                  </w:r>
                  <w:r>
                    <w:rPr>
                      <w:rFonts w:hint="eastAsia"/>
                      <w:color w:val="auto"/>
                      <w:sz w:val="21"/>
                      <w:szCs w:val="21"/>
                      <w:highlight w:val="none"/>
                      <w:lang w:val="en-US" w:eastAsia="zh-CN"/>
                    </w:rPr>
                    <w:t>煤粉</w:t>
                  </w:r>
                  <w:r>
                    <w:rPr>
                      <w:rFonts w:eastAsiaTheme="minor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2" w:type="pct"/>
                  <w:vMerge w:val="restart"/>
                  <w:shd w:val="clear" w:color="auto" w:fill="FFFFFF"/>
                  <w:vAlign w:val="center"/>
                </w:tcPr>
                <w:p>
                  <w:pPr>
                    <w:pStyle w:val="112"/>
                    <w:widowControl w:val="0"/>
                    <w:tabs>
                      <w:tab w:val="left" w:pos="6480"/>
                    </w:tabs>
                    <w:adjustRightInd w:val="0"/>
                    <w:snapToGrid w:val="0"/>
                    <w:jc w:val="center"/>
                    <w:textAlignment w:val="center"/>
                    <w:rPr>
                      <w:color w:val="auto"/>
                      <w:szCs w:val="21"/>
                    </w:rPr>
                  </w:pPr>
                  <w:r>
                    <w:rPr>
                      <w:rFonts w:hint="eastAsia"/>
                      <w:color w:val="auto"/>
                      <w:szCs w:val="21"/>
                    </w:rPr>
                    <w:t>储运工程</w:t>
                  </w:r>
                </w:p>
              </w:tc>
              <w:tc>
                <w:tcPr>
                  <w:tcW w:w="1042" w:type="pct"/>
                  <w:shd w:val="clear" w:color="auto" w:fill="FFFFFF"/>
                  <w:vAlign w:val="center"/>
                </w:tcPr>
                <w:p>
                  <w:pPr>
                    <w:adjustRightInd w:val="0"/>
                    <w:snapToGrid w:val="0"/>
                    <w:jc w:val="center"/>
                    <w:textAlignment w:val="center"/>
                    <w:rPr>
                      <w:bCs/>
                      <w:color w:val="auto"/>
                      <w:kern w:val="0"/>
                      <w:szCs w:val="21"/>
                    </w:rPr>
                  </w:pPr>
                  <w:r>
                    <w:rPr>
                      <w:rFonts w:hint="eastAsia"/>
                      <w:bCs/>
                      <w:color w:val="auto"/>
                      <w:kern w:val="0"/>
                      <w:szCs w:val="21"/>
                    </w:rPr>
                    <w:t>原料堆场</w:t>
                  </w:r>
                </w:p>
              </w:tc>
              <w:tc>
                <w:tcPr>
                  <w:tcW w:w="3204" w:type="pct"/>
                  <w:shd w:val="clear" w:color="auto" w:fill="FFFFFF"/>
                  <w:vAlign w:val="center"/>
                </w:tcPr>
                <w:p>
                  <w:pPr>
                    <w:pStyle w:val="173"/>
                    <w:adjustRightInd w:val="0"/>
                    <w:snapToGrid w:val="0"/>
                    <w:spacing w:line="240" w:lineRule="auto"/>
                    <w:jc w:val="both"/>
                    <w:textAlignment w:val="center"/>
                    <w:rPr>
                      <w:rFonts w:ascii="Times New Roman" w:hAnsi="Times New Roman"/>
                      <w:color w:val="auto"/>
                      <w:sz w:val="21"/>
                      <w:szCs w:val="21"/>
                    </w:rPr>
                  </w:pPr>
                  <w:r>
                    <w:rPr>
                      <w:rFonts w:cs="宋体"/>
                      <w:color w:val="auto"/>
                      <w:spacing w:val="-8"/>
                      <w:sz w:val="21"/>
                      <w:szCs w:val="21"/>
                    </w:rPr>
                    <w:t>建</w:t>
                  </w:r>
                  <w:r>
                    <w:rPr>
                      <w:rFonts w:cs="宋体"/>
                      <w:color w:val="auto"/>
                      <w:spacing w:val="-4"/>
                      <w:sz w:val="21"/>
                      <w:szCs w:val="21"/>
                    </w:rPr>
                    <w:t>筑面积</w:t>
                  </w:r>
                  <w:r>
                    <w:rPr>
                      <w:rFonts w:hint="eastAsia" w:ascii="Times New Roman" w:hAnsi="Times New Roman"/>
                      <w:color w:val="auto"/>
                      <w:spacing w:val="-4"/>
                      <w:sz w:val="21"/>
                      <w:szCs w:val="21"/>
                      <w:highlight w:val="none"/>
                      <w:lang w:val="en-US" w:eastAsia="zh-CN"/>
                    </w:rPr>
                    <w:t>6</w:t>
                  </w:r>
                  <w:r>
                    <w:rPr>
                      <w:rFonts w:hint="eastAsia" w:ascii="Times New Roman" w:hAnsi="Times New Roman"/>
                      <w:color w:val="auto"/>
                      <w:spacing w:val="-4"/>
                      <w:sz w:val="21"/>
                      <w:szCs w:val="21"/>
                      <w:highlight w:val="none"/>
                    </w:rPr>
                    <w:t>0</w:t>
                  </w:r>
                  <w:r>
                    <w:rPr>
                      <w:rFonts w:ascii="Times New Roman" w:hAnsi="Times New Roman" w:eastAsia="Times New Roman"/>
                      <w:color w:val="auto"/>
                      <w:spacing w:val="-4"/>
                      <w:sz w:val="21"/>
                      <w:szCs w:val="21"/>
                      <w:highlight w:val="none"/>
                    </w:rPr>
                    <w:t>00m</w:t>
                  </w:r>
                  <w:r>
                    <w:rPr>
                      <w:rFonts w:ascii="Times New Roman" w:hAnsi="Times New Roman" w:eastAsia="Times New Roman"/>
                      <w:color w:val="auto"/>
                      <w:spacing w:val="-4"/>
                      <w:position w:val="7"/>
                      <w:sz w:val="14"/>
                      <w:szCs w:val="14"/>
                      <w:highlight w:val="none"/>
                    </w:rPr>
                    <w:t>2</w:t>
                  </w:r>
                  <w:r>
                    <w:rPr>
                      <w:rFonts w:cs="宋体"/>
                      <w:color w:val="auto"/>
                      <w:spacing w:val="-4"/>
                      <w:sz w:val="21"/>
                      <w:szCs w:val="21"/>
                    </w:rPr>
                    <w:t>，主要用于原料碎石</w:t>
                  </w:r>
                  <w:r>
                    <w:rPr>
                      <w:rFonts w:hint="eastAsia" w:cs="宋体"/>
                      <w:color w:val="auto"/>
                      <w:spacing w:val="-4"/>
                      <w:sz w:val="21"/>
                      <w:szCs w:val="21"/>
                      <w:lang w:eastAsia="zh-CN"/>
                    </w:rPr>
                    <w:t>、</w:t>
                  </w:r>
                  <w:r>
                    <w:rPr>
                      <w:rFonts w:hint="eastAsia" w:cs="宋体"/>
                      <w:color w:val="auto"/>
                      <w:spacing w:val="-4"/>
                      <w:sz w:val="21"/>
                      <w:szCs w:val="21"/>
                      <w:lang w:val="en-US" w:eastAsia="zh-CN"/>
                    </w:rPr>
                    <w:t>机制砂</w:t>
                  </w:r>
                  <w:r>
                    <w:rPr>
                      <w:rFonts w:cs="宋体"/>
                      <w:color w:val="auto"/>
                      <w:spacing w:val="-4"/>
                      <w:sz w:val="21"/>
                      <w:szCs w:val="21"/>
                    </w:rPr>
                    <w:t>存储，露天堆放，</w:t>
                  </w:r>
                  <w:r>
                    <w:rPr>
                      <w:rFonts w:hint="eastAsia" w:cs="宋体"/>
                      <w:color w:val="auto"/>
                      <w:spacing w:val="-4"/>
                      <w:sz w:val="21"/>
                      <w:szCs w:val="21"/>
                      <w:lang w:val="en-US" w:eastAsia="zh-CN"/>
                    </w:rPr>
                    <w:t>堆场利用</w:t>
                  </w:r>
                  <w:r>
                    <w:rPr>
                      <w:rFonts w:hint="eastAsia" w:cs="宋体"/>
                      <w:strike w:val="0"/>
                      <w:dstrike w:val="0"/>
                      <w:color w:val="auto"/>
                      <w:sz w:val="21"/>
                      <w:szCs w:val="21"/>
                      <w:highlight w:val="none"/>
                      <w:lang w:val="en-US" w:eastAsia="zh-CN"/>
                    </w:rPr>
                    <w:t>8米高雨棚</w:t>
                  </w:r>
                  <w:r>
                    <w:rPr>
                      <w:rFonts w:hint="eastAsia" w:ascii="宋体" w:hAnsi="宋体" w:eastAsia="宋体" w:cs="宋体"/>
                      <w:strike w:val="0"/>
                      <w:dstrike w:val="0"/>
                      <w:color w:val="auto"/>
                      <w:sz w:val="21"/>
                      <w:szCs w:val="21"/>
                      <w:lang w:val="en-US" w:eastAsia="zh-CN"/>
                    </w:rPr>
                    <w:t>,并采用</w:t>
                  </w:r>
                  <w:r>
                    <w:rPr>
                      <w:rFonts w:hint="eastAsia" w:cs="宋体"/>
                      <w:color w:val="auto"/>
                      <w:spacing w:val="-1"/>
                      <w:sz w:val="21"/>
                      <w:szCs w:val="21"/>
                      <w:lang w:val="en-US" w:eastAsia="zh-CN"/>
                    </w:rPr>
                    <w:t>定期洒水降尘</w:t>
                  </w:r>
                  <w:r>
                    <w:rPr>
                      <w:rFonts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rFonts w:hint="eastAsia"/>
                      <w:color w:val="auto"/>
                      <w:szCs w:val="21"/>
                    </w:rPr>
                  </w:pPr>
                </w:p>
              </w:tc>
              <w:tc>
                <w:tcPr>
                  <w:tcW w:w="1042" w:type="pct"/>
                  <w:shd w:val="clear" w:color="auto" w:fill="FFFFFF"/>
                  <w:vAlign w:val="center"/>
                </w:tcPr>
                <w:p>
                  <w:pPr>
                    <w:adjustRightInd w:val="0"/>
                    <w:snapToGrid w:val="0"/>
                    <w:jc w:val="center"/>
                    <w:textAlignment w:val="center"/>
                    <w:rPr>
                      <w:rFonts w:hint="default" w:eastAsia="宋体"/>
                      <w:bCs/>
                      <w:color w:val="auto"/>
                      <w:kern w:val="0"/>
                      <w:szCs w:val="21"/>
                      <w:lang w:val="en-US" w:eastAsia="zh-CN"/>
                    </w:rPr>
                  </w:pPr>
                  <w:r>
                    <w:rPr>
                      <w:rFonts w:hint="eastAsia"/>
                      <w:bCs/>
                      <w:color w:val="auto"/>
                      <w:kern w:val="0"/>
                      <w:szCs w:val="21"/>
                      <w:highlight w:val="none"/>
                      <w:lang w:val="en-US" w:eastAsia="zh-CN"/>
                    </w:rPr>
                    <w:t>危废贮存点</w:t>
                  </w:r>
                </w:p>
              </w:tc>
              <w:tc>
                <w:tcPr>
                  <w:tcW w:w="3204" w:type="pct"/>
                  <w:shd w:val="clear" w:color="auto" w:fill="FFFFFF"/>
                  <w:vAlign w:val="center"/>
                </w:tcPr>
                <w:p>
                  <w:pPr>
                    <w:pStyle w:val="173"/>
                    <w:adjustRightInd w:val="0"/>
                    <w:snapToGrid w:val="0"/>
                    <w:spacing w:line="240" w:lineRule="auto"/>
                    <w:jc w:val="both"/>
                    <w:textAlignment w:val="center"/>
                    <w:rPr>
                      <w:rFonts w:hint="eastAsia" w:eastAsia="宋体" w:cs="宋体"/>
                      <w:color w:val="auto"/>
                      <w:spacing w:val="-8"/>
                      <w:sz w:val="21"/>
                      <w:szCs w:val="21"/>
                      <w:lang w:eastAsia="zh-CN"/>
                    </w:rPr>
                  </w:pPr>
                  <w:r>
                    <w:rPr>
                      <w:rFonts w:hint="eastAsia"/>
                      <w:color w:val="auto"/>
                      <w:sz w:val="21"/>
                      <w:szCs w:val="21"/>
                    </w:rPr>
                    <w:t>建设危废</w:t>
                  </w:r>
                  <w:r>
                    <w:rPr>
                      <w:rFonts w:hint="eastAsia"/>
                      <w:color w:val="auto"/>
                      <w:sz w:val="21"/>
                      <w:szCs w:val="21"/>
                      <w:lang w:val="en-US" w:eastAsia="zh-CN"/>
                    </w:rPr>
                    <w:t>贮存点</w:t>
                  </w:r>
                  <w:r>
                    <w:rPr>
                      <w:rFonts w:hint="eastAsia"/>
                      <w:color w:val="auto"/>
                      <w:sz w:val="21"/>
                      <w:szCs w:val="21"/>
                    </w:rPr>
                    <w:t>建筑面积为</w:t>
                  </w:r>
                  <w:r>
                    <w:rPr>
                      <w:rFonts w:hint="eastAsia"/>
                      <w:color w:val="auto"/>
                      <w:sz w:val="21"/>
                      <w:szCs w:val="21"/>
                      <w:lang w:val="en-US" w:eastAsia="zh-CN"/>
                    </w:rPr>
                    <w:t>2</w:t>
                  </w:r>
                  <w:r>
                    <w:rPr>
                      <w:rFonts w:hint="eastAsia"/>
                      <w:color w:val="auto"/>
                      <w:sz w:val="21"/>
                      <w:szCs w:val="21"/>
                    </w:rPr>
                    <w:t>5m</w:t>
                  </w:r>
                  <w:r>
                    <w:rPr>
                      <w:rFonts w:hint="eastAsia"/>
                      <w:color w:val="auto"/>
                      <w:sz w:val="21"/>
                      <w:szCs w:val="21"/>
                      <w:vertAlign w:val="superscript"/>
                    </w:rPr>
                    <w:t>2</w:t>
                  </w:r>
                  <w:r>
                    <w:rPr>
                      <w:rFonts w:hint="eastAsia"/>
                      <w:color w:val="auto"/>
                      <w:sz w:val="21"/>
                      <w:szCs w:val="21"/>
                    </w:rPr>
                    <w:t>，设置在</w:t>
                  </w:r>
                  <w:r>
                    <w:rPr>
                      <w:rFonts w:hint="eastAsia"/>
                      <w:color w:val="auto"/>
                      <w:sz w:val="21"/>
                      <w:szCs w:val="21"/>
                      <w:highlight w:val="none"/>
                    </w:rPr>
                    <w:t>办公</w:t>
                  </w:r>
                  <w:r>
                    <w:rPr>
                      <w:rFonts w:hint="eastAsia"/>
                      <w:color w:val="auto"/>
                      <w:sz w:val="21"/>
                      <w:szCs w:val="21"/>
                      <w:highlight w:val="none"/>
                      <w:lang w:val="en-US" w:eastAsia="zh-CN"/>
                    </w:rPr>
                    <w:t>楼中独立区域</w:t>
                  </w:r>
                  <w:r>
                    <w:rPr>
                      <w:rFonts w:hint="eastAsia"/>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color w:val="auto"/>
                      <w:szCs w:val="21"/>
                    </w:rPr>
                  </w:pPr>
                </w:p>
              </w:tc>
              <w:tc>
                <w:tcPr>
                  <w:tcW w:w="1042" w:type="pct"/>
                  <w:shd w:val="clear" w:color="auto" w:fill="FFFFFF"/>
                  <w:vAlign w:val="center"/>
                </w:tcPr>
                <w:p>
                  <w:pPr>
                    <w:adjustRightInd w:val="0"/>
                    <w:snapToGrid w:val="0"/>
                    <w:jc w:val="center"/>
                    <w:textAlignment w:val="center"/>
                    <w:rPr>
                      <w:bCs/>
                      <w:color w:val="auto"/>
                      <w:kern w:val="0"/>
                      <w:szCs w:val="21"/>
                      <w:highlight w:val="none"/>
                    </w:rPr>
                  </w:pPr>
                  <w:r>
                    <w:rPr>
                      <w:rFonts w:hint="eastAsia"/>
                      <w:bCs/>
                      <w:color w:val="auto"/>
                      <w:kern w:val="0"/>
                      <w:szCs w:val="21"/>
                      <w:highlight w:val="none"/>
                    </w:rPr>
                    <w:t>矿粉筒仓</w:t>
                  </w:r>
                </w:p>
              </w:tc>
              <w:tc>
                <w:tcPr>
                  <w:tcW w:w="3204" w:type="pct"/>
                  <w:shd w:val="clear" w:color="auto" w:fill="FFFFFF"/>
                  <w:vAlign w:val="center"/>
                </w:tcPr>
                <w:p>
                  <w:pPr>
                    <w:pStyle w:val="173"/>
                    <w:adjustRightInd w:val="0"/>
                    <w:snapToGrid w:val="0"/>
                    <w:spacing w:line="240" w:lineRule="auto"/>
                    <w:jc w:val="both"/>
                    <w:textAlignment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本项目建设</w:t>
                  </w:r>
                  <w:r>
                    <w:rPr>
                      <w:rFonts w:hint="eastAsia" w:ascii="Times New Roman" w:hAnsi="Times New Roman"/>
                      <w:color w:val="auto"/>
                      <w:kern w:val="0"/>
                      <w:sz w:val="21"/>
                      <w:szCs w:val="21"/>
                      <w:highlight w:val="none"/>
                      <w:lang w:val="en-US" w:eastAsia="zh-CN"/>
                    </w:rPr>
                    <w:t>1</w:t>
                  </w:r>
                  <w:r>
                    <w:rPr>
                      <w:rFonts w:hint="eastAsia" w:ascii="Times New Roman" w:hAnsi="Times New Roman"/>
                      <w:color w:val="auto"/>
                      <w:kern w:val="0"/>
                      <w:sz w:val="21"/>
                      <w:szCs w:val="21"/>
                      <w:highlight w:val="none"/>
                    </w:rPr>
                    <w:t>座矿粉储罐，</w:t>
                  </w:r>
                  <w:r>
                    <w:rPr>
                      <w:rFonts w:hint="eastAsia" w:cs="宋体"/>
                      <w:b w:val="0"/>
                      <w:bCs w:val="0"/>
                      <w:color w:val="auto"/>
                      <w:spacing w:val="11"/>
                      <w:sz w:val="21"/>
                      <w:szCs w:val="21"/>
                      <w:highlight w:val="none"/>
                      <w:lang w:val="en-US" w:eastAsia="zh-CN"/>
                    </w:rPr>
                    <w:t>8</w:t>
                  </w:r>
                  <w:r>
                    <w:rPr>
                      <w:rFonts w:hint="eastAsia" w:ascii="宋体" w:hAnsi="宋体" w:eastAsia="宋体" w:cs="宋体"/>
                      <w:b w:val="0"/>
                      <w:bCs w:val="0"/>
                      <w:color w:val="auto"/>
                      <w:spacing w:val="11"/>
                      <w:sz w:val="21"/>
                      <w:szCs w:val="21"/>
                      <w:highlight w:val="none"/>
                    </w:rPr>
                    <w:t>0m³</w:t>
                  </w:r>
                  <w:r>
                    <w:rPr>
                      <w:rFonts w:hint="eastAsia" w:ascii="宋体" w:hAnsi="宋体" w:eastAsia="宋体" w:cs="宋体"/>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color w:val="auto"/>
                      <w:szCs w:val="21"/>
                    </w:rPr>
                  </w:pPr>
                </w:p>
              </w:tc>
              <w:tc>
                <w:tcPr>
                  <w:tcW w:w="1042" w:type="pct"/>
                  <w:shd w:val="clear" w:color="auto" w:fill="FFFFFF"/>
                  <w:vAlign w:val="center"/>
                </w:tcPr>
                <w:p>
                  <w:pPr>
                    <w:adjustRightInd w:val="0"/>
                    <w:snapToGrid w:val="0"/>
                    <w:jc w:val="center"/>
                    <w:textAlignment w:val="center"/>
                    <w:rPr>
                      <w:bCs/>
                      <w:color w:val="auto"/>
                      <w:kern w:val="0"/>
                      <w:szCs w:val="21"/>
                    </w:rPr>
                  </w:pPr>
                  <w:r>
                    <w:rPr>
                      <w:rFonts w:hint="eastAsia"/>
                      <w:bCs/>
                      <w:color w:val="auto"/>
                      <w:kern w:val="0"/>
                      <w:szCs w:val="21"/>
                    </w:rPr>
                    <w:t>沥青储罐</w:t>
                  </w:r>
                </w:p>
              </w:tc>
              <w:tc>
                <w:tcPr>
                  <w:tcW w:w="3204" w:type="pct"/>
                  <w:shd w:val="clear" w:color="auto" w:fill="FFFFFF"/>
                  <w:vAlign w:val="center"/>
                </w:tcPr>
                <w:p>
                  <w:pPr>
                    <w:pStyle w:val="173"/>
                    <w:adjustRightInd w:val="0"/>
                    <w:snapToGrid w:val="0"/>
                    <w:spacing w:line="240" w:lineRule="auto"/>
                    <w:jc w:val="both"/>
                    <w:textAlignment w:val="center"/>
                    <w:rPr>
                      <w:rFonts w:ascii="Times New Roman" w:hAnsi="Times New Roman"/>
                      <w:color w:val="auto"/>
                      <w:kern w:val="0"/>
                      <w:sz w:val="21"/>
                      <w:szCs w:val="21"/>
                    </w:rPr>
                  </w:pPr>
                  <w:r>
                    <w:rPr>
                      <w:rFonts w:hint="eastAsia"/>
                      <w:color w:val="auto"/>
                      <w:sz w:val="21"/>
                      <w:szCs w:val="21"/>
                    </w:rPr>
                    <w:t>本项目建设</w:t>
                  </w:r>
                  <w:r>
                    <w:rPr>
                      <w:rFonts w:hint="eastAsia"/>
                      <w:color w:val="auto"/>
                      <w:sz w:val="21"/>
                      <w:szCs w:val="21"/>
                      <w:lang w:val="en-US" w:eastAsia="zh-CN"/>
                    </w:rPr>
                    <w:t>6</w:t>
                  </w:r>
                  <w:r>
                    <w:rPr>
                      <w:rFonts w:hint="eastAsia"/>
                      <w:color w:val="auto"/>
                      <w:sz w:val="21"/>
                      <w:szCs w:val="21"/>
                    </w:rPr>
                    <w:t>座沥青储罐，</w:t>
                  </w:r>
                  <w:r>
                    <w:rPr>
                      <w:rFonts w:hint="eastAsia"/>
                      <w:color w:val="auto"/>
                      <w:sz w:val="21"/>
                      <w:szCs w:val="21"/>
                      <w:lang w:val="en-US" w:eastAsia="zh-CN"/>
                    </w:rPr>
                    <w:t>5</w:t>
                  </w:r>
                  <w:r>
                    <w:rPr>
                      <w:rFonts w:hint="eastAsia"/>
                      <w:color w:val="auto"/>
                      <w:sz w:val="21"/>
                      <w:szCs w:val="21"/>
                    </w:rPr>
                    <w:t>个</w:t>
                  </w:r>
                  <w:r>
                    <w:rPr>
                      <w:rFonts w:hint="eastAsia"/>
                      <w:color w:val="auto"/>
                      <w:sz w:val="21"/>
                      <w:szCs w:val="21"/>
                      <w:lang w:val="en-US" w:eastAsia="zh-CN"/>
                    </w:rPr>
                    <w:t>单个容积35t转存储存罐</w:t>
                  </w:r>
                  <w:r>
                    <w:rPr>
                      <w:rFonts w:hint="eastAsia"/>
                      <w:color w:val="auto"/>
                      <w:sz w:val="21"/>
                      <w:szCs w:val="21"/>
                    </w:rPr>
                    <w:t>，1个</w:t>
                  </w:r>
                  <w:r>
                    <w:rPr>
                      <w:rFonts w:hint="eastAsia"/>
                      <w:color w:val="auto"/>
                      <w:sz w:val="21"/>
                      <w:szCs w:val="21"/>
                      <w:lang w:val="en-US" w:eastAsia="zh-CN"/>
                    </w:rPr>
                    <w:t>2000t低温储存罐</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color w:val="auto"/>
                      <w:szCs w:val="21"/>
                    </w:rPr>
                  </w:pPr>
                </w:p>
              </w:tc>
              <w:tc>
                <w:tcPr>
                  <w:tcW w:w="1042" w:type="pct"/>
                  <w:shd w:val="clear" w:color="auto" w:fill="FFFFFF"/>
                  <w:vAlign w:val="center"/>
                </w:tcPr>
                <w:p>
                  <w:pPr>
                    <w:spacing w:line="0" w:lineRule="atLeast"/>
                    <w:contextualSpacing/>
                    <w:jc w:val="center"/>
                    <w:rPr>
                      <w:rFonts w:hint="default" w:eastAsia="宋体"/>
                      <w:bCs/>
                      <w:color w:val="auto"/>
                      <w:kern w:val="0"/>
                      <w:szCs w:val="21"/>
                      <w:highlight w:val="none"/>
                      <w:lang w:val="en-US" w:eastAsia="zh-CN"/>
                    </w:rPr>
                  </w:pPr>
                  <w:r>
                    <w:rPr>
                      <w:rFonts w:hint="eastAsia" w:eastAsiaTheme="minorEastAsia"/>
                      <w:color w:val="auto"/>
                      <w:szCs w:val="21"/>
                      <w:highlight w:val="none"/>
                      <w:lang w:val="en-US" w:eastAsia="zh-CN"/>
                    </w:rPr>
                    <w:t>油储罐</w:t>
                  </w:r>
                </w:p>
              </w:tc>
              <w:tc>
                <w:tcPr>
                  <w:tcW w:w="3204" w:type="pct"/>
                  <w:shd w:val="clear" w:color="auto" w:fill="FFFFFF"/>
                  <w:vAlign w:val="center"/>
                </w:tcPr>
                <w:p>
                  <w:pPr>
                    <w:spacing w:line="0" w:lineRule="atLeast"/>
                    <w:ind w:left="105" w:leftChars="0" w:hanging="105" w:hangingChars="50"/>
                    <w:contextualSpacing/>
                    <w:rPr>
                      <w:rFonts w:hint="default" w:ascii="Times New Roman" w:hAnsi="Times New Roman"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1台，40t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52" w:type="pct"/>
                  <w:vMerge w:val="restar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公用工程</w:t>
                  </w:r>
                </w:p>
              </w:tc>
              <w:tc>
                <w:tcPr>
                  <w:tcW w:w="1042" w:type="pct"/>
                  <w:shd w:val="clear" w:color="auto" w:fill="FFFFFF"/>
                  <w:vAlign w:val="center"/>
                </w:tcPr>
                <w:p>
                  <w:pPr>
                    <w:pStyle w:val="112"/>
                    <w:widowControl w:val="0"/>
                    <w:tabs>
                      <w:tab w:val="left" w:pos="6480"/>
                    </w:tabs>
                    <w:adjustRightInd w:val="0"/>
                    <w:snapToGrid w:val="0"/>
                    <w:jc w:val="center"/>
                    <w:textAlignment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办公室</w:t>
                  </w:r>
                </w:p>
              </w:tc>
              <w:tc>
                <w:tcPr>
                  <w:tcW w:w="3204" w:type="pct"/>
                  <w:shd w:val="clear" w:color="auto" w:fill="FFFFFF"/>
                  <w:vAlign w:val="center"/>
                </w:tcPr>
                <w:p>
                  <w:pPr>
                    <w:adjustRightInd w:val="0"/>
                    <w:snapToGrid w:val="0"/>
                    <w:textAlignment w:val="center"/>
                    <w:rPr>
                      <w:color w:val="auto"/>
                      <w:szCs w:val="21"/>
                      <w:highlight w:val="none"/>
                    </w:rPr>
                  </w:pPr>
                  <w:r>
                    <w:rPr>
                      <w:rFonts w:hint="eastAsia"/>
                      <w:color w:val="auto"/>
                      <w:szCs w:val="21"/>
                      <w:highlight w:val="none"/>
                      <w:lang w:val="en-US" w:eastAsia="zh-CN"/>
                    </w:rPr>
                    <w:t>建筑面积1890平方米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color w:val="auto"/>
                      <w:szCs w:val="21"/>
                    </w:rPr>
                  </w:pPr>
                </w:p>
              </w:tc>
              <w:tc>
                <w:tcPr>
                  <w:tcW w:w="1042" w:type="pct"/>
                  <w:shd w:val="clear" w:color="auto" w:fill="FFFFFF"/>
                  <w:vAlign w:val="center"/>
                </w:tcPr>
                <w:p>
                  <w:pPr>
                    <w:pStyle w:val="112"/>
                    <w:widowControl w:val="0"/>
                    <w:tabs>
                      <w:tab w:val="left" w:pos="6480"/>
                    </w:tabs>
                    <w:adjustRightInd w:val="0"/>
                    <w:snapToGrid w:val="0"/>
                    <w:jc w:val="center"/>
                    <w:textAlignment w:val="center"/>
                    <w:rPr>
                      <w:rFonts w:ascii="Times New Roman" w:hAnsi="Times New Roman" w:eastAsia="宋体" w:cs="Times New Roman"/>
                      <w:bCs/>
                      <w:color w:val="auto"/>
                      <w:kern w:val="0"/>
                      <w:sz w:val="21"/>
                      <w:szCs w:val="21"/>
                      <w:highlight w:val="none"/>
                      <w:lang w:val="en-US" w:eastAsia="zh-CN" w:bidi="ar-SA"/>
                    </w:rPr>
                  </w:pPr>
                  <w:r>
                    <w:rPr>
                      <w:color w:val="auto"/>
                      <w:szCs w:val="21"/>
                      <w:highlight w:val="none"/>
                    </w:rPr>
                    <w:t>供水</w:t>
                  </w:r>
                </w:p>
              </w:tc>
              <w:tc>
                <w:tcPr>
                  <w:tcW w:w="3204" w:type="pct"/>
                  <w:shd w:val="clear" w:color="auto" w:fill="FFFFFF"/>
                  <w:vAlign w:val="center"/>
                </w:tcPr>
                <w:p>
                  <w:pPr>
                    <w:adjustRightInd w:val="0"/>
                    <w:snapToGrid w:val="0"/>
                    <w:textAlignment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本项目</w:t>
                  </w:r>
                  <w:r>
                    <w:rPr>
                      <w:rFonts w:hint="eastAsia"/>
                      <w:color w:val="auto"/>
                      <w:szCs w:val="21"/>
                      <w:highlight w:val="none"/>
                    </w:rPr>
                    <w:t>供水采用</w:t>
                  </w:r>
                  <w:r>
                    <w:rPr>
                      <w:rFonts w:hint="eastAsia"/>
                      <w:color w:val="auto"/>
                      <w:szCs w:val="21"/>
                      <w:highlight w:val="none"/>
                      <w:lang w:val="en-US" w:eastAsia="zh-CN"/>
                    </w:rPr>
                    <w:t>深井水</w:t>
                  </w:r>
                  <w:r>
                    <w:rPr>
                      <w:rFonts w:hint="eastAsia" w:eastAsiaTheme="minorEastAsia"/>
                      <w:color w:val="auto"/>
                      <w:szCs w:val="21"/>
                      <w:highlight w:val="none"/>
                    </w:rPr>
                    <w:t>；项目用水主要为生活用水、喷淋降尘用水</w:t>
                  </w:r>
                  <w:r>
                    <w:rPr>
                      <w:rFonts w:hint="eastAsia" w:eastAsiaTheme="minorEastAsia"/>
                      <w:color w:val="auto"/>
                      <w:szCs w:val="21"/>
                      <w:highlight w:val="none"/>
                      <w:lang w:eastAsia="zh-CN"/>
                    </w:rPr>
                    <w:t>、</w:t>
                  </w:r>
                  <w:r>
                    <w:rPr>
                      <w:rFonts w:hint="eastAsia" w:eastAsiaTheme="minorEastAsia"/>
                      <w:color w:val="auto"/>
                      <w:szCs w:val="21"/>
                      <w:highlight w:val="none"/>
                      <w:lang w:val="en-US" w:eastAsia="zh-CN"/>
                    </w:rPr>
                    <w:t>车辆及搅拌机冲洗废水</w:t>
                  </w:r>
                  <w:r>
                    <w:rPr>
                      <w:rFonts w:hint="eastAsia" w:eastAsiaTheme="minor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continue"/>
                  <w:shd w:val="clear" w:color="auto" w:fill="FFFFFF"/>
                  <w:vAlign w:val="center"/>
                </w:tcPr>
                <w:p>
                  <w:pPr>
                    <w:pStyle w:val="112"/>
                    <w:widowControl w:val="0"/>
                    <w:tabs>
                      <w:tab w:val="left" w:pos="6480"/>
                    </w:tabs>
                    <w:adjustRightInd w:val="0"/>
                    <w:snapToGrid w:val="0"/>
                    <w:textAlignment w:val="center"/>
                    <w:rPr>
                      <w:color w:val="auto"/>
                      <w:szCs w:val="21"/>
                    </w:rPr>
                  </w:pPr>
                </w:p>
              </w:tc>
              <w:tc>
                <w:tcPr>
                  <w:tcW w:w="104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排水</w:t>
                  </w:r>
                </w:p>
              </w:tc>
              <w:tc>
                <w:tcPr>
                  <w:tcW w:w="3204" w:type="pct"/>
                  <w:shd w:val="clear" w:color="auto" w:fill="FFFFFF"/>
                  <w:vAlign w:val="center"/>
                </w:tcPr>
                <w:p>
                  <w:pPr>
                    <w:pStyle w:val="112"/>
                    <w:widowControl w:val="0"/>
                    <w:tabs>
                      <w:tab w:val="left" w:pos="6480"/>
                    </w:tabs>
                    <w:adjustRightInd w:val="0"/>
                    <w:snapToGrid w:val="0"/>
                    <w:textAlignment w:val="center"/>
                    <w:rPr>
                      <w:rFonts w:hint="default" w:eastAsiaTheme="minorEastAsia"/>
                      <w:color w:val="auto"/>
                      <w:szCs w:val="21"/>
                      <w:lang w:val="en-US" w:eastAsia="zh-CN"/>
                    </w:rPr>
                  </w:pPr>
                  <w:r>
                    <w:rPr>
                      <w:rFonts w:hint="eastAsia"/>
                      <w:color w:val="auto"/>
                      <w:szCs w:val="21"/>
                    </w:rPr>
                    <w:t>本项目生活污水</w:t>
                  </w:r>
                  <w:r>
                    <w:rPr>
                      <w:rFonts w:hint="eastAsia"/>
                      <w:color w:val="auto"/>
                      <w:szCs w:val="21"/>
                      <w:highlight w:val="none"/>
                    </w:rPr>
                    <w:t>排入防渗</w:t>
                  </w:r>
                  <w:r>
                    <w:rPr>
                      <w:rFonts w:hint="eastAsia"/>
                      <w:color w:val="auto"/>
                      <w:szCs w:val="21"/>
                      <w:highlight w:val="none"/>
                      <w:lang w:val="en-US" w:eastAsia="zh-CN"/>
                    </w:rPr>
                    <w:t>旱厕定期清掏</w:t>
                  </w:r>
                  <w:r>
                    <w:rPr>
                      <w:rFonts w:hint="eastAsia"/>
                      <w:color w:val="auto"/>
                      <w:szCs w:val="21"/>
                    </w:rPr>
                    <w:t>。</w:t>
                  </w:r>
                  <w:r>
                    <w:rPr>
                      <w:rFonts w:hint="eastAsia" w:eastAsiaTheme="minorEastAsia"/>
                      <w:color w:val="auto"/>
                      <w:szCs w:val="21"/>
                      <w:lang w:val="en-US" w:eastAsia="zh-CN"/>
                    </w:rPr>
                    <w:t>生产废水回用，不外排。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52" w:type="pct"/>
                  <w:vMerge w:val="continue"/>
                  <w:shd w:val="clear" w:color="auto" w:fill="FFFFFF"/>
                  <w:vAlign w:val="center"/>
                </w:tcPr>
                <w:p>
                  <w:pPr>
                    <w:pStyle w:val="112"/>
                    <w:widowControl w:val="0"/>
                    <w:tabs>
                      <w:tab w:val="left" w:pos="6480"/>
                    </w:tabs>
                    <w:adjustRightInd w:val="0"/>
                    <w:snapToGrid w:val="0"/>
                    <w:textAlignment w:val="center"/>
                    <w:rPr>
                      <w:color w:val="auto"/>
                      <w:szCs w:val="21"/>
                    </w:rPr>
                  </w:pPr>
                </w:p>
              </w:tc>
              <w:tc>
                <w:tcPr>
                  <w:tcW w:w="104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供热</w:t>
                  </w:r>
                </w:p>
              </w:tc>
              <w:tc>
                <w:tcPr>
                  <w:tcW w:w="3204" w:type="pct"/>
                  <w:shd w:val="clear" w:color="auto" w:fill="FFFFFF"/>
                  <w:vAlign w:val="center"/>
                </w:tcPr>
                <w:p>
                  <w:pPr>
                    <w:adjustRightInd w:val="0"/>
                    <w:snapToGrid w:val="0"/>
                    <w:rPr>
                      <w:color w:val="auto"/>
                      <w:szCs w:val="21"/>
                    </w:rPr>
                  </w:pPr>
                  <w:r>
                    <w:rPr>
                      <w:rFonts w:hint="eastAsia"/>
                      <w:color w:val="auto"/>
                      <w:szCs w:val="21"/>
                    </w:rPr>
                    <w:t>本项目冬季不生产，不需要供暖。生产用热建设1台</w:t>
                  </w:r>
                  <w:r>
                    <w:rPr>
                      <w:rFonts w:hint="eastAsia" w:ascii="仿宋" w:hAnsi="仿宋" w:eastAsia="仿宋" w:cs="仿宋"/>
                      <w:b w:val="0"/>
                      <w:bCs w:val="0"/>
                      <w:color w:val="auto"/>
                      <w:kern w:val="2"/>
                      <w:sz w:val="21"/>
                      <w:szCs w:val="21"/>
                      <w:lang w:val="en-US" w:eastAsia="zh-CN"/>
                    </w:rPr>
                    <w:t>1400kw</w:t>
                  </w:r>
                  <w:r>
                    <w:rPr>
                      <w:rFonts w:hint="eastAsia"/>
                      <w:color w:val="auto"/>
                      <w:szCs w:val="21"/>
                    </w:rPr>
                    <w:t>导热油炉，年燃用</w:t>
                  </w:r>
                  <w:r>
                    <w:rPr>
                      <w:rFonts w:hint="eastAsia"/>
                      <w:color w:val="auto"/>
                      <w:szCs w:val="21"/>
                      <w:highlight w:val="none"/>
                      <w:lang w:val="en-US" w:eastAsia="zh-CN"/>
                    </w:rPr>
                    <w:t>柴油150t</w:t>
                  </w:r>
                  <w:r>
                    <w:rPr>
                      <w:rFonts w:hint="eastAsia"/>
                      <w:color w:val="auto"/>
                      <w:szCs w:val="21"/>
                      <w:highlight w:val="none"/>
                    </w:rPr>
                    <w:t>/a</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52" w:type="pct"/>
                  <w:vMerge w:val="continue"/>
                  <w:shd w:val="clear" w:color="auto" w:fill="FFFFFF"/>
                  <w:vAlign w:val="center"/>
                </w:tcPr>
                <w:p>
                  <w:pPr>
                    <w:pStyle w:val="112"/>
                    <w:widowControl w:val="0"/>
                    <w:tabs>
                      <w:tab w:val="left" w:pos="6480"/>
                    </w:tabs>
                    <w:adjustRightInd w:val="0"/>
                    <w:snapToGrid w:val="0"/>
                    <w:textAlignment w:val="center"/>
                    <w:rPr>
                      <w:color w:val="auto"/>
                      <w:szCs w:val="21"/>
                    </w:rPr>
                  </w:pPr>
                </w:p>
              </w:tc>
              <w:tc>
                <w:tcPr>
                  <w:tcW w:w="104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供电</w:t>
                  </w:r>
                </w:p>
              </w:tc>
              <w:tc>
                <w:tcPr>
                  <w:tcW w:w="3204" w:type="pct"/>
                  <w:shd w:val="clear" w:color="auto" w:fill="FFFFFF"/>
                  <w:vAlign w:val="center"/>
                </w:tcPr>
                <w:p>
                  <w:pPr>
                    <w:pStyle w:val="112"/>
                    <w:widowControl w:val="0"/>
                    <w:tabs>
                      <w:tab w:val="left" w:pos="6480"/>
                    </w:tabs>
                    <w:adjustRightInd w:val="0"/>
                    <w:snapToGrid w:val="0"/>
                    <w:textAlignment w:val="center"/>
                    <w:rPr>
                      <w:color w:val="auto"/>
                      <w:szCs w:val="21"/>
                    </w:rPr>
                  </w:pPr>
                  <w:r>
                    <w:rPr>
                      <w:rFonts w:hint="eastAsia"/>
                      <w:color w:val="auto"/>
                      <w:szCs w:val="21"/>
                    </w:rPr>
                    <w:t>本项目采用市政供电</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52" w:type="pct"/>
                  <w:vMerge w:val="restar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环保工程</w:t>
                  </w:r>
                </w:p>
              </w:tc>
              <w:tc>
                <w:tcPr>
                  <w:tcW w:w="1042" w:type="pct"/>
                  <w:shd w:val="clear" w:color="auto" w:fill="FFFFFF"/>
                  <w:vAlign w:val="center"/>
                </w:tcPr>
                <w:p>
                  <w:pPr>
                    <w:adjustRightInd w:val="0"/>
                    <w:snapToGrid w:val="0"/>
                    <w:jc w:val="center"/>
                    <w:textAlignment w:val="center"/>
                    <w:rPr>
                      <w:color w:val="auto"/>
                      <w:szCs w:val="21"/>
                    </w:rPr>
                  </w:pPr>
                  <w:r>
                    <w:rPr>
                      <w:color w:val="auto"/>
                      <w:szCs w:val="21"/>
                    </w:rPr>
                    <w:t>废气</w:t>
                  </w:r>
                </w:p>
              </w:tc>
              <w:tc>
                <w:tcPr>
                  <w:tcW w:w="3204" w:type="pct"/>
                  <w:shd w:val="clear" w:color="auto" w:fill="FFFFFF"/>
                  <w:vAlign w:val="center"/>
                </w:tcPr>
                <w:p>
                  <w:pPr>
                    <w:spacing w:line="0" w:lineRule="atLeast"/>
                    <w:contextualSpacing/>
                    <w:jc w:val="left"/>
                    <w:rPr>
                      <w:rFonts w:eastAsiaTheme="minorEastAsia"/>
                      <w:bCs/>
                      <w:color w:val="auto"/>
                      <w:szCs w:val="21"/>
                    </w:rPr>
                  </w:pPr>
                  <w:r>
                    <w:rPr>
                      <w:rFonts w:eastAsiaTheme="minorEastAsia"/>
                      <w:color w:val="auto"/>
                      <w:szCs w:val="21"/>
                    </w:rPr>
                    <w:t>1</w:t>
                  </w:r>
                  <w:r>
                    <w:rPr>
                      <w:rFonts w:eastAsiaTheme="minorEastAsia"/>
                      <w:bCs/>
                      <w:color w:val="auto"/>
                      <w:szCs w:val="21"/>
                    </w:rPr>
                    <w:t>、原料输送、堆场粉尘、</w:t>
                  </w:r>
                  <w:r>
                    <w:rPr>
                      <w:rFonts w:hint="eastAsia" w:eastAsiaTheme="minorEastAsia"/>
                      <w:bCs/>
                      <w:color w:val="auto"/>
                      <w:szCs w:val="21"/>
                    </w:rPr>
                    <w:t>铲装集堆</w:t>
                  </w:r>
                  <w:r>
                    <w:rPr>
                      <w:rFonts w:eastAsiaTheme="minorEastAsia"/>
                      <w:bCs/>
                      <w:color w:val="auto"/>
                      <w:szCs w:val="21"/>
                    </w:rPr>
                    <w:t>粉尘</w:t>
                  </w:r>
                </w:p>
                <w:p>
                  <w:pPr>
                    <w:spacing w:line="0" w:lineRule="atLeast"/>
                    <w:contextualSpacing/>
                    <w:jc w:val="left"/>
                    <w:rPr>
                      <w:rFonts w:hint="eastAsia" w:eastAsiaTheme="minorEastAsia"/>
                      <w:bCs/>
                      <w:color w:val="auto"/>
                      <w:szCs w:val="21"/>
                      <w:lang w:eastAsia="zh-CN"/>
                    </w:rPr>
                  </w:pPr>
                  <w:r>
                    <w:rPr>
                      <w:rFonts w:eastAsiaTheme="minorEastAsia"/>
                      <w:bCs/>
                      <w:color w:val="auto"/>
                      <w:szCs w:val="21"/>
                    </w:rPr>
                    <w:t>本项目矿粉采用封闭式罐车运入厂区，碎石运输车辆全部采用苫布覆盖，运输过程做到不超载，不滴、撒、漏，厂区地面洒水降尘；原料的输送、计量及投料均为封闭式。搅拌站整体封闭；</w:t>
                  </w:r>
                  <w:r>
                    <w:rPr>
                      <w:rFonts w:hint="eastAsia" w:cs="宋体"/>
                      <w:color w:val="auto"/>
                      <w:spacing w:val="-4"/>
                      <w:sz w:val="21"/>
                      <w:szCs w:val="21"/>
                      <w:lang w:val="en-US" w:eastAsia="zh-CN"/>
                    </w:rPr>
                    <w:t>堆场</w:t>
                  </w:r>
                  <w:r>
                    <w:rPr>
                      <w:rFonts w:hint="eastAsia" w:ascii="宋体" w:hAnsi="宋体" w:eastAsia="宋体" w:cs="宋体"/>
                      <w:strike w:val="0"/>
                      <w:dstrike w:val="0"/>
                      <w:color w:val="auto"/>
                      <w:sz w:val="21"/>
                      <w:szCs w:val="21"/>
                      <w:lang w:val="en-US" w:eastAsia="zh-CN"/>
                    </w:rPr>
                    <w:t>采用</w:t>
                  </w:r>
                  <w:r>
                    <w:rPr>
                      <w:rFonts w:hint="eastAsia" w:cs="宋体"/>
                      <w:color w:val="auto"/>
                      <w:spacing w:val="-1"/>
                      <w:sz w:val="21"/>
                      <w:szCs w:val="21"/>
                      <w:lang w:val="en-US" w:eastAsia="zh-CN"/>
                    </w:rPr>
                    <w:t>定期洒水降尘</w:t>
                  </w:r>
                  <w:r>
                    <w:rPr>
                      <w:rFonts w:hint="eastAsia"/>
                      <w:color w:val="auto"/>
                      <w:kern w:val="0"/>
                      <w:szCs w:val="21"/>
                    </w:rPr>
                    <w:t>，</w:t>
                  </w:r>
                  <w:r>
                    <w:rPr>
                      <w:rFonts w:eastAsiaTheme="minorEastAsia"/>
                      <w:bCs/>
                      <w:color w:val="auto"/>
                      <w:szCs w:val="21"/>
                    </w:rPr>
                    <w:t>铲装集堆过程洒水喷淋</w:t>
                  </w:r>
                  <w:r>
                    <w:rPr>
                      <w:rFonts w:hint="eastAsia" w:eastAsiaTheme="minorEastAsia"/>
                      <w:bCs/>
                      <w:color w:val="auto"/>
                      <w:szCs w:val="21"/>
                      <w:lang w:eastAsia="zh-CN"/>
                    </w:rPr>
                    <w:t>。</w:t>
                  </w:r>
                </w:p>
                <w:p>
                  <w:pPr>
                    <w:spacing w:line="0" w:lineRule="atLeast"/>
                    <w:contextualSpacing/>
                    <w:jc w:val="left"/>
                    <w:rPr>
                      <w:rFonts w:hint="eastAsia"/>
                      <w:color w:val="auto"/>
                      <w:lang w:eastAsia="zh-CN"/>
                    </w:rPr>
                  </w:pPr>
                  <w:r>
                    <w:rPr>
                      <w:rFonts w:hint="eastAsia" w:eastAsiaTheme="minorEastAsia"/>
                      <w:bCs/>
                      <w:color w:val="auto"/>
                      <w:szCs w:val="21"/>
                      <w:lang w:val="en-US" w:eastAsia="zh-CN"/>
                    </w:rPr>
                    <w:t>2、</w:t>
                  </w:r>
                  <w:r>
                    <w:rPr>
                      <w:rFonts w:hint="eastAsia" w:eastAsiaTheme="minorEastAsia"/>
                      <w:bCs/>
                      <w:color w:val="auto"/>
                      <w:szCs w:val="21"/>
                    </w:rPr>
                    <w:t>项目</w:t>
                  </w:r>
                  <w:r>
                    <w:rPr>
                      <w:rFonts w:eastAsiaTheme="minorEastAsia"/>
                      <w:bCs/>
                      <w:color w:val="auto"/>
                      <w:sz w:val="21"/>
                      <w:szCs w:val="21"/>
                    </w:rPr>
                    <w:t>1台导热油炉</w:t>
                  </w:r>
                  <w:r>
                    <w:rPr>
                      <w:rFonts w:hint="eastAsia" w:eastAsiaTheme="minorEastAsia"/>
                      <w:bCs/>
                      <w:color w:val="auto"/>
                      <w:szCs w:val="21"/>
                    </w:rPr>
                    <w:t>用于加热沥青，导热油炉烟气由1根</w:t>
                  </w:r>
                  <w:r>
                    <w:rPr>
                      <w:rFonts w:hint="eastAsia" w:eastAsiaTheme="minorEastAsia"/>
                      <w:bCs/>
                      <w:color w:val="auto"/>
                      <w:szCs w:val="21"/>
                      <w:lang w:val="en-US" w:eastAsia="zh-CN"/>
                    </w:rPr>
                    <w:t>15</w:t>
                  </w:r>
                  <w:r>
                    <w:rPr>
                      <w:rFonts w:hint="eastAsia" w:eastAsiaTheme="minorEastAsia"/>
                      <w:bCs/>
                      <w:color w:val="auto"/>
                      <w:szCs w:val="21"/>
                    </w:rPr>
                    <w:t>m高排气筒（DA00</w:t>
                  </w:r>
                  <w:r>
                    <w:rPr>
                      <w:rFonts w:hint="eastAsia" w:eastAsiaTheme="minorEastAsia"/>
                      <w:bCs/>
                      <w:color w:val="auto"/>
                      <w:szCs w:val="21"/>
                      <w:lang w:val="en-US" w:eastAsia="zh-CN"/>
                    </w:rPr>
                    <w:t>2</w:t>
                  </w:r>
                  <w:r>
                    <w:rPr>
                      <w:rFonts w:hint="eastAsia" w:eastAsiaTheme="minorEastAsia"/>
                      <w:bCs/>
                      <w:color w:val="auto"/>
                      <w:szCs w:val="21"/>
                    </w:rPr>
                    <w:t>）排放；</w:t>
                  </w:r>
                </w:p>
                <w:p>
                  <w:pPr>
                    <w:spacing w:line="0" w:lineRule="atLeast"/>
                    <w:contextualSpacing/>
                    <w:jc w:val="left"/>
                    <w:rPr>
                      <w:rFonts w:eastAsiaTheme="minorEastAsia"/>
                      <w:bCs/>
                      <w:color w:val="auto"/>
                      <w:szCs w:val="21"/>
                    </w:rPr>
                  </w:pPr>
                  <w:r>
                    <w:rPr>
                      <w:rFonts w:hint="eastAsia" w:eastAsiaTheme="minorEastAsia"/>
                      <w:bCs/>
                      <w:color w:val="auto"/>
                      <w:szCs w:val="21"/>
                      <w:lang w:val="en-US" w:eastAsia="zh-CN"/>
                    </w:rPr>
                    <w:t>3</w:t>
                  </w:r>
                  <w:r>
                    <w:rPr>
                      <w:rFonts w:eastAsiaTheme="minorEastAsia"/>
                      <w:bCs/>
                      <w:color w:val="auto"/>
                      <w:szCs w:val="21"/>
                    </w:rPr>
                    <w:t>、冷料仓上料粉尘</w:t>
                  </w:r>
                </w:p>
                <w:p>
                  <w:pPr>
                    <w:spacing w:line="0" w:lineRule="atLeast"/>
                    <w:contextualSpacing/>
                    <w:jc w:val="left"/>
                    <w:rPr>
                      <w:rFonts w:hint="eastAsia" w:eastAsiaTheme="minorEastAsia"/>
                      <w:color w:val="auto"/>
                      <w:szCs w:val="21"/>
                      <w:lang w:eastAsia="zh-CN"/>
                    </w:rPr>
                  </w:pPr>
                  <w:r>
                    <w:rPr>
                      <w:rFonts w:eastAsiaTheme="minorEastAsia"/>
                      <w:bCs/>
                      <w:color w:val="auto"/>
                      <w:szCs w:val="21"/>
                    </w:rPr>
                    <w:t>本项目</w:t>
                  </w:r>
                  <w:r>
                    <w:rPr>
                      <w:rFonts w:hint="eastAsia" w:eastAsiaTheme="minorEastAsia"/>
                      <w:bCs/>
                      <w:color w:val="auto"/>
                      <w:szCs w:val="21"/>
                      <w:lang w:val="en-US" w:eastAsia="zh-CN"/>
                    </w:rPr>
                    <w:t>骨料</w:t>
                  </w:r>
                  <w:r>
                    <w:rPr>
                      <w:rFonts w:eastAsiaTheme="minorEastAsia"/>
                      <w:bCs/>
                      <w:color w:val="auto"/>
                      <w:szCs w:val="21"/>
                    </w:rPr>
                    <w:t>在上料时会产生粉尘，在冷料仓</w:t>
                  </w:r>
                  <w:r>
                    <w:rPr>
                      <w:rFonts w:hint="eastAsia" w:eastAsiaTheme="minorEastAsia"/>
                      <w:bCs/>
                      <w:color w:val="auto"/>
                      <w:szCs w:val="21"/>
                    </w:rPr>
                    <w:t>设置集气装置</w:t>
                  </w:r>
                  <w:r>
                    <w:rPr>
                      <w:rFonts w:eastAsiaTheme="minorEastAsia"/>
                      <w:bCs/>
                      <w:color w:val="auto"/>
                      <w:szCs w:val="21"/>
                    </w:rPr>
                    <w:t>（集气效率</w:t>
                  </w:r>
                  <w:r>
                    <w:rPr>
                      <w:rFonts w:hint="eastAsia" w:eastAsiaTheme="minorEastAsia"/>
                      <w:bCs/>
                      <w:color w:val="auto"/>
                      <w:szCs w:val="21"/>
                    </w:rPr>
                    <w:t>90%</w:t>
                  </w:r>
                  <w:r>
                    <w:rPr>
                      <w:rFonts w:eastAsiaTheme="minorEastAsia"/>
                      <w:bCs/>
                      <w:color w:val="auto"/>
                      <w:szCs w:val="21"/>
                    </w:rPr>
                    <w:t>），</w:t>
                  </w:r>
                  <w:r>
                    <w:rPr>
                      <w:rFonts w:hint="eastAsia" w:eastAsiaTheme="minorEastAsia"/>
                      <w:bCs/>
                      <w:color w:val="auto"/>
                      <w:szCs w:val="21"/>
                    </w:rPr>
                    <w:t>通过</w:t>
                  </w:r>
                  <w:r>
                    <w:rPr>
                      <w:rFonts w:eastAsiaTheme="minorEastAsia"/>
                      <w:bCs/>
                      <w:color w:val="auto"/>
                      <w:szCs w:val="21"/>
                    </w:rPr>
                    <w:t>管道连接至除尘系统</w:t>
                  </w:r>
                  <w:r>
                    <w:rPr>
                      <w:rFonts w:eastAsiaTheme="minorEastAsia"/>
                      <w:bCs/>
                      <w:color w:val="auto"/>
                      <w:szCs w:val="21"/>
                      <w:highlight w:val="none"/>
                    </w:rPr>
                    <w:t>（</w:t>
                  </w:r>
                  <w:r>
                    <w:rPr>
                      <w:rFonts w:hint="eastAsia" w:eastAsiaTheme="minorEastAsia"/>
                      <w:bCs/>
                      <w:color w:val="auto"/>
                      <w:szCs w:val="21"/>
                      <w:highlight w:val="none"/>
                      <w:lang w:val="en-US" w:eastAsia="zh-CN"/>
                    </w:rPr>
                    <w:t>水湿</w:t>
                  </w:r>
                  <w:r>
                    <w:rPr>
                      <w:rFonts w:hint="eastAsia" w:eastAsiaTheme="minorEastAsia"/>
                      <w:bCs/>
                      <w:color w:val="auto"/>
                      <w:szCs w:val="21"/>
                      <w:highlight w:val="none"/>
                    </w:rPr>
                    <w:t>+布袋</w:t>
                  </w:r>
                  <w:r>
                    <w:rPr>
                      <w:rFonts w:eastAsiaTheme="minorEastAsia"/>
                      <w:bCs/>
                      <w:color w:val="auto"/>
                      <w:szCs w:val="21"/>
                      <w:highlight w:val="none"/>
                    </w:rPr>
                    <w:t>）</w:t>
                  </w:r>
                  <w:r>
                    <w:rPr>
                      <w:rFonts w:eastAsiaTheme="minorEastAsia"/>
                      <w:bCs/>
                      <w:color w:val="auto"/>
                      <w:szCs w:val="21"/>
                    </w:rPr>
                    <w:t>，处理后经除尘系统烟囱（</w:t>
                  </w:r>
                  <w:r>
                    <w:rPr>
                      <w:rFonts w:hint="eastAsia" w:eastAsiaTheme="minorEastAsia"/>
                      <w:bCs/>
                      <w:color w:val="auto"/>
                      <w:szCs w:val="21"/>
                    </w:rPr>
                    <w:t>DA00</w:t>
                  </w:r>
                  <w:r>
                    <w:rPr>
                      <w:rFonts w:hint="eastAsia" w:eastAsiaTheme="minorEastAsia"/>
                      <w:bCs/>
                      <w:color w:val="auto"/>
                      <w:szCs w:val="21"/>
                      <w:lang w:val="en-US" w:eastAsia="zh-CN"/>
                    </w:rPr>
                    <w:t>1</w:t>
                  </w:r>
                  <w:r>
                    <w:rPr>
                      <w:rFonts w:eastAsiaTheme="minorEastAsia"/>
                      <w:bCs/>
                      <w:color w:val="auto"/>
                      <w:szCs w:val="21"/>
                    </w:rPr>
                    <w:t>）排放，</w:t>
                  </w:r>
                  <w:r>
                    <w:rPr>
                      <w:rFonts w:eastAsiaTheme="minorEastAsia"/>
                      <w:color w:val="auto"/>
                      <w:szCs w:val="21"/>
                    </w:rPr>
                    <w:t>除尘效率为99%</w:t>
                  </w:r>
                  <w:r>
                    <w:rPr>
                      <w:rFonts w:hint="eastAsia" w:eastAsiaTheme="minorEastAsia"/>
                      <w:color w:val="auto"/>
                      <w:szCs w:val="21"/>
                      <w:lang w:eastAsia="zh-CN"/>
                    </w:rPr>
                    <w:t>。</w:t>
                  </w:r>
                </w:p>
                <w:p>
                  <w:pPr>
                    <w:spacing w:line="0" w:lineRule="atLeast"/>
                    <w:contextualSpacing/>
                    <w:jc w:val="left"/>
                    <w:rPr>
                      <w:rFonts w:eastAsiaTheme="minorEastAsia"/>
                      <w:bCs/>
                      <w:color w:val="auto"/>
                      <w:szCs w:val="21"/>
                    </w:rPr>
                  </w:pPr>
                  <w:r>
                    <w:rPr>
                      <w:rFonts w:hint="eastAsia" w:eastAsiaTheme="minorEastAsia"/>
                      <w:bCs/>
                      <w:color w:val="auto"/>
                      <w:szCs w:val="21"/>
                      <w:lang w:val="en-US" w:eastAsia="zh-CN"/>
                    </w:rPr>
                    <w:t>4</w:t>
                  </w:r>
                  <w:r>
                    <w:rPr>
                      <w:rFonts w:eastAsiaTheme="minorEastAsia"/>
                      <w:bCs/>
                      <w:color w:val="auto"/>
                      <w:szCs w:val="21"/>
                    </w:rPr>
                    <w:t>、矿粉筒仓</w:t>
                  </w:r>
                  <w:r>
                    <w:rPr>
                      <w:rFonts w:hint="eastAsia" w:eastAsiaTheme="minorEastAsia"/>
                      <w:bCs/>
                      <w:color w:val="auto"/>
                      <w:szCs w:val="21"/>
                    </w:rPr>
                    <w:t>装卸</w:t>
                  </w:r>
                  <w:r>
                    <w:rPr>
                      <w:rFonts w:eastAsiaTheme="minorEastAsia"/>
                      <w:bCs/>
                      <w:color w:val="auto"/>
                      <w:szCs w:val="21"/>
                    </w:rPr>
                    <w:t>粉尘</w:t>
                  </w:r>
                </w:p>
                <w:p>
                  <w:pPr>
                    <w:spacing w:line="0" w:lineRule="atLeast"/>
                    <w:contextualSpacing/>
                    <w:jc w:val="left"/>
                    <w:rPr>
                      <w:rFonts w:hint="eastAsia" w:eastAsiaTheme="minorEastAsia"/>
                      <w:color w:val="auto"/>
                      <w:szCs w:val="21"/>
                      <w:lang w:eastAsia="zh-CN"/>
                    </w:rPr>
                  </w:pPr>
                  <w:r>
                    <w:rPr>
                      <w:rFonts w:eastAsiaTheme="minorEastAsia"/>
                      <w:bCs/>
                      <w:color w:val="auto"/>
                      <w:szCs w:val="21"/>
                    </w:rPr>
                    <w:t>本项目矿粉筒仓</w:t>
                  </w:r>
                  <w:r>
                    <w:rPr>
                      <w:rFonts w:hint="eastAsia" w:eastAsiaTheme="minorEastAsia"/>
                      <w:bCs/>
                      <w:color w:val="auto"/>
                      <w:szCs w:val="21"/>
                    </w:rPr>
                    <w:t>装卸</w:t>
                  </w:r>
                  <w:r>
                    <w:rPr>
                      <w:rFonts w:eastAsiaTheme="minorEastAsia"/>
                      <w:bCs/>
                      <w:color w:val="auto"/>
                      <w:szCs w:val="21"/>
                    </w:rPr>
                    <w:t>时会产生粉尘，在矿粉筒顶部通过集气管道连接至除尘系统（</w:t>
                  </w:r>
                  <w:r>
                    <w:rPr>
                      <w:rFonts w:hint="eastAsia" w:eastAsiaTheme="minorEastAsia"/>
                      <w:bCs/>
                      <w:color w:val="auto"/>
                      <w:szCs w:val="21"/>
                      <w:highlight w:val="none"/>
                      <w:lang w:val="en-US" w:eastAsia="zh-CN"/>
                    </w:rPr>
                    <w:t>水湿</w:t>
                  </w:r>
                  <w:r>
                    <w:rPr>
                      <w:rFonts w:hint="eastAsia" w:eastAsiaTheme="minorEastAsia"/>
                      <w:bCs/>
                      <w:color w:val="auto"/>
                      <w:szCs w:val="21"/>
                    </w:rPr>
                    <w:t>+布袋</w:t>
                  </w:r>
                  <w:r>
                    <w:rPr>
                      <w:rFonts w:eastAsiaTheme="minorEastAsia"/>
                      <w:bCs/>
                      <w:color w:val="auto"/>
                      <w:szCs w:val="21"/>
                    </w:rPr>
                    <w:t>），处理后经除尘系统烟囱（</w:t>
                  </w:r>
                  <w:r>
                    <w:rPr>
                      <w:rFonts w:hint="eastAsia" w:eastAsiaTheme="minorEastAsia"/>
                      <w:bCs/>
                      <w:color w:val="auto"/>
                      <w:szCs w:val="21"/>
                    </w:rPr>
                    <w:t>DA00</w:t>
                  </w:r>
                  <w:r>
                    <w:rPr>
                      <w:rFonts w:hint="eastAsia" w:eastAsiaTheme="minorEastAsia"/>
                      <w:bCs/>
                      <w:color w:val="auto"/>
                      <w:szCs w:val="21"/>
                      <w:lang w:val="en-US" w:eastAsia="zh-CN"/>
                    </w:rPr>
                    <w:t>1</w:t>
                  </w:r>
                  <w:r>
                    <w:rPr>
                      <w:rFonts w:eastAsiaTheme="minorEastAsia"/>
                      <w:bCs/>
                      <w:color w:val="auto"/>
                      <w:szCs w:val="21"/>
                    </w:rPr>
                    <w:t>）排放，</w:t>
                  </w:r>
                  <w:r>
                    <w:rPr>
                      <w:rFonts w:eastAsiaTheme="minorEastAsia"/>
                      <w:color w:val="auto"/>
                      <w:szCs w:val="21"/>
                    </w:rPr>
                    <w:t>除尘效率为99%</w:t>
                  </w:r>
                  <w:r>
                    <w:rPr>
                      <w:rFonts w:hint="eastAsia" w:eastAsiaTheme="minorEastAsia"/>
                      <w:color w:val="auto"/>
                      <w:szCs w:val="21"/>
                      <w:lang w:eastAsia="zh-CN"/>
                    </w:rPr>
                    <w:t>。</w:t>
                  </w:r>
                </w:p>
                <w:p>
                  <w:pPr>
                    <w:spacing w:line="0" w:lineRule="atLeast"/>
                    <w:contextualSpacing/>
                    <w:jc w:val="left"/>
                    <w:rPr>
                      <w:rFonts w:eastAsiaTheme="minorEastAsia"/>
                      <w:bCs/>
                      <w:color w:val="auto"/>
                      <w:szCs w:val="21"/>
                    </w:rPr>
                  </w:pPr>
                  <w:r>
                    <w:rPr>
                      <w:rFonts w:hint="eastAsia" w:eastAsiaTheme="minorEastAsia"/>
                      <w:bCs/>
                      <w:color w:val="auto"/>
                      <w:szCs w:val="21"/>
                      <w:lang w:val="en-US" w:eastAsia="zh-CN"/>
                    </w:rPr>
                    <w:t>5</w:t>
                  </w:r>
                  <w:r>
                    <w:rPr>
                      <w:rFonts w:eastAsiaTheme="minorEastAsia"/>
                      <w:bCs/>
                      <w:color w:val="auto"/>
                      <w:szCs w:val="21"/>
                    </w:rPr>
                    <w:t>、沥青混凝土生产线废气</w:t>
                  </w:r>
                </w:p>
                <w:p>
                  <w:pPr>
                    <w:adjustRightInd w:val="0"/>
                    <w:snapToGrid w:val="0"/>
                    <w:textAlignment w:val="center"/>
                    <w:rPr>
                      <w:color w:val="auto"/>
                    </w:rPr>
                  </w:pPr>
                  <w:r>
                    <w:rPr>
                      <w:rFonts w:hint="eastAsia" w:eastAsiaTheme="minorEastAsia"/>
                      <w:bCs/>
                      <w:color w:val="auto"/>
                      <w:szCs w:val="21"/>
                    </w:rPr>
                    <w:t>本项目</w:t>
                  </w:r>
                  <w:r>
                    <w:rPr>
                      <w:rFonts w:hint="eastAsia" w:eastAsiaTheme="minorEastAsia"/>
                      <w:bCs/>
                      <w:color w:val="auto"/>
                      <w:szCs w:val="21"/>
                      <w:lang w:val="en-US" w:eastAsia="zh-CN"/>
                    </w:rPr>
                    <w:t>骨料</w:t>
                  </w:r>
                  <w:r>
                    <w:rPr>
                      <w:rFonts w:hint="eastAsia" w:eastAsiaTheme="minorEastAsia"/>
                      <w:bCs/>
                      <w:color w:val="auto"/>
                      <w:szCs w:val="21"/>
                    </w:rPr>
                    <w:t>筛分、烘干废气、热料仓落料废气、燃烧器烟气</w:t>
                  </w:r>
                  <w:r>
                    <w:rPr>
                      <w:rFonts w:hint="eastAsia" w:eastAsiaTheme="minorEastAsia"/>
                      <w:bCs/>
                      <w:color w:val="auto"/>
                      <w:szCs w:val="21"/>
                      <w:lang w:val="en-US" w:eastAsia="zh-CN"/>
                    </w:rPr>
                    <w:t>经各自引风机及管道引入</w:t>
                  </w:r>
                  <w:r>
                    <w:rPr>
                      <w:rFonts w:hint="eastAsia" w:eastAsiaTheme="minorEastAsia"/>
                      <w:bCs/>
                      <w:color w:val="auto"/>
                      <w:szCs w:val="21"/>
                    </w:rPr>
                    <w:t>除尘系统（</w:t>
                  </w:r>
                  <w:r>
                    <w:rPr>
                      <w:rFonts w:hint="eastAsia" w:eastAsiaTheme="minorEastAsia"/>
                      <w:bCs/>
                      <w:color w:val="auto"/>
                      <w:szCs w:val="21"/>
                      <w:lang w:val="en-US" w:eastAsia="zh-CN"/>
                    </w:rPr>
                    <w:t>水湿</w:t>
                  </w:r>
                  <w:r>
                    <w:rPr>
                      <w:rFonts w:hint="eastAsia" w:eastAsiaTheme="minorEastAsia"/>
                      <w:bCs/>
                      <w:color w:val="auto"/>
                      <w:szCs w:val="21"/>
                    </w:rPr>
                    <w:t>+布袋）处理后，由</w:t>
                  </w:r>
                  <w:r>
                    <w:rPr>
                      <w:rFonts w:hint="eastAsia" w:eastAsiaTheme="minorEastAsia"/>
                      <w:bCs/>
                      <w:color w:val="auto"/>
                      <w:szCs w:val="21"/>
                      <w:lang w:val="en-US" w:eastAsia="zh-CN"/>
                    </w:rPr>
                    <w:t>15</w:t>
                  </w:r>
                  <w:r>
                    <w:rPr>
                      <w:rFonts w:hint="eastAsia" w:eastAsiaTheme="minorEastAsia"/>
                      <w:bCs/>
                      <w:color w:val="auto"/>
                      <w:szCs w:val="21"/>
                    </w:rPr>
                    <w:t>m高除尘系统烟囱（DA00</w:t>
                  </w:r>
                  <w:r>
                    <w:rPr>
                      <w:rFonts w:hint="eastAsia" w:eastAsiaTheme="minorEastAsia"/>
                      <w:bCs/>
                      <w:color w:val="auto"/>
                      <w:szCs w:val="21"/>
                      <w:lang w:val="en-US" w:eastAsia="zh-CN"/>
                    </w:rPr>
                    <w:t>1</w:t>
                  </w:r>
                  <w:r>
                    <w:rPr>
                      <w:rFonts w:hint="eastAsia" w:eastAsiaTheme="minorEastAsia"/>
                      <w:bCs/>
                      <w:color w:val="auto"/>
                      <w:szCs w:val="21"/>
                    </w:rPr>
                    <w:t>）排放，除尘效率为99%；</w:t>
                  </w:r>
                  <w:r>
                    <w:rPr>
                      <w:rFonts w:hint="eastAsia" w:eastAsiaTheme="minorEastAsia"/>
                      <w:bCs/>
                      <w:color w:val="auto"/>
                      <w:szCs w:val="21"/>
                      <w:lang w:val="en-US" w:eastAsia="zh-CN"/>
                    </w:rPr>
                    <w:t>沥青烟</w:t>
                  </w:r>
                  <w:r>
                    <w:rPr>
                      <w:rFonts w:hint="eastAsia" w:eastAsiaTheme="minorEastAsia"/>
                      <w:bCs/>
                      <w:color w:val="auto"/>
                      <w:szCs w:val="21"/>
                    </w:rPr>
                    <w:t>经</w:t>
                  </w:r>
                  <w:r>
                    <w:rPr>
                      <w:rFonts w:hint="eastAsia" w:eastAsiaTheme="minorEastAsia"/>
                      <w:bCs/>
                      <w:color w:val="auto"/>
                      <w:szCs w:val="21"/>
                      <w:lang w:val="en-US" w:eastAsia="zh-CN"/>
                    </w:rPr>
                    <w:t>15</w:t>
                  </w:r>
                  <w:r>
                    <w:rPr>
                      <w:rFonts w:hint="eastAsia" w:eastAsiaTheme="minorEastAsia"/>
                      <w:bCs/>
                      <w:color w:val="auto"/>
                      <w:szCs w:val="21"/>
                    </w:rPr>
                    <w:t>m高除尘系统烟囱（DA00</w:t>
                  </w:r>
                  <w:r>
                    <w:rPr>
                      <w:rFonts w:hint="eastAsia" w:eastAsiaTheme="minorEastAsia"/>
                      <w:bCs/>
                      <w:color w:val="auto"/>
                      <w:szCs w:val="21"/>
                      <w:lang w:val="en-US" w:eastAsia="zh-CN"/>
                    </w:rPr>
                    <w:t>1</w:t>
                  </w:r>
                  <w:r>
                    <w:rPr>
                      <w:rFonts w:hint="eastAsia" w:eastAsiaTheme="minorEastAsia"/>
                      <w:bCs/>
                      <w:color w:val="auto"/>
                      <w:szCs w:val="21"/>
                    </w:rPr>
                    <w:t>）排放</w:t>
                  </w:r>
                  <w:r>
                    <w:rPr>
                      <w:rFonts w:hint="eastAsia" w:eastAsiaTheme="minorEastAsia"/>
                      <w:bCs/>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color w:val="auto"/>
                      <w:szCs w:val="21"/>
                    </w:rPr>
                  </w:pPr>
                </w:p>
              </w:tc>
              <w:tc>
                <w:tcPr>
                  <w:tcW w:w="104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废水</w:t>
                  </w:r>
                </w:p>
              </w:tc>
              <w:tc>
                <w:tcPr>
                  <w:tcW w:w="3204" w:type="pct"/>
                  <w:shd w:val="clear" w:color="auto" w:fill="FFFFFF"/>
                  <w:vAlign w:val="center"/>
                </w:tcPr>
                <w:p>
                  <w:pPr>
                    <w:adjustRightInd w:val="0"/>
                    <w:snapToGrid w:val="0"/>
                    <w:textAlignment w:val="center"/>
                    <w:rPr>
                      <w:color w:val="auto"/>
                      <w:szCs w:val="21"/>
                    </w:rPr>
                  </w:pPr>
                  <w:r>
                    <w:rPr>
                      <w:color w:val="auto"/>
                      <w:szCs w:val="21"/>
                    </w:rPr>
                    <w:t>本项目</w:t>
                  </w:r>
                  <w:r>
                    <w:rPr>
                      <w:rFonts w:hint="eastAsia"/>
                      <w:color w:val="auto"/>
                      <w:szCs w:val="21"/>
                    </w:rPr>
                    <w:t>生活污水排入防渗</w:t>
                  </w:r>
                  <w:r>
                    <w:rPr>
                      <w:rFonts w:hint="eastAsia"/>
                      <w:color w:val="auto"/>
                      <w:szCs w:val="21"/>
                      <w:highlight w:val="none"/>
                      <w:lang w:val="en-US" w:eastAsia="zh-CN"/>
                    </w:rPr>
                    <w:t>旱厕定期清掏</w:t>
                  </w:r>
                  <w:r>
                    <w:rPr>
                      <w:rFonts w:hint="eastAsia"/>
                      <w:color w:val="auto"/>
                      <w:szCs w:val="21"/>
                    </w:rPr>
                    <w:t>。</w:t>
                  </w:r>
                  <w:r>
                    <w:rPr>
                      <w:rFonts w:hint="eastAsia" w:eastAsiaTheme="minorEastAsia"/>
                      <w:color w:val="auto"/>
                      <w:szCs w:val="21"/>
                      <w:lang w:val="en-US" w:eastAsia="zh-CN"/>
                    </w:rPr>
                    <w:t>生产废水回用</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52" w:type="pct"/>
                  <w:vMerge w:val="continue"/>
                  <w:shd w:val="clear" w:color="auto" w:fill="FFFFFF"/>
                  <w:vAlign w:val="center"/>
                </w:tcPr>
                <w:p>
                  <w:pPr>
                    <w:pStyle w:val="112"/>
                    <w:widowControl w:val="0"/>
                    <w:tabs>
                      <w:tab w:val="left" w:pos="6480"/>
                    </w:tabs>
                    <w:adjustRightInd w:val="0"/>
                    <w:snapToGrid w:val="0"/>
                    <w:jc w:val="center"/>
                    <w:textAlignment w:val="center"/>
                    <w:rPr>
                      <w:color w:val="auto"/>
                      <w:szCs w:val="21"/>
                    </w:rPr>
                  </w:pPr>
                </w:p>
              </w:tc>
              <w:tc>
                <w:tcPr>
                  <w:tcW w:w="1042" w:type="pct"/>
                  <w:shd w:val="clear" w:color="auto" w:fill="FFFFFF"/>
                  <w:vAlign w:val="center"/>
                </w:tcPr>
                <w:p>
                  <w:pPr>
                    <w:pStyle w:val="112"/>
                    <w:widowControl w:val="0"/>
                    <w:tabs>
                      <w:tab w:val="left" w:pos="6480"/>
                    </w:tabs>
                    <w:adjustRightInd w:val="0"/>
                    <w:snapToGrid w:val="0"/>
                    <w:jc w:val="center"/>
                    <w:textAlignment w:val="center"/>
                    <w:rPr>
                      <w:color w:val="auto"/>
                      <w:szCs w:val="21"/>
                    </w:rPr>
                  </w:pPr>
                  <w:r>
                    <w:rPr>
                      <w:color w:val="auto"/>
                      <w:szCs w:val="21"/>
                    </w:rPr>
                    <w:t>噪声</w:t>
                  </w:r>
                </w:p>
              </w:tc>
              <w:tc>
                <w:tcPr>
                  <w:tcW w:w="3204" w:type="pct"/>
                  <w:shd w:val="clear" w:color="auto" w:fill="FFFFFF"/>
                  <w:vAlign w:val="center"/>
                </w:tcPr>
                <w:p>
                  <w:pPr>
                    <w:adjustRightInd w:val="0"/>
                    <w:snapToGrid w:val="0"/>
                    <w:textAlignment w:val="center"/>
                    <w:rPr>
                      <w:color w:val="auto"/>
                      <w:szCs w:val="21"/>
                      <w:highlight w:val="red"/>
                    </w:rPr>
                  </w:pPr>
                  <w:r>
                    <w:rPr>
                      <w:color w:val="auto"/>
                      <w:szCs w:val="21"/>
                    </w:rPr>
                    <w:t>选用低噪声设备，安装基础减振措施，</w:t>
                  </w:r>
                  <w:r>
                    <w:rPr>
                      <w:rFonts w:hint="eastAsia"/>
                      <w:color w:val="auto"/>
                      <w:szCs w:val="21"/>
                    </w:rPr>
                    <w:t>厂房隔声，厂界</w:t>
                  </w:r>
                  <w:r>
                    <w:rPr>
                      <w:color w:val="auto"/>
                      <w:szCs w:val="21"/>
                    </w:rPr>
                    <w:t>达到《工业企业厂界环境噪声排放标准》（GB12348-2008）</w:t>
                  </w:r>
                  <w:r>
                    <w:rPr>
                      <w:rFonts w:hint="eastAsia"/>
                      <w:color w:val="auto"/>
                      <w:szCs w:val="21"/>
                    </w:rPr>
                    <w:t>2</w:t>
                  </w:r>
                  <w:r>
                    <w:rPr>
                      <w:color w:val="auto"/>
                      <w:szCs w:val="21"/>
                    </w:rPr>
                    <w:t>类标准</w:t>
                  </w:r>
                  <w:r>
                    <w:rPr>
                      <w:rFonts w:hint="eastAsia"/>
                      <w:color w:val="auto"/>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52" w:type="pct"/>
                  <w:vMerge w:val="continue"/>
                  <w:shd w:val="clear" w:color="auto" w:fill="FFFFFF"/>
                  <w:vAlign w:val="center"/>
                </w:tcPr>
                <w:p>
                  <w:pPr>
                    <w:pStyle w:val="112"/>
                    <w:widowControl w:val="0"/>
                    <w:tabs>
                      <w:tab w:val="left" w:pos="6480"/>
                    </w:tabs>
                    <w:adjustRightInd w:val="0"/>
                    <w:snapToGrid w:val="0"/>
                    <w:textAlignment w:val="center"/>
                    <w:rPr>
                      <w:color w:val="auto"/>
                      <w:szCs w:val="21"/>
                    </w:rPr>
                  </w:pPr>
                </w:p>
              </w:tc>
              <w:tc>
                <w:tcPr>
                  <w:tcW w:w="1042" w:type="pct"/>
                  <w:shd w:val="clear" w:color="auto" w:fill="FFFFFF"/>
                  <w:vAlign w:val="center"/>
                </w:tcPr>
                <w:p>
                  <w:pPr>
                    <w:adjustRightInd w:val="0"/>
                    <w:snapToGrid w:val="0"/>
                    <w:jc w:val="center"/>
                    <w:textAlignment w:val="center"/>
                    <w:rPr>
                      <w:color w:val="auto"/>
                      <w:szCs w:val="21"/>
                    </w:rPr>
                  </w:pPr>
                  <w:r>
                    <w:rPr>
                      <w:color w:val="auto"/>
                      <w:szCs w:val="21"/>
                    </w:rPr>
                    <w:t>固废</w:t>
                  </w:r>
                </w:p>
              </w:tc>
              <w:tc>
                <w:tcPr>
                  <w:tcW w:w="3204" w:type="pct"/>
                  <w:shd w:val="clear" w:color="auto" w:fill="FFFFFF"/>
                  <w:vAlign w:val="center"/>
                </w:tcPr>
                <w:p>
                  <w:pPr>
                    <w:adjustRightInd w:val="0"/>
                    <w:snapToGrid w:val="0"/>
                    <w:textAlignment w:val="center"/>
                    <w:rPr>
                      <w:bCs/>
                      <w:color w:val="auto"/>
                      <w:szCs w:val="21"/>
                    </w:rPr>
                  </w:pPr>
                  <w:r>
                    <w:rPr>
                      <w:bCs/>
                      <w:color w:val="auto"/>
                      <w:szCs w:val="21"/>
                    </w:rPr>
                    <w:t>除尘器中收集的原料粉尘均回收利用。</w:t>
                  </w:r>
                </w:p>
                <w:p>
                  <w:pPr>
                    <w:adjustRightInd w:val="0"/>
                    <w:snapToGrid w:val="0"/>
                    <w:textAlignment w:val="center"/>
                    <w:rPr>
                      <w:bCs/>
                      <w:color w:val="auto"/>
                      <w:szCs w:val="21"/>
                    </w:rPr>
                  </w:pPr>
                  <w:r>
                    <w:rPr>
                      <w:bCs/>
                      <w:color w:val="auto"/>
                      <w:szCs w:val="21"/>
                    </w:rPr>
                    <w:t>本项目废导热油委托有资质单位处置。</w:t>
                  </w:r>
                </w:p>
                <w:p>
                  <w:pPr>
                    <w:adjustRightInd w:val="0"/>
                    <w:snapToGrid w:val="0"/>
                    <w:textAlignment w:val="center"/>
                    <w:rPr>
                      <w:bCs/>
                      <w:color w:val="auto"/>
                      <w:szCs w:val="21"/>
                    </w:rPr>
                  </w:pPr>
                  <w:r>
                    <w:rPr>
                      <w:bCs/>
                      <w:color w:val="auto"/>
                      <w:szCs w:val="21"/>
                    </w:rPr>
                    <w:t>不合格石料作为路基材料外卖。</w:t>
                  </w:r>
                </w:p>
                <w:p>
                  <w:pPr>
                    <w:adjustRightInd w:val="0"/>
                    <w:snapToGrid w:val="0"/>
                    <w:textAlignment w:val="center"/>
                    <w:rPr>
                      <w:color w:val="auto"/>
                    </w:rPr>
                  </w:pPr>
                  <w:r>
                    <w:rPr>
                      <w:color w:val="auto"/>
                      <w:szCs w:val="21"/>
                    </w:rPr>
                    <w:t>生活垃圾及废布袋由市政环卫部门处理；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52" w:type="pct"/>
                  <w:vMerge w:val="continue"/>
                  <w:shd w:val="clear" w:color="auto" w:fill="FFFFFF"/>
                  <w:vAlign w:val="center"/>
                </w:tcPr>
                <w:p>
                  <w:pPr>
                    <w:pStyle w:val="112"/>
                    <w:widowControl w:val="0"/>
                    <w:tabs>
                      <w:tab w:val="left" w:pos="6480"/>
                    </w:tabs>
                    <w:adjustRightInd w:val="0"/>
                    <w:snapToGrid w:val="0"/>
                    <w:textAlignment w:val="center"/>
                    <w:rPr>
                      <w:color w:val="auto"/>
                      <w:szCs w:val="21"/>
                    </w:rPr>
                  </w:pPr>
                </w:p>
              </w:tc>
              <w:tc>
                <w:tcPr>
                  <w:tcW w:w="1042" w:type="pct"/>
                  <w:shd w:val="clear" w:color="auto" w:fill="FFFFFF"/>
                  <w:vAlign w:val="center"/>
                </w:tcPr>
                <w:p>
                  <w:pPr>
                    <w:adjustRightInd w:val="0"/>
                    <w:snapToGrid w:val="0"/>
                    <w:jc w:val="center"/>
                    <w:textAlignment w:val="center"/>
                    <w:rPr>
                      <w:color w:val="auto"/>
                      <w:szCs w:val="21"/>
                    </w:rPr>
                  </w:pPr>
                  <w:r>
                    <w:rPr>
                      <w:rFonts w:hint="eastAsia"/>
                      <w:color w:val="auto"/>
                      <w:szCs w:val="21"/>
                    </w:rPr>
                    <w:t>地下防渗措施</w:t>
                  </w:r>
                </w:p>
              </w:tc>
              <w:tc>
                <w:tcPr>
                  <w:tcW w:w="3204" w:type="pct"/>
                  <w:shd w:val="clear" w:color="auto" w:fill="FFFFFF"/>
                  <w:vAlign w:val="center"/>
                </w:tcPr>
                <w:p>
                  <w:pPr>
                    <w:adjustRightInd w:val="0"/>
                    <w:snapToGrid w:val="0"/>
                    <w:textAlignment w:val="center"/>
                    <w:rPr>
                      <w:color w:val="auto"/>
                      <w:szCs w:val="21"/>
                    </w:rPr>
                  </w:pPr>
                  <w:r>
                    <w:rPr>
                      <w:rFonts w:hint="eastAsia"/>
                      <w:color w:val="auto"/>
                      <w:szCs w:val="21"/>
                    </w:rPr>
                    <w:t>建设危废</w:t>
                  </w:r>
                  <w:r>
                    <w:rPr>
                      <w:rFonts w:hint="eastAsia"/>
                      <w:color w:val="auto"/>
                      <w:szCs w:val="21"/>
                      <w:lang w:val="en-US" w:eastAsia="zh-CN"/>
                    </w:rPr>
                    <w:t>贮存点</w:t>
                  </w:r>
                  <w:r>
                    <w:rPr>
                      <w:rFonts w:hint="eastAsia"/>
                      <w:color w:val="auto"/>
                      <w:szCs w:val="21"/>
                    </w:rPr>
                    <w:t>建筑面积为</w:t>
                  </w:r>
                  <w:r>
                    <w:rPr>
                      <w:rFonts w:hint="eastAsia"/>
                      <w:color w:val="auto"/>
                      <w:szCs w:val="21"/>
                      <w:lang w:val="en-US" w:eastAsia="zh-CN"/>
                    </w:rPr>
                    <w:t>2</w:t>
                  </w:r>
                  <w:r>
                    <w:rPr>
                      <w:rFonts w:hint="eastAsia"/>
                      <w:color w:val="auto"/>
                      <w:szCs w:val="21"/>
                    </w:rPr>
                    <w:t>5m</w:t>
                  </w:r>
                  <w:r>
                    <w:rPr>
                      <w:rFonts w:hint="eastAsia"/>
                      <w:color w:val="auto"/>
                      <w:szCs w:val="21"/>
                      <w:vertAlign w:val="superscript"/>
                    </w:rPr>
                    <w:t>2</w:t>
                  </w:r>
                  <w:r>
                    <w:rPr>
                      <w:rFonts w:hint="eastAsia"/>
                      <w:color w:val="auto"/>
                      <w:szCs w:val="21"/>
                    </w:rPr>
                    <w:t>，设置在办公</w:t>
                  </w:r>
                  <w:r>
                    <w:rPr>
                      <w:rFonts w:hint="eastAsia"/>
                      <w:color w:val="auto"/>
                      <w:szCs w:val="21"/>
                      <w:lang w:val="en-US" w:eastAsia="zh-CN"/>
                    </w:rPr>
                    <w:t>楼独立区域</w:t>
                  </w:r>
                  <w:r>
                    <w:rPr>
                      <w:rFonts w:hint="eastAsia"/>
                      <w:color w:val="auto"/>
                      <w:szCs w:val="21"/>
                    </w:rPr>
                    <w:t>，</w:t>
                  </w:r>
                  <w:r>
                    <w:rPr>
                      <w:rFonts w:hint="eastAsia"/>
                      <w:bCs/>
                      <w:color w:val="auto"/>
                      <w:kern w:val="0"/>
                      <w:szCs w:val="21"/>
                    </w:rPr>
                    <w:t>设置标识、围堰，基础必须防渗，防渗层为2mm厚高密度氯乙烯防渗，渗透系数≤1×10</w:t>
                  </w:r>
                  <w:r>
                    <w:rPr>
                      <w:rFonts w:hint="eastAsia"/>
                      <w:bCs/>
                      <w:color w:val="auto"/>
                      <w:kern w:val="0"/>
                      <w:szCs w:val="21"/>
                      <w:vertAlign w:val="superscript"/>
                    </w:rPr>
                    <w:t>-10</w:t>
                  </w:r>
                  <w:r>
                    <w:rPr>
                      <w:rFonts w:hint="eastAsia"/>
                      <w:bCs/>
                      <w:color w:val="auto"/>
                      <w:kern w:val="0"/>
                      <w:szCs w:val="21"/>
                    </w:rPr>
                    <w:t>cm/s；</w:t>
                  </w:r>
                </w:p>
              </w:tc>
            </w:tr>
          </w:tbl>
          <w:p>
            <w:pPr>
              <w:spacing w:line="360" w:lineRule="auto"/>
              <w:contextualSpacing/>
              <w:jc w:val="center"/>
              <w:rPr>
                <w:rFonts w:hint="default" w:ascii="Times New Roman" w:hAnsi="Times New Roman" w:eastAsia="黑体" w:cs="Times New Roman"/>
                <w:bCs/>
                <w:color w:val="auto"/>
                <w:sz w:val="24"/>
                <w:lang w:val="en-US" w:eastAsia="zh-CN"/>
              </w:rPr>
            </w:pPr>
            <w:r>
              <w:rPr>
                <w:rFonts w:eastAsia="黑体"/>
                <w:bCs/>
                <w:color w:val="auto"/>
                <w:sz w:val="24"/>
              </w:rPr>
              <w:t>表2-</w:t>
            </w:r>
            <w:r>
              <w:rPr>
                <w:rFonts w:hint="eastAsia" w:eastAsia="黑体"/>
                <w:bCs/>
                <w:color w:val="auto"/>
                <w:sz w:val="24"/>
                <w:lang w:val="en-US" w:eastAsia="zh-CN"/>
              </w:rPr>
              <w:t>2现有设备表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6" w:type="dxa"/>
                <w:bottom w:w="0" w:type="dxa"/>
                <w:right w:w="56" w:type="dxa"/>
              </w:tblCellMar>
            </w:tblPr>
            <w:tblGrid>
              <w:gridCol w:w="923"/>
              <w:gridCol w:w="1744"/>
              <w:gridCol w:w="2913"/>
              <w:gridCol w:w="1785"/>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序号</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设备名称</w:t>
                  </w:r>
                </w:p>
              </w:tc>
              <w:tc>
                <w:tcPr>
                  <w:tcW w:w="1642"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规模</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数量</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983" w:type="pct"/>
                  <w:shd w:val="clear" w:color="auto" w:fill="auto"/>
                  <w:noWrap w:val="0"/>
                  <w:vAlign w:val="center"/>
                </w:tcPr>
                <w:p>
                  <w:pPr>
                    <w:adjustRightInd w:val="0"/>
                    <w:snapToGrid w:val="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搅拌设备</w:t>
                  </w:r>
                </w:p>
              </w:tc>
              <w:tc>
                <w:tcPr>
                  <w:tcW w:w="1642" w:type="pct"/>
                  <w:shd w:val="clear" w:color="auto" w:fill="auto"/>
                  <w:noWrap w:val="0"/>
                  <w:vAlign w:val="center"/>
                </w:tcPr>
                <w:p>
                  <w:pPr>
                    <w:adjustRightInd w:val="0"/>
                    <w:snapToGrid w:val="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LJ4000型沥青混合料搅拌设备</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干燥滚筒</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功率88kw</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主燃烧器</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功率72.5kw</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热骨料仓</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容积45m³</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振动筛</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处理能力330t/h</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粉料仓</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容积80m³</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1" w:hRule="atLeast"/>
                <w:jc w:val="center"/>
              </w:trPr>
              <w:tc>
                <w:tcPr>
                  <w:tcW w:w="520" w:type="pct"/>
                  <w:noWrap w:val="0"/>
                  <w:vAlign w:val="center"/>
                </w:tcPr>
                <w:p>
                  <w:pPr>
                    <w:adjustRightInd w:val="0"/>
                    <w:snapToGrid w:val="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p>
              </w:tc>
              <w:tc>
                <w:tcPr>
                  <w:tcW w:w="983"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搅拌器</w:t>
                  </w:r>
                </w:p>
              </w:tc>
              <w:tc>
                <w:tcPr>
                  <w:tcW w:w="1642" w:type="pct"/>
                  <w:noWrap w:val="0"/>
                  <w:vAlign w:val="center"/>
                </w:tcPr>
                <w:p>
                  <w:pPr>
                    <w:pStyle w:val="205"/>
                    <w:widowControl w:val="0"/>
                    <w:pBdr>
                      <w:left w:val="none" w:color="auto" w:sz="0" w:space="0"/>
                      <w:bottom w:val="none" w:color="auto" w:sz="0" w:space="0"/>
                      <w:right w:val="none" w:color="auto" w:sz="0" w:space="0"/>
                    </w:pBdr>
                    <w:adjustRightInd w:val="0"/>
                    <w:snapToGrid w:val="0"/>
                    <w:spacing w:before="0" w:beforeAutospacing="0" w:after="0" w:afterAutospacing="0"/>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处理能力320t/h</w:t>
                  </w:r>
                </w:p>
              </w:tc>
              <w:tc>
                <w:tcPr>
                  <w:tcW w:w="1006" w:type="pct"/>
                  <w:noWrap w:val="0"/>
                  <w:vAlign w:val="center"/>
                </w:tcPr>
                <w:p>
                  <w:pPr>
                    <w:adjustRightInd w:val="0"/>
                    <w:snapToGrid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46" w:type="pct"/>
                  <w:noWrap w:val="0"/>
                  <w:vAlign w:val="center"/>
                </w:tcPr>
                <w:p>
                  <w:pPr>
                    <w:adjustRightInd w:val="0"/>
                    <w:snapToGrid w:val="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台</w:t>
                  </w:r>
                </w:p>
              </w:tc>
            </w:tr>
          </w:tbl>
          <w:p>
            <w:pPr>
              <w:spacing w:line="360" w:lineRule="auto"/>
              <w:ind w:firstLine="480" w:firstLineChars="200"/>
              <w:contextualSpacing/>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二、现有工程排污分析</w:t>
            </w:r>
          </w:p>
          <w:p>
            <w:pPr>
              <w:spacing w:line="360" w:lineRule="auto"/>
              <w:ind w:firstLine="480" w:firstLineChars="200"/>
              <w:contextualSpacing/>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1、废气</w:t>
            </w:r>
          </w:p>
          <w:p>
            <w:pPr>
              <w:spacing w:line="360" w:lineRule="auto"/>
              <w:ind w:firstLine="480" w:firstLineChars="200"/>
              <w:contextualSpacing/>
              <w:jc w:val="left"/>
              <w:rPr>
                <w:rFonts w:hint="default" w:eastAsia="宋体"/>
                <w:color w:val="auto"/>
                <w:sz w:val="24"/>
                <w:szCs w:val="24"/>
                <w:lang w:val="en-US" w:eastAsia="zh-CN"/>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10月25</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黑龙江泓泽检测评价有限公司出具的污染源检测报告，导热油炉</w:t>
            </w:r>
            <w:r>
              <w:rPr>
                <w:color w:val="auto"/>
                <w:sz w:val="24"/>
                <w:szCs w:val="24"/>
              </w:rPr>
              <w:t>颗粒物、二氧化硫、氮氧化物</w:t>
            </w:r>
            <w:r>
              <w:rPr>
                <w:rFonts w:hint="eastAsia"/>
                <w:color w:val="auto"/>
                <w:sz w:val="24"/>
                <w:szCs w:val="24"/>
                <w:lang w:val="en-US" w:eastAsia="zh-CN"/>
              </w:rPr>
              <w:t>排放浓度为</w:t>
            </w:r>
            <w:r>
              <w:rPr>
                <w:rFonts w:hint="eastAsia" w:ascii="Times New Roman" w:hAnsi="Times New Roman" w:eastAsia="宋体" w:cs="Times New Roman"/>
                <w:i w:val="0"/>
                <w:iCs w:val="0"/>
                <w:color w:val="auto"/>
                <w:kern w:val="0"/>
                <w:sz w:val="24"/>
                <w:szCs w:val="24"/>
                <w:u w:val="none"/>
                <w:lang w:val="en-US" w:eastAsia="zh-CN" w:bidi="ar"/>
              </w:rPr>
              <w:t>11.1</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，4</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，116</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color w:val="auto"/>
                <w:sz w:val="24"/>
                <w:szCs w:val="24"/>
                <w:lang w:val="en-US" w:eastAsia="zh-CN"/>
              </w:rPr>
              <w:t>，</w:t>
            </w:r>
            <w:r>
              <w:rPr>
                <w:color w:val="auto"/>
                <w:sz w:val="24"/>
                <w:szCs w:val="24"/>
              </w:rPr>
              <w:t>均满足《锅炉大气污染物排放标准》（GB13271-2014）表</w:t>
            </w:r>
            <w:r>
              <w:rPr>
                <w:rFonts w:hint="eastAsia"/>
                <w:color w:val="auto"/>
                <w:sz w:val="24"/>
                <w:szCs w:val="24"/>
              </w:rPr>
              <w:t>2</w:t>
            </w:r>
            <w:r>
              <w:rPr>
                <w:color w:val="auto"/>
                <w:sz w:val="24"/>
                <w:szCs w:val="24"/>
              </w:rPr>
              <w:t>燃</w:t>
            </w:r>
            <w:r>
              <w:rPr>
                <w:rFonts w:hint="eastAsia"/>
                <w:color w:val="auto"/>
                <w:sz w:val="24"/>
                <w:szCs w:val="24"/>
                <w:lang w:val="en-US" w:eastAsia="zh-CN"/>
              </w:rPr>
              <w:t>油</w:t>
            </w:r>
            <w:r>
              <w:rPr>
                <w:color w:val="auto"/>
                <w:sz w:val="24"/>
                <w:szCs w:val="24"/>
              </w:rPr>
              <w:t>锅炉大气污染物排放限值标准。</w:t>
            </w:r>
            <w:r>
              <w:rPr>
                <w:rFonts w:hint="eastAsia"/>
                <w:color w:val="auto"/>
                <w:sz w:val="24"/>
                <w:szCs w:val="24"/>
                <w:lang w:val="en-US" w:eastAsia="zh-CN"/>
              </w:rPr>
              <w:t>生产排气筒</w:t>
            </w:r>
            <w:r>
              <w:rPr>
                <w:color w:val="auto"/>
                <w:sz w:val="24"/>
                <w:szCs w:val="24"/>
              </w:rPr>
              <w:t>颗粒物、二氧化硫、氮氧化物</w:t>
            </w:r>
            <w:r>
              <w:rPr>
                <w:rFonts w:hint="eastAsia"/>
                <w:color w:val="auto"/>
                <w:sz w:val="24"/>
                <w:szCs w:val="24"/>
                <w:lang w:eastAsia="zh-CN"/>
              </w:rPr>
              <w:t>、</w:t>
            </w:r>
            <w:r>
              <w:rPr>
                <w:rFonts w:hint="eastAsia"/>
                <w:color w:val="auto"/>
                <w:sz w:val="24"/>
                <w:szCs w:val="24"/>
                <w:lang w:val="en-US" w:eastAsia="zh-CN"/>
              </w:rPr>
              <w:t>非甲烷总烃</w:t>
            </w:r>
            <w:r>
              <w:rPr>
                <w:rFonts w:hint="eastAsia" w:ascii="Times New Roman" w:hAnsi="Times New Roman" w:eastAsia="宋体" w:cs="Times New Roman"/>
                <w:color w:val="auto"/>
                <w:sz w:val="24"/>
                <w:szCs w:val="24"/>
                <w:lang w:val="en-US" w:eastAsia="zh-CN"/>
              </w:rPr>
              <w:t>、苯并[a]芘排放</w:t>
            </w:r>
            <w:r>
              <w:rPr>
                <w:rFonts w:hint="eastAsia"/>
                <w:color w:val="auto"/>
                <w:sz w:val="24"/>
                <w:szCs w:val="24"/>
                <w:lang w:val="en-US" w:eastAsia="zh-CN"/>
              </w:rPr>
              <w:t>浓度为</w:t>
            </w:r>
            <w:r>
              <w:rPr>
                <w:rFonts w:hint="eastAsia" w:ascii="Times New Roman" w:hAnsi="Times New Roman" w:eastAsia="宋体" w:cs="Times New Roman"/>
                <w:i w:val="0"/>
                <w:iCs w:val="0"/>
                <w:color w:val="auto"/>
                <w:kern w:val="0"/>
                <w:sz w:val="24"/>
                <w:szCs w:val="24"/>
                <w:u w:val="none"/>
                <w:lang w:val="en-US" w:eastAsia="zh-CN" w:bidi="ar"/>
              </w:rPr>
              <w:t>22.3</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、10</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、100</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、4.04</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和</w:t>
            </w:r>
            <w:r>
              <w:rPr>
                <w:rFonts w:hint="eastAsia" w:ascii="Times New Roman" w:hAnsi="Times New Roman" w:cs="Times New Roman"/>
                <w:color w:val="auto"/>
                <w:kern w:val="2"/>
                <w:sz w:val="24"/>
                <w:szCs w:val="24"/>
                <w:lang w:val="en-US" w:eastAsia="zh-CN" w:bidi="ar-SA"/>
              </w:rPr>
              <w:t>0.00002L</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kern w:val="2"/>
                <w:sz w:val="24"/>
                <w:szCs w:val="24"/>
                <w:lang w:val="en-US" w:eastAsia="zh-CN" w:bidi="ar-SA"/>
              </w:rPr>
              <w:t>，</w:t>
            </w:r>
            <w:r>
              <w:rPr>
                <w:color w:val="auto"/>
                <w:sz w:val="24"/>
                <w:szCs w:val="24"/>
              </w:rPr>
              <w:t>颗粒物、</w:t>
            </w:r>
            <w:r>
              <w:rPr>
                <w:rFonts w:hint="eastAsia"/>
                <w:color w:val="auto"/>
                <w:sz w:val="24"/>
                <w:szCs w:val="24"/>
                <w:lang w:val="en-US" w:eastAsia="zh-CN"/>
              </w:rPr>
              <w:t>非甲烷总烃</w:t>
            </w:r>
            <w:r>
              <w:rPr>
                <w:rFonts w:hint="eastAsia" w:ascii="Times New Roman" w:hAnsi="Times New Roman" w:eastAsia="宋体" w:cs="Times New Roman"/>
                <w:color w:val="auto"/>
                <w:sz w:val="24"/>
                <w:szCs w:val="24"/>
                <w:lang w:val="en-US" w:eastAsia="zh-CN"/>
              </w:rPr>
              <w:t>、苯并[a]芘</w:t>
            </w:r>
            <w:r>
              <w:rPr>
                <w:rFonts w:hint="eastAsia" w:ascii="Times New Roman" w:hAnsi="Times New Roman" w:eastAsia="宋体" w:cs="Times New Roman"/>
                <w:color w:val="auto"/>
                <w:sz w:val="24"/>
                <w:lang w:val="en-US" w:eastAsia="zh-CN"/>
              </w:rPr>
              <w:t>排放速率分别为1.89kg/h、</w:t>
            </w:r>
            <w:r>
              <w:rPr>
                <w:rFonts w:hint="default" w:ascii="Times New Roman" w:hAnsi="Times New Roman" w:eastAsia="宋体" w:cs="Times New Roman"/>
                <w:color w:val="auto"/>
                <w:sz w:val="24"/>
                <w:lang w:val="en-US" w:eastAsia="zh-CN"/>
              </w:rPr>
              <w:t>0.343</w:t>
            </w:r>
            <w:r>
              <w:rPr>
                <w:rFonts w:hint="eastAsia" w:ascii="Times New Roman" w:hAnsi="Times New Roman" w:eastAsia="宋体" w:cs="Times New Roman"/>
                <w:color w:val="auto"/>
                <w:sz w:val="24"/>
                <w:lang w:val="en-US" w:eastAsia="zh-CN"/>
              </w:rPr>
              <w:t>kg/h和</w:t>
            </w:r>
            <w:r>
              <w:rPr>
                <w:rFonts w:hint="default" w:ascii="Times New Roman" w:hAnsi="Times New Roman" w:eastAsia="宋体" w:cs="Times New Roman"/>
                <w:color w:val="auto"/>
                <w:sz w:val="24"/>
                <w:lang w:val="en-US" w:eastAsia="zh-CN"/>
              </w:rPr>
              <w:t>0.000002</w:t>
            </w:r>
            <w:r>
              <w:rPr>
                <w:rFonts w:hint="eastAsia" w:ascii="Times New Roman" w:hAnsi="Times New Roman" w:eastAsia="宋体" w:cs="Times New Roman"/>
                <w:color w:val="auto"/>
                <w:sz w:val="24"/>
                <w:lang w:val="en-US" w:eastAsia="zh-CN"/>
              </w:rPr>
              <w:t>kg/h，</w:t>
            </w:r>
            <w:r>
              <w:rPr>
                <w:rFonts w:ascii="Times New Roman" w:hAnsi="Times New Roman" w:eastAsia="宋体" w:cs="Times New Roman"/>
                <w:color w:val="auto"/>
                <w:sz w:val="24"/>
              </w:rPr>
              <w:t>满</w:t>
            </w:r>
            <w:r>
              <w:rPr>
                <w:color w:val="auto"/>
                <w:sz w:val="24"/>
              </w:rPr>
              <w:t>足《大气污染物综合排放标准》（GB16297-1996）表2中排放标准限值。</w:t>
            </w:r>
            <w:r>
              <w:rPr>
                <w:rFonts w:hint="eastAsia"/>
                <w:color w:val="auto"/>
                <w:sz w:val="24"/>
                <w:lang w:val="en-US" w:eastAsia="zh-CN"/>
              </w:rPr>
              <w:t>沥青烟排放浓度和排放速率分别为</w:t>
            </w:r>
            <w:r>
              <w:rPr>
                <w:rFonts w:hint="eastAsia" w:ascii="Times New Roman" w:hAnsi="Times New Roman" w:cs="Times New Roman"/>
                <w:color w:val="auto"/>
                <w:kern w:val="2"/>
                <w:sz w:val="21"/>
                <w:szCs w:val="21"/>
                <w:lang w:val="en-US" w:eastAsia="zh-CN" w:bidi="ar-SA"/>
              </w:rPr>
              <w:t>22.6</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eastAsia="宋体" w:cs="Times New Roman"/>
                <w:i w:val="0"/>
                <w:iCs w:val="0"/>
                <w:color w:val="auto"/>
                <w:kern w:val="0"/>
                <w:sz w:val="24"/>
                <w:szCs w:val="24"/>
                <w:u w:val="none"/>
                <w:lang w:val="en-US" w:eastAsia="zh-CN" w:bidi="ar"/>
              </w:rPr>
              <w:t>和1.9kg/h，排放速率超过</w:t>
            </w:r>
            <w:r>
              <w:rPr>
                <w:color w:val="auto"/>
                <w:sz w:val="24"/>
              </w:rPr>
              <w:t>《大气污染物综合排放标准》（GB16297-1996）表2中排放标准限值。</w:t>
            </w:r>
          </w:p>
          <w:p>
            <w:pPr>
              <w:spacing w:line="360" w:lineRule="auto"/>
              <w:ind w:firstLine="480" w:firstLineChars="200"/>
              <w:contextualSpacing/>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根据2024年8月例行监测数据，厂界TSP在0.065-0.091mg/m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,苯并芘未检出，满足《大气污染物综合排放标准》（GB16297-1996）要求。</w:t>
            </w:r>
          </w:p>
          <w:p>
            <w:pPr>
              <w:spacing w:line="360" w:lineRule="auto"/>
              <w:ind w:firstLine="480" w:firstLineChars="200"/>
              <w:contextualSpacing/>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2、废水</w:t>
            </w:r>
          </w:p>
          <w:p>
            <w:pPr>
              <w:spacing w:line="360" w:lineRule="auto"/>
              <w:ind w:firstLine="480" w:firstLineChars="200"/>
              <w:contextualSpacing/>
              <w:rPr>
                <w:rFonts w:hint="default" w:ascii="Times New Roman" w:hAnsi="Times New Roman" w:cs="Times New Roman"/>
                <w:color w:val="auto"/>
                <w:sz w:val="24"/>
                <w:szCs w:val="24"/>
                <w:lang w:val="en-US" w:eastAsia="zh-CN"/>
              </w:rPr>
            </w:pPr>
            <w:r>
              <w:rPr>
                <w:color w:val="auto"/>
                <w:sz w:val="24"/>
              </w:rPr>
              <w:t>项目劳动定员</w:t>
            </w:r>
            <w:r>
              <w:rPr>
                <w:rFonts w:hint="eastAsia"/>
                <w:color w:val="auto"/>
                <w:sz w:val="24"/>
                <w:lang w:val="en-US" w:eastAsia="zh-CN"/>
              </w:rPr>
              <w:t>1</w:t>
            </w:r>
            <w:r>
              <w:rPr>
                <w:rFonts w:hint="eastAsia"/>
                <w:color w:val="auto"/>
                <w:sz w:val="24"/>
              </w:rPr>
              <w:t>0</w:t>
            </w:r>
            <w:r>
              <w:rPr>
                <w:color w:val="auto"/>
                <w:sz w:val="24"/>
              </w:rPr>
              <w:t>人，本项目选用黑龙江省地方标准《用水定额》DB23/T727-2021）附录H中农村居民生活用水定额，生活用水量80L/人·d计，</w:t>
            </w:r>
            <w:r>
              <w:rPr>
                <w:rFonts w:hint="eastAsia" w:cs="仿宋"/>
                <w:color w:val="auto"/>
                <w:sz w:val="24"/>
              </w:rPr>
              <w:t>年工作1</w:t>
            </w:r>
            <w:r>
              <w:rPr>
                <w:rFonts w:hint="eastAsia" w:cs="仿宋"/>
                <w:color w:val="auto"/>
                <w:sz w:val="24"/>
                <w:lang w:val="en-US" w:eastAsia="zh-CN"/>
              </w:rPr>
              <w:t>20</w:t>
            </w:r>
            <w:r>
              <w:rPr>
                <w:rFonts w:hint="eastAsia" w:cs="仿宋"/>
                <w:color w:val="auto"/>
                <w:sz w:val="24"/>
              </w:rPr>
              <w:t>天，</w:t>
            </w:r>
            <w:r>
              <w:rPr>
                <w:color w:val="auto"/>
                <w:sz w:val="24"/>
              </w:rPr>
              <w:t>则生活用水量为</w:t>
            </w:r>
            <w:r>
              <w:rPr>
                <w:rFonts w:hint="eastAsia"/>
                <w:color w:val="auto"/>
                <w:sz w:val="24"/>
                <w:lang w:val="en-US" w:eastAsia="zh-CN"/>
              </w:rPr>
              <w:t>0.8</w:t>
            </w:r>
            <w:r>
              <w:rPr>
                <w:color w:val="auto"/>
                <w:sz w:val="24"/>
              </w:rPr>
              <w:t>t/d，</w:t>
            </w:r>
            <w:r>
              <w:rPr>
                <w:rFonts w:hint="eastAsia"/>
                <w:color w:val="auto"/>
                <w:sz w:val="24"/>
                <w:lang w:val="en-US" w:eastAsia="zh-CN"/>
              </w:rPr>
              <w:t>96</w:t>
            </w:r>
            <w:r>
              <w:rPr>
                <w:color w:val="auto"/>
                <w:sz w:val="24"/>
              </w:rPr>
              <w:t>t/a。</w:t>
            </w:r>
            <w:r>
              <w:rPr>
                <w:rFonts w:hint="eastAsia"/>
                <w:color w:val="auto"/>
                <w:sz w:val="24"/>
              </w:rPr>
              <w:t>生活污水</w:t>
            </w:r>
            <w:r>
              <w:rPr>
                <w:rFonts w:hint="eastAsia"/>
                <w:color w:val="auto"/>
                <w:sz w:val="24"/>
                <w:lang w:val="en-US" w:eastAsia="zh-CN"/>
              </w:rPr>
              <w:t>排放量按80%计，76.8t/a。</w:t>
            </w:r>
            <w:r>
              <w:rPr>
                <w:rFonts w:hint="eastAsia" w:ascii="Times New Roman" w:hAnsi="Times New Roman" w:cs="Times New Roman"/>
                <w:color w:val="auto"/>
                <w:sz w:val="24"/>
                <w:szCs w:val="24"/>
                <w:lang w:val="en-US" w:eastAsia="zh-CN"/>
              </w:rPr>
              <w:t>现有工程生活污水排入防渗旱厕定期清掏。生产废水回用。</w:t>
            </w:r>
          </w:p>
          <w:p>
            <w:pPr>
              <w:spacing w:line="360" w:lineRule="auto"/>
              <w:ind w:firstLine="480" w:firstLineChars="200"/>
              <w:contextualSpacing/>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3、噪声</w:t>
            </w:r>
          </w:p>
          <w:p>
            <w:pPr>
              <w:spacing w:line="360" w:lineRule="auto"/>
              <w:ind w:firstLine="480" w:firstLineChars="200"/>
              <w:contextualSpacing/>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根据2024年8月例行监测数据，厂界昼间噪声在53-56dB(A），夜间噪声在39-42dB(A），满足</w:t>
            </w:r>
            <w:r>
              <w:rPr>
                <w:color w:val="auto"/>
                <w:sz w:val="24"/>
              </w:rPr>
              <w:t>《工业企业厂界环境噪声排放标准》（GB12348-2008）</w:t>
            </w:r>
            <w:r>
              <w:rPr>
                <w:rFonts w:hint="eastAsia"/>
                <w:color w:val="auto"/>
                <w:sz w:val="24"/>
              </w:rPr>
              <w:t>2类标准</w:t>
            </w:r>
            <w:r>
              <w:rPr>
                <w:color w:val="auto"/>
                <w:sz w:val="24"/>
              </w:rPr>
              <w:t>。</w:t>
            </w:r>
          </w:p>
          <w:p>
            <w:pPr>
              <w:spacing w:line="360" w:lineRule="auto"/>
              <w:ind w:firstLine="480" w:firstLineChars="200"/>
              <w:contextualSpacing/>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4、固体废物</w:t>
            </w:r>
          </w:p>
          <w:p>
            <w:pPr>
              <w:spacing w:line="360" w:lineRule="auto"/>
              <w:ind w:firstLine="480" w:firstLineChars="200"/>
              <w:contextualSpacing/>
              <w:rPr>
                <w:rFonts w:ascii="Times New Roman" w:hAnsi="Times New Roman" w:cs="Times New Roman"/>
                <w:color w:val="auto"/>
                <w:sz w:val="24"/>
              </w:rPr>
            </w:pPr>
            <w:r>
              <w:rPr>
                <w:rFonts w:ascii="Times New Roman" w:hAnsi="Times New Roman" w:cs="Times New Roman"/>
                <w:color w:val="auto"/>
                <w:sz w:val="24"/>
              </w:rPr>
              <w:t>除尘器中收集的原料粉尘均回收利用。本项目废导热油委托有资质单位处置。</w:t>
            </w:r>
          </w:p>
          <w:p>
            <w:pPr>
              <w:spacing w:line="360" w:lineRule="auto"/>
              <w:ind w:firstLine="480" w:firstLineChars="200"/>
              <w:contextualSpacing/>
              <w:rPr>
                <w:rFonts w:hint="default" w:ascii="Times New Roman" w:hAnsi="Times New Roman" w:cs="Times New Roman"/>
                <w:color w:val="auto"/>
                <w:sz w:val="24"/>
                <w:lang w:val="en-US" w:eastAsia="zh-CN"/>
              </w:rPr>
            </w:pPr>
            <w:r>
              <w:rPr>
                <w:rFonts w:ascii="Times New Roman" w:hAnsi="Times New Roman" w:cs="Times New Roman"/>
                <w:color w:val="auto"/>
                <w:sz w:val="24"/>
              </w:rPr>
              <w:t>不合格石料作为路基材料外卖。生活垃圾及废布袋由市政环卫部门处理；</w:t>
            </w:r>
          </w:p>
          <w:p>
            <w:pPr>
              <w:spacing w:line="360" w:lineRule="auto"/>
              <w:ind w:firstLine="480" w:firstLineChars="200"/>
              <w:contextualSpacing/>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三、现有工程存在的环境问题及整改措施</w:t>
            </w:r>
          </w:p>
          <w:p>
            <w:pPr>
              <w:spacing w:line="360" w:lineRule="auto"/>
              <w:ind w:firstLine="480" w:firstLineChars="200"/>
              <w:contextualSpacing/>
              <w:rPr>
                <w:rFonts w:hint="eastAsia"/>
                <w:color w:val="auto"/>
                <w:sz w:val="24"/>
                <w:szCs w:val="24"/>
                <w:lang w:val="en-US" w:eastAsia="zh-CN"/>
              </w:rPr>
            </w:pPr>
            <w:r>
              <w:rPr>
                <w:rFonts w:hint="eastAsia"/>
                <w:color w:val="auto"/>
                <w:sz w:val="24"/>
                <w:szCs w:val="24"/>
                <w:lang w:val="en-US" w:eastAsia="zh-CN"/>
              </w:rPr>
              <w:t>根据资料分析及现场踏查，现有工程存在以下环境问题。</w:t>
            </w:r>
          </w:p>
          <w:p>
            <w:pPr>
              <w:spacing w:line="360" w:lineRule="auto"/>
              <w:ind w:firstLine="480" w:firstLineChars="200"/>
              <w:contextualSpacing/>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1、生产废水未经隔油处理，直接回用。本次需建设隔油池。</w:t>
            </w:r>
          </w:p>
          <w:p>
            <w:pPr>
              <w:spacing w:line="360" w:lineRule="auto"/>
              <w:ind w:firstLine="480" w:firstLineChars="200"/>
              <w:contextualSpacing/>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2、原料堆场未设置防尘装置，建议加装不低于堆放物高度（2.5m）的严密围挡。</w:t>
            </w:r>
          </w:p>
          <w:p>
            <w:pPr>
              <w:spacing w:line="360" w:lineRule="auto"/>
              <w:ind w:firstLine="480" w:firstLineChars="200"/>
              <w:contextualSpacing/>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3、未设置初期雨水收集池。</w:t>
            </w:r>
          </w:p>
          <w:p>
            <w:pPr>
              <w:spacing w:line="360" w:lineRule="auto"/>
              <w:ind w:firstLine="480" w:firstLineChars="200"/>
              <w:contextualSpacing/>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4、沥青烟处理需加装</w:t>
            </w:r>
            <w:r>
              <w:rPr>
                <w:rFonts w:hint="eastAsia" w:cs="Times New Roman"/>
                <w:color w:val="auto"/>
                <w:sz w:val="24"/>
                <w:szCs w:val="24"/>
                <w:lang w:val="en-US" w:eastAsia="zh-CN"/>
              </w:rPr>
              <w:t>活性炭吸附</w:t>
            </w:r>
            <w:r>
              <w:rPr>
                <w:rFonts w:hint="eastAsia" w:ascii="Times New Roman" w:hAnsi="Times New Roman" w:cs="Times New Roman"/>
                <w:color w:val="auto"/>
                <w:sz w:val="24"/>
                <w:szCs w:val="24"/>
                <w:lang w:val="en-US" w:eastAsia="zh-CN"/>
              </w:rPr>
              <w:t>进行处理。</w:t>
            </w:r>
          </w:p>
          <w:p>
            <w:pPr>
              <w:spacing w:line="360" w:lineRule="auto"/>
              <w:ind w:firstLine="480" w:firstLineChars="200"/>
              <w:contextualSpacing/>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5、主燃烧器应采用柴油为燃料。</w:t>
            </w:r>
          </w:p>
          <w:p>
            <w:pPr>
              <w:pStyle w:val="2"/>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四、现有工程污染物排放总量</w:t>
            </w:r>
          </w:p>
          <w:p>
            <w:pPr>
              <w:spacing w:line="360" w:lineRule="auto"/>
              <w:ind w:firstLine="480" w:firstLineChars="200"/>
              <w:contextualSpacing/>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现有工程颗粒物实际排放量0.036t/a，二氧化硫0.013t/a，氮氧化物0.376t/a，非甲烷总烃0.41t/a，</w:t>
            </w:r>
            <w:r>
              <w:rPr>
                <w:rFonts w:hint="eastAsia" w:ascii="Times New Roman" w:hAnsi="Times New Roman" w:eastAsia="宋体" w:cs="Times New Roman"/>
                <w:color w:val="auto"/>
                <w:sz w:val="24"/>
                <w:szCs w:val="24"/>
                <w:lang w:val="en-US" w:eastAsia="zh-CN"/>
              </w:rPr>
              <w:t>苯并[a]芘</w:t>
            </w:r>
            <w:r>
              <w:rPr>
                <w:rFonts w:hint="eastAsia" w:cs="Times New Roman"/>
                <w:color w:val="auto"/>
                <w:sz w:val="24"/>
                <w:szCs w:val="24"/>
                <w:lang w:val="en-US" w:eastAsia="zh-CN"/>
              </w:rPr>
              <w:t>0.000002t/a。</w:t>
            </w:r>
          </w:p>
          <w:p>
            <w:pPr>
              <w:pStyle w:val="2"/>
              <w:rPr>
                <w:rFonts w:hint="default"/>
                <w:color w:val="auto"/>
                <w:lang w:val="en-US" w:eastAsia="zh-CN"/>
              </w:rPr>
            </w:pPr>
          </w:p>
        </w:tc>
      </w:tr>
    </w:tbl>
    <w:p>
      <w:pPr>
        <w:pStyle w:val="29"/>
        <w:jc w:val="center"/>
        <w:rPr>
          <w:rFonts w:ascii="Times New Roman" w:hAnsi="Times New Roman" w:eastAsia="黑体"/>
          <w:snapToGrid w:val="0"/>
          <w:color w:val="auto"/>
          <w:sz w:val="36"/>
          <w:szCs w:val="36"/>
        </w:rPr>
        <w:sectPr>
          <w:pgSz w:w="11905" w:h="16838"/>
          <w:pgMar w:top="1134" w:right="1134" w:bottom="1134" w:left="1134" w:header="851" w:footer="1077" w:gutter="0"/>
          <w:cols w:space="720" w:num="1"/>
          <w:docGrid w:type="linesAndChars" w:linePitch="323" w:charSpace="0"/>
        </w:sectPr>
      </w:pPr>
    </w:p>
    <w:p>
      <w:pPr>
        <w:pStyle w:val="29"/>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pPr>
        <w:pStyle w:val="2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20" w:name="_Toc31586"/>
      <w:bookmarkStart w:id="21" w:name="_Toc2722"/>
      <w:r>
        <w:rPr>
          <w:rFonts w:ascii="Times New Roman" w:hAnsi="Times New Roman" w:eastAsia="黑体"/>
          <w:snapToGrid w:val="0"/>
          <w:color w:val="auto"/>
          <w:sz w:val="30"/>
          <w:szCs w:val="30"/>
        </w:rPr>
        <w:t>三、区域环境质量现状、环境保护目标及评价标准</w:t>
      </w:r>
      <w:bookmarkEnd w:id="20"/>
      <w:bookmarkEnd w:id="21"/>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8"/>
        <w:gridCol w:w="88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194" w:hRule="atLeast"/>
          <w:jc w:val="center"/>
        </w:trPr>
        <w:tc>
          <w:tcPr>
            <w:tcW w:w="486" w:type="pct"/>
            <w:vAlign w:val="center"/>
          </w:tcPr>
          <w:p>
            <w:pPr>
              <w:adjustRightInd w:val="0"/>
              <w:snapToGrid w:val="0"/>
              <w:jc w:val="center"/>
              <w:rPr>
                <w:color w:val="auto"/>
                <w:kern w:val="0"/>
                <w:sz w:val="24"/>
                <w:szCs w:val="21"/>
              </w:rPr>
            </w:pPr>
            <w:r>
              <w:rPr>
                <w:color w:val="auto"/>
                <w:kern w:val="0"/>
                <w:sz w:val="24"/>
                <w:szCs w:val="21"/>
              </w:rPr>
              <w:t>区域</w:t>
            </w:r>
          </w:p>
          <w:p>
            <w:pPr>
              <w:adjustRightInd w:val="0"/>
              <w:snapToGrid w:val="0"/>
              <w:jc w:val="center"/>
              <w:rPr>
                <w:color w:val="auto"/>
                <w:kern w:val="0"/>
                <w:sz w:val="24"/>
                <w:szCs w:val="21"/>
              </w:rPr>
            </w:pPr>
            <w:r>
              <w:rPr>
                <w:color w:val="auto"/>
                <w:kern w:val="0"/>
                <w:sz w:val="24"/>
                <w:szCs w:val="21"/>
              </w:rPr>
              <w:t>环境</w:t>
            </w:r>
          </w:p>
          <w:p>
            <w:pPr>
              <w:adjustRightInd w:val="0"/>
              <w:snapToGrid w:val="0"/>
              <w:jc w:val="center"/>
              <w:rPr>
                <w:color w:val="auto"/>
                <w:kern w:val="0"/>
                <w:sz w:val="24"/>
                <w:szCs w:val="21"/>
              </w:rPr>
            </w:pPr>
            <w:r>
              <w:rPr>
                <w:color w:val="auto"/>
                <w:kern w:val="0"/>
                <w:sz w:val="24"/>
                <w:szCs w:val="21"/>
              </w:rPr>
              <w:t>质量</w:t>
            </w:r>
          </w:p>
          <w:p>
            <w:pPr>
              <w:adjustRightInd w:val="0"/>
              <w:snapToGrid w:val="0"/>
              <w:jc w:val="center"/>
              <w:rPr>
                <w:color w:val="auto"/>
                <w:kern w:val="0"/>
                <w:sz w:val="24"/>
                <w:szCs w:val="21"/>
              </w:rPr>
            </w:pPr>
            <w:r>
              <w:rPr>
                <w:color w:val="auto"/>
                <w:kern w:val="0"/>
                <w:sz w:val="24"/>
                <w:szCs w:val="21"/>
              </w:rPr>
              <w:t>现状</w:t>
            </w:r>
          </w:p>
        </w:tc>
        <w:tc>
          <w:tcPr>
            <w:tcW w:w="4513" w:type="pct"/>
            <w:vAlign w:val="center"/>
          </w:tcPr>
          <w:p>
            <w:pPr>
              <w:adjustRightInd w:val="0"/>
              <w:spacing w:line="360" w:lineRule="auto"/>
              <w:rPr>
                <w:rFonts w:eastAsia="黑体"/>
                <w:color w:val="auto"/>
                <w:kern w:val="0"/>
                <w:sz w:val="28"/>
                <w:szCs w:val="28"/>
              </w:rPr>
            </w:pPr>
            <w:r>
              <w:rPr>
                <w:rFonts w:eastAsia="黑体"/>
                <w:color w:val="auto"/>
                <w:kern w:val="0"/>
                <w:sz w:val="28"/>
                <w:szCs w:val="28"/>
              </w:rPr>
              <w:t>1、项目区域环境空气质量部分现状</w:t>
            </w:r>
          </w:p>
          <w:p>
            <w:pPr>
              <w:adjustRightInd w:val="0"/>
              <w:spacing w:line="360" w:lineRule="auto"/>
              <w:ind w:firstLine="480" w:firstLineChars="200"/>
              <w:rPr>
                <w:rFonts w:eastAsia="黑体"/>
                <w:color w:val="auto"/>
                <w:kern w:val="0"/>
                <w:sz w:val="24"/>
              </w:rPr>
            </w:pPr>
            <w:r>
              <w:rPr>
                <w:rFonts w:hint="eastAsia" w:eastAsia="黑体"/>
                <w:color w:val="auto"/>
                <w:kern w:val="0"/>
                <w:sz w:val="24"/>
              </w:rPr>
              <w:t>（1）</w:t>
            </w:r>
            <w:r>
              <w:rPr>
                <w:rFonts w:eastAsia="黑体"/>
                <w:color w:val="auto"/>
                <w:kern w:val="0"/>
                <w:sz w:val="24"/>
              </w:rPr>
              <w:t>达标区判定</w:t>
            </w:r>
          </w:p>
          <w:p>
            <w:pPr>
              <w:spacing w:line="360" w:lineRule="auto"/>
              <w:ind w:firstLine="480" w:firstLineChars="200"/>
              <w:rPr>
                <w:color w:val="auto"/>
                <w:sz w:val="24"/>
              </w:rPr>
            </w:pPr>
            <w:r>
              <w:rPr>
                <w:rFonts w:hint="eastAsia"/>
                <w:color w:val="auto"/>
                <w:sz w:val="24"/>
              </w:rPr>
              <w:t>根据202</w:t>
            </w:r>
            <w:r>
              <w:rPr>
                <w:rFonts w:hint="eastAsia"/>
                <w:color w:val="auto"/>
                <w:sz w:val="24"/>
                <w:lang w:val="en-US" w:eastAsia="zh-CN"/>
              </w:rPr>
              <w:t>4</w:t>
            </w:r>
            <w:r>
              <w:rPr>
                <w:rFonts w:hint="eastAsia"/>
                <w:color w:val="auto"/>
                <w:sz w:val="24"/>
              </w:rPr>
              <w:t>年伊春市环境质量年报，202</w:t>
            </w:r>
            <w:r>
              <w:rPr>
                <w:rFonts w:hint="eastAsia"/>
                <w:color w:val="auto"/>
                <w:sz w:val="24"/>
                <w:lang w:val="en-US" w:eastAsia="zh-CN"/>
              </w:rPr>
              <w:t>4</w:t>
            </w:r>
            <w:r>
              <w:rPr>
                <w:rFonts w:hint="eastAsia"/>
                <w:color w:val="auto"/>
                <w:sz w:val="24"/>
              </w:rPr>
              <w:t>年，市区细颗粒物（PM</w:t>
            </w:r>
            <w:r>
              <w:rPr>
                <w:rFonts w:hint="eastAsia"/>
                <w:color w:val="auto"/>
                <w:sz w:val="24"/>
                <w:vertAlign w:val="subscript"/>
              </w:rPr>
              <w:t>2.5</w:t>
            </w:r>
            <w:r>
              <w:rPr>
                <w:rFonts w:hint="eastAsia"/>
                <w:color w:val="auto"/>
                <w:sz w:val="24"/>
              </w:rPr>
              <w:t>）、可吸入颗粒物（PM</w:t>
            </w:r>
            <w:r>
              <w:rPr>
                <w:rFonts w:hint="eastAsia"/>
                <w:color w:val="auto"/>
                <w:sz w:val="24"/>
                <w:vertAlign w:val="subscript"/>
              </w:rPr>
              <w:t>10</w:t>
            </w:r>
            <w:r>
              <w:rPr>
                <w:rFonts w:hint="eastAsia"/>
                <w:color w:val="auto"/>
                <w:sz w:val="24"/>
              </w:rPr>
              <w:t>）、二氧化硫、二氧化氮年均值、一氧化碳24小时平均第95百分位数、臭氧日最大8小时滑动平均值的第90百分位数均优于国家环境空气质量二级标准。PM</w:t>
            </w:r>
            <w:r>
              <w:rPr>
                <w:rFonts w:hint="eastAsia"/>
                <w:color w:val="auto"/>
                <w:sz w:val="24"/>
                <w:vertAlign w:val="subscript"/>
              </w:rPr>
              <w:t>2.5</w:t>
            </w:r>
            <w:r>
              <w:rPr>
                <w:rFonts w:hint="eastAsia"/>
                <w:color w:val="auto"/>
                <w:sz w:val="24"/>
              </w:rPr>
              <w:t>全市平均浓度为2</w:t>
            </w:r>
            <w:r>
              <w:rPr>
                <w:rFonts w:hint="eastAsia"/>
                <w:color w:val="auto"/>
                <w:sz w:val="24"/>
                <w:lang w:val="en-US" w:eastAsia="zh-CN"/>
              </w:rPr>
              <w:t>4</w:t>
            </w:r>
            <w:r>
              <w:rPr>
                <w:rFonts w:hint="eastAsia"/>
                <w:color w:val="auto"/>
                <w:sz w:val="24"/>
              </w:rPr>
              <w:t>μg/m³，PM</w:t>
            </w:r>
            <w:r>
              <w:rPr>
                <w:rFonts w:hint="eastAsia"/>
                <w:color w:val="auto"/>
                <w:sz w:val="24"/>
                <w:vertAlign w:val="subscript"/>
              </w:rPr>
              <w:t>10</w:t>
            </w:r>
            <w:r>
              <w:rPr>
                <w:rFonts w:hint="eastAsia"/>
                <w:color w:val="auto"/>
                <w:sz w:val="24"/>
              </w:rPr>
              <w:t>全市平均浓度为3</w:t>
            </w:r>
            <w:r>
              <w:rPr>
                <w:rFonts w:hint="eastAsia"/>
                <w:color w:val="auto"/>
                <w:sz w:val="24"/>
                <w:lang w:val="en-US" w:eastAsia="zh-CN"/>
              </w:rPr>
              <w:t>4</w:t>
            </w:r>
            <w:r>
              <w:rPr>
                <w:rFonts w:hint="eastAsia"/>
                <w:color w:val="auto"/>
                <w:sz w:val="24"/>
              </w:rPr>
              <w:t>μg/m³。SO</w:t>
            </w:r>
            <w:r>
              <w:rPr>
                <w:rFonts w:hint="eastAsia"/>
                <w:color w:val="auto"/>
                <w:sz w:val="24"/>
                <w:vertAlign w:val="subscript"/>
              </w:rPr>
              <w:t>2</w:t>
            </w:r>
            <w:r>
              <w:rPr>
                <w:rFonts w:hint="eastAsia"/>
                <w:color w:val="auto"/>
                <w:sz w:val="24"/>
              </w:rPr>
              <w:t>全市平均浓度为7μg/m³，NO</w:t>
            </w:r>
            <w:r>
              <w:rPr>
                <w:rFonts w:hint="eastAsia"/>
                <w:color w:val="auto"/>
                <w:sz w:val="24"/>
                <w:vertAlign w:val="subscript"/>
              </w:rPr>
              <w:t>2</w:t>
            </w:r>
            <w:r>
              <w:rPr>
                <w:rFonts w:hint="eastAsia"/>
                <w:color w:val="auto"/>
                <w:sz w:val="24"/>
              </w:rPr>
              <w:t>全市平均浓度为1</w:t>
            </w:r>
            <w:r>
              <w:rPr>
                <w:rFonts w:hint="eastAsia"/>
                <w:color w:val="auto"/>
                <w:sz w:val="24"/>
                <w:lang w:val="en-US" w:eastAsia="zh-CN"/>
              </w:rPr>
              <w:t>3</w:t>
            </w:r>
            <w:r>
              <w:rPr>
                <w:rFonts w:hint="eastAsia"/>
                <w:color w:val="auto"/>
                <w:sz w:val="24"/>
              </w:rPr>
              <w:t>μg/m³。CO24小时第95百分位数全市平均浓度为</w:t>
            </w:r>
            <w:r>
              <w:rPr>
                <w:rFonts w:hint="eastAsia"/>
                <w:color w:val="auto"/>
                <w:sz w:val="24"/>
                <w:lang w:val="en-US" w:eastAsia="zh-CN"/>
              </w:rPr>
              <w:t>0.8</w:t>
            </w:r>
            <w:r>
              <w:rPr>
                <w:rFonts w:hint="eastAsia"/>
                <w:color w:val="auto"/>
                <w:sz w:val="24"/>
              </w:rPr>
              <w:t>mg/m³，O</w:t>
            </w:r>
            <w:r>
              <w:rPr>
                <w:rFonts w:hint="eastAsia"/>
                <w:color w:val="auto"/>
                <w:sz w:val="24"/>
                <w:vertAlign w:val="subscript"/>
              </w:rPr>
              <w:t>3</w:t>
            </w:r>
            <w:r>
              <w:rPr>
                <w:rFonts w:hint="eastAsia"/>
                <w:color w:val="auto"/>
                <w:sz w:val="24"/>
              </w:rPr>
              <w:t>日最大8小时第90百分位数全市平均浓度为10</w:t>
            </w:r>
            <w:r>
              <w:rPr>
                <w:rFonts w:hint="eastAsia"/>
                <w:color w:val="auto"/>
                <w:sz w:val="24"/>
                <w:lang w:val="en-US" w:eastAsia="zh-CN"/>
              </w:rPr>
              <w:t>4</w:t>
            </w:r>
            <w:r>
              <w:rPr>
                <w:rFonts w:hint="eastAsia"/>
                <w:color w:val="auto"/>
                <w:sz w:val="24"/>
              </w:rPr>
              <w:t>μg/m³。</w:t>
            </w:r>
          </w:p>
          <w:p>
            <w:pPr>
              <w:spacing w:line="360" w:lineRule="auto"/>
              <w:ind w:firstLine="480" w:firstLineChars="200"/>
              <w:rPr>
                <w:color w:val="auto"/>
                <w:sz w:val="24"/>
              </w:rPr>
            </w:pPr>
            <w:r>
              <w:rPr>
                <w:rFonts w:hint="eastAsia"/>
                <w:color w:val="auto"/>
                <w:sz w:val="24"/>
              </w:rPr>
              <w:t>202</w:t>
            </w:r>
            <w:r>
              <w:rPr>
                <w:rFonts w:hint="eastAsia"/>
                <w:color w:val="auto"/>
                <w:sz w:val="24"/>
                <w:lang w:val="en-US" w:eastAsia="zh-CN"/>
              </w:rPr>
              <w:t>4</w:t>
            </w:r>
            <w:r>
              <w:rPr>
                <w:rFonts w:hint="eastAsia"/>
                <w:color w:val="auto"/>
                <w:sz w:val="24"/>
              </w:rPr>
              <w:t>年伊春</w:t>
            </w:r>
            <w:r>
              <w:rPr>
                <w:color w:val="auto"/>
                <w:sz w:val="24"/>
                <w:lang w:val="zh-CN"/>
              </w:rPr>
              <w:t>区域基本污染物均符合《环境空气质量标准》（GB3095-20</w:t>
            </w:r>
            <w:r>
              <w:rPr>
                <w:rFonts w:hint="eastAsia"/>
                <w:color w:val="auto"/>
                <w:sz w:val="24"/>
                <w:lang w:val="en-US" w:eastAsia="zh-CN"/>
              </w:rPr>
              <w:t>26</w:t>
            </w:r>
            <w:r>
              <w:rPr>
                <w:color w:val="auto"/>
                <w:sz w:val="24"/>
                <w:lang w:val="zh-CN"/>
              </w:rPr>
              <w:t>）二级标准，区域属于环境空气质量达标区</w:t>
            </w:r>
            <w:r>
              <w:rPr>
                <w:color w:val="auto"/>
                <w:sz w:val="24"/>
              </w:rPr>
              <w:t>。</w:t>
            </w:r>
          </w:p>
          <w:p>
            <w:pPr>
              <w:pStyle w:val="99"/>
              <w:spacing w:beforeLines="0" w:afterLines="0" w:line="360" w:lineRule="auto"/>
              <w:ind w:firstLine="480"/>
              <w:contextualSpacing/>
              <w:rPr>
                <w:rFonts w:hAnsiTheme="minorEastAsia"/>
                <w:color w:val="auto"/>
                <w:kern w:val="0"/>
              </w:rPr>
            </w:pPr>
            <w:r>
              <w:rPr>
                <w:rFonts w:hint="eastAsia" w:hAnsiTheme="minorEastAsia"/>
                <w:color w:val="auto"/>
                <w:kern w:val="0"/>
              </w:rPr>
              <w:t>（2）特征污染物</w:t>
            </w:r>
          </w:p>
          <w:p>
            <w:pPr>
              <w:spacing w:line="360" w:lineRule="auto"/>
              <w:ind w:firstLine="480" w:firstLineChars="200"/>
              <w:rPr>
                <w:snapToGrid w:val="0"/>
                <w:color w:val="auto"/>
                <w:kern w:val="0"/>
                <w:sz w:val="24"/>
              </w:rPr>
            </w:pPr>
            <w:r>
              <w:rPr>
                <w:snapToGrid w:val="0"/>
                <w:color w:val="auto"/>
                <w:kern w:val="0"/>
                <w:sz w:val="24"/>
              </w:rPr>
              <w:t>项目所处区域监测季节主导风向为南西（</w:t>
            </w:r>
            <w:r>
              <w:rPr>
                <w:rFonts w:hint="eastAsia"/>
                <w:snapToGrid w:val="0"/>
                <w:color w:val="auto"/>
                <w:kern w:val="0"/>
                <w:sz w:val="24"/>
              </w:rPr>
              <w:t>NW</w:t>
            </w:r>
            <w:r>
              <w:rPr>
                <w:snapToGrid w:val="0"/>
                <w:color w:val="auto"/>
                <w:kern w:val="0"/>
                <w:sz w:val="24"/>
              </w:rPr>
              <w:t>）风，共布设</w:t>
            </w:r>
            <w:r>
              <w:rPr>
                <w:rFonts w:hint="eastAsia"/>
                <w:snapToGrid w:val="0"/>
                <w:color w:val="auto"/>
                <w:kern w:val="0"/>
                <w:sz w:val="24"/>
              </w:rPr>
              <w:t>1</w:t>
            </w:r>
            <w:r>
              <w:rPr>
                <w:snapToGrid w:val="0"/>
                <w:color w:val="auto"/>
                <w:kern w:val="0"/>
                <w:sz w:val="24"/>
              </w:rPr>
              <w:t>处监测点。监测点情况见表</w:t>
            </w:r>
            <w:r>
              <w:rPr>
                <w:rFonts w:hint="eastAsia"/>
                <w:snapToGrid w:val="0"/>
                <w:color w:val="auto"/>
                <w:kern w:val="0"/>
                <w:sz w:val="24"/>
              </w:rPr>
              <w:t>3</w:t>
            </w:r>
            <w:r>
              <w:rPr>
                <w:snapToGrid w:val="0"/>
                <w:color w:val="auto"/>
                <w:kern w:val="0"/>
                <w:sz w:val="24"/>
              </w:rPr>
              <w:t>-</w:t>
            </w:r>
            <w:r>
              <w:rPr>
                <w:rFonts w:hint="eastAsia"/>
                <w:snapToGrid w:val="0"/>
                <w:color w:val="auto"/>
                <w:kern w:val="0"/>
                <w:sz w:val="24"/>
              </w:rPr>
              <w:t>2</w:t>
            </w:r>
            <w:r>
              <w:rPr>
                <w:snapToGrid w:val="0"/>
                <w:color w:val="auto"/>
                <w:kern w:val="0"/>
                <w:sz w:val="24"/>
              </w:rPr>
              <w:t>。</w:t>
            </w:r>
          </w:p>
          <w:p>
            <w:pPr>
              <w:pStyle w:val="116"/>
              <w:rPr>
                <w:color w:val="auto"/>
              </w:rPr>
            </w:pPr>
            <w:bookmarkStart w:id="22" w:name="_Toc31834"/>
            <w:bookmarkStart w:id="23" w:name="_Toc4333"/>
            <w:bookmarkStart w:id="24" w:name="_Toc22377"/>
            <w:bookmarkStart w:id="25" w:name="_Toc26141"/>
            <w:bookmarkStart w:id="26" w:name="_Toc1841"/>
            <w:bookmarkStart w:id="27" w:name="_Toc26177"/>
            <w:bookmarkStart w:id="28" w:name="_Toc26771"/>
            <w:bookmarkStart w:id="29" w:name="_Toc37662862"/>
            <w:bookmarkStart w:id="30" w:name="_Toc23242"/>
            <w:bookmarkStart w:id="31" w:name="_Toc23600"/>
            <w:r>
              <w:rPr>
                <w:color w:val="auto"/>
              </w:rPr>
              <w:t>表</w:t>
            </w:r>
            <w:r>
              <w:rPr>
                <w:rFonts w:hint="eastAsia"/>
                <w:color w:val="auto"/>
              </w:rPr>
              <w:t>3-2</w:t>
            </w:r>
            <w:r>
              <w:rPr>
                <w:color w:val="auto"/>
              </w:rPr>
              <w:t xml:space="preserve"> 补充监测点位基本信息</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246"/>
              <w:gridCol w:w="1030"/>
              <w:gridCol w:w="1035"/>
              <w:gridCol w:w="1030"/>
              <w:gridCol w:w="1290"/>
              <w:gridCol w:w="1418"/>
              <w:gridCol w:w="162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29" w:hRule="atLeast"/>
                <w:jc w:val="center"/>
              </w:trPr>
              <w:tc>
                <w:tcPr>
                  <w:tcW w:w="718" w:type="pct"/>
                  <w:vMerge w:val="restart"/>
                  <w:vAlign w:val="center"/>
                </w:tcPr>
                <w:p>
                  <w:pPr>
                    <w:jc w:val="center"/>
                    <w:rPr>
                      <w:color w:val="auto"/>
                      <w:szCs w:val="21"/>
                    </w:rPr>
                  </w:pPr>
                  <w:r>
                    <w:rPr>
                      <w:color w:val="auto"/>
                      <w:szCs w:val="21"/>
                    </w:rPr>
                    <w:t>监测点名称</w:t>
                  </w:r>
                </w:p>
              </w:tc>
              <w:tc>
                <w:tcPr>
                  <w:tcW w:w="1189" w:type="pct"/>
                  <w:gridSpan w:val="2"/>
                  <w:tcBorders>
                    <w:bottom w:val="single" w:color="auto" w:sz="4" w:space="0"/>
                  </w:tcBorders>
                  <w:vAlign w:val="center"/>
                </w:tcPr>
                <w:p>
                  <w:pPr>
                    <w:jc w:val="center"/>
                    <w:rPr>
                      <w:color w:val="auto"/>
                      <w:szCs w:val="21"/>
                    </w:rPr>
                  </w:pPr>
                  <w:r>
                    <w:rPr>
                      <w:color w:val="auto"/>
                      <w:szCs w:val="21"/>
                    </w:rPr>
                    <w:t>监测点坐标</w:t>
                  </w:r>
                </w:p>
              </w:tc>
              <w:tc>
                <w:tcPr>
                  <w:tcW w:w="593" w:type="pct"/>
                  <w:vMerge w:val="restart"/>
                  <w:tcBorders>
                    <w:left w:val="single" w:color="auto" w:sz="4" w:space="0"/>
                  </w:tcBorders>
                  <w:vAlign w:val="center"/>
                </w:tcPr>
                <w:p>
                  <w:pPr>
                    <w:jc w:val="center"/>
                    <w:rPr>
                      <w:color w:val="auto"/>
                      <w:szCs w:val="21"/>
                    </w:rPr>
                  </w:pPr>
                  <w:r>
                    <w:rPr>
                      <w:color w:val="auto"/>
                      <w:szCs w:val="21"/>
                    </w:rPr>
                    <w:t>监测因子</w:t>
                  </w:r>
                </w:p>
              </w:tc>
              <w:tc>
                <w:tcPr>
                  <w:tcW w:w="743" w:type="pct"/>
                  <w:vMerge w:val="restart"/>
                  <w:tcBorders>
                    <w:left w:val="single" w:color="auto" w:sz="4" w:space="0"/>
                  </w:tcBorders>
                  <w:vAlign w:val="center"/>
                </w:tcPr>
                <w:p>
                  <w:pPr>
                    <w:jc w:val="center"/>
                    <w:rPr>
                      <w:color w:val="auto"/>
                      <w:szCs w:val="21"/>
                    </w:rPr>
                  </w:pPr>
                  <w:r>
                    <w:rPr>
                      <w:color w:val="auto"/>
                      <w:szCs w:val="21"/>
                    </w:rPr>
                    <w:t>监测时段</w:t>
                  </w:r>
                </w:p>
              </w:tc>
              <w:tc>
                <w:tcPr>
                  <w:tcW w:w="817" w:type="pct"/>
                  <w:vMerge w:val="restart"/>
                  <w:tcBorders>
                    <w:left w:val="single" w:color="auto" w:sz="4" w:space="0"/>
                  </w:tcBorders>
                  <w:vAlign w:val="center"/>
                </w:tcPr>
                <w:p>
                  <w:pPr>
                    <w:jc w:val="center"/>
                    <w:rPr>
                      <w:color w:val="auto"/>
                      <w:szCs w:val="21"/>
                    </w:rPr>
                  </w:pPr>
                  <w:r>
                    <w:rPr>
                      <w:color w:val="auto"/>
                      <w:szCs w:val="21"/>
                    </w:rPr>
                    <w:t>相对厂址方位</w:t>
                  </w:r>
                </w:p>
              </w:tc>
              <w:tc>
                <w:tcPr>
                  <w:tcW w:w="937" w:type="pct"/>
                  <w:vMerge w:val="restart"/>
                  <w:vAlign w:val="center"/>
                </w:tcPr>
                <w:p>
                  <w:pPr>
                    <w:jc w:val="center"/>
                    <w:rPr>
                      <w:color w:val="auto"/>
                      <w:szCs w:val="21"/>
                    </w:rPr>
                  </w:pPr>
                  <w:r>
                    <w:rPr>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29" w:hRule="atLeast"/>
                <w:jc w:val="center"/>
              </w:trPr>
              <w:tc>
                <w:tcPr>
                  <w:tcW w:w="718" w:type="pct"/>
                  <w:vMerge w:val="continue"/>
                  <w:vAlign w:val="center"/>
                </w:tcPr>
                <w:p>
                  <w:pPr>
                    <w:ind w:firstLine="420"/>
                    <w:jc w:val="center"/>
                    <w:rPr>
                      <w:color w:val="auto"/>
                      <w:szCs w:val="21"/>
                    </w:rPr>
                  </w:pPr>
                </w:p>
              </w:tc>
              <w:tc>
                <w:tcPr>
                  <w:tcW w:w="593" w:type="pct"/>
                  <w:tcBorders>
                    <w:top w:val="single" w:color="auto" w:sz="4" w:space="0"/>
                    <w:right w:val="single" w:color="auto" w:sz="4" w:space="0"/>
                  </w:tcBorders>
                  <w:vAlign w:val="center"/>
                </w:tcPr>
                <w:p>
                  <w:pPr>
                    <w:jc w:val="center"/>
                    <w:rPr>
                      <w:color w:val="auto"/>
                      <w:szCs w:val="21"/>
                    </w:rPr>
                  </w:pPr>
                  <w:r>
                    <w:rPr>
                      <w:rFonts w:hint="eastAsia"/>
                      <w:color w:val="auto"/>
                      <w:szCs w:val="21"/>
                    </w:rPr>
                    <w:t>东经（°）</w:t>
                  </w:r>
                </w:p>
              </w:tc>
              <w:tc>
                <w:tcPr>
                  <w:tcW w:w="596" w:type="pct"/>
                  <w:tcBorders>
                    <w:top w:val="single" w:color="auto" w:sz="4" w:space="0"/>
                    <w:left w:val="single" w:color="auto" w:sz="4" w:space="0"/>
                  </w:tcBorders>
                  <w:vAlign w:val="center"/>
                </w:tcPr>
                <w:p>
                  <w:pPr>
                    <w:jc w:val="center"/>
                    <w:rPr>
                      <w:color w:val="auto"/>
                      <w:szCs w:val="21"/>
                    </w:rPr>
                  </w:pPr>
                  <w:r>
                    <w:rPr>
                      <w:rFonts w:hint="eastAsia"/>
                      <w:color w:val="auto"/>
                      <w:szCs w:val="21"/>
                    </w:rPr>
                    <w:t>北纬（°）</w:t>
                  </w:r>
                </w:p>
              </w:tc>
              <w:tc>
                <w:tcPr>
                  <w:tcW w:w="593" w:type="pct"/>
                  <w:vMerge w:val="continue"/>
                  <w:tcBorders>
                    <w:left w:val="single" w:color="auto" w:sz="4" w:space="0"/>
                  </w:tcBorders>
                  <w:vAlign w:val="center"/>
                </w:tcPr>
                <w:p>
                  <w:pPr>
                    <w:ind w:firstLine="420"/>
                    <w:jc w:val="center"/>
                    <w:rPr>
                      <w:color w:val="auto"/>
                      <w:szCs w:val="21"/>
                    </w:rPr>
                  </w:pPr>
                </w:p>
              </w:tc>
              <w:tc>
                <w:tcPr>
                  <w:tcW w:w="743" w:type="pct"/>
                  <w:vMerge w:val="continue"/>
                  <w:tcBorders>
                    <w:left w:val="single" w:color="auto" w:sz="4" w:space="0"/>
                  </w:tcBorders>
                  <w:vAlign w:val="center"/>
                </w:tcPr>
                <w:p>
                  <w:pPr>
                    <w:ind w:firstLine="420"/>
                    <w:jc w:val="center"/>
                    <w:rPr>
                      <w:color w:val="auto"/>
                      <w:szCs w:val="21"/>
                    </w:rPr>
                  </w:pPr>
                </w:p>
              </w:tc>
              <w:tc>
                <w:tcPr>
                  <w:tcW w:w="817" w:type="pct"/>
                  <w:vMerge w:val="continue"/>
                  <w:tcBorders>
                    <w:left w:val="single" w:color="auto" w:sz="4" w:space="0"/>
                  </w:tcBorders>
                  <w:vAlign w:val="center"/>
                </w:tcPr>
                <w:p>
                  <w:pPr>
                    <w:ind w:firstLine="420"/>
                    <w:jc w:val="center"/>
                    <w:rPr>
                      <w:color w:val="auto"/>
                      <w:szCs w:val="21"/>
                    </w:rPr>
                  </w:pPr>
                </w:p>
              </w:tc>
              <w:tc>
                <w:tcPr>
                  <w:tcW w:w="937" w:type="pct"/>
                  <w:vMerge w:val="continue"/>
                  <w:vAlign w:val="center"/>
                </w:tcPr>
                <w:p>
                  <w:pPr>
                    <w:ind w:firstLine="42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806" w:hRule="atLeast"/>
                <w:jc w:val="center"/>
              </w:trPr>
              <w:tc>
                <w:tcPr>
                  <w:tcW w:w="718" w:type="pct"/>
                  <w:vAlign w:val="center"/>
                </w:tcPr>
                <w:p>
                  <w:pPr>
                    <w:jc w:val="center"/>
                    <w:rPr>
                      <w:color w:val="auto"/>
                      <w:szCs w:val="21"/>
                    </w:rPr>
                  </w:pPr>
                  <w:r>
                    <w:rPr>
                      <w:color w:val="auto"/>
                      <w:szCs w:val="21"/>
                    </w:rPr>
                    <w:t>1#厂址</w:t>
                  </w:r>
                  <w:r>
                    <w:rPr>
                      <w:rFonts w:hint="eastAsia"/>
                      <w:color w:val="auto"/>
                      <w:szCs w:val="21"/>
                    </w:rPr>
                    <w:t>下风向</w:t>
                  </w:r>
                </w:p>
              </w:tc>
              <w:tc>
                <w:tcPr>
                  <w:tcW w:w="593" w:type="pct"/>
                  <w:tcBorders>
                    <w:right w:val="single" w:color="auto" w:sz="4" w:space="0"/>
                  </w:tcBorders>
                  <w:vAlign w:val="center"/>
                </w:tcPr>
                <w:p>
                  <w:pPr>
                    <w:pStyle w:val="27"/>
                    <w:tabs>
                      <w:tab w:val="left" w:pos="6480"/>
                    </w:tabs>
                    <w:jc w:val="center"/>
                    <w:rPr>
                      <w:color w:val="auto"/>
                      <w:sz w:val="21"/>
                      <w:szCs w:val="21"/>
                    </w:rPr>
                  </w:pPr>
                  <w:r>
                    <w:rPr>
                      <w:rFonts w:hint="eastAsia"/>
                      <w:color w:val="auto"/>
                      <w:sz w:val="21"/>
                      <w:szCs w:val="21"/>
                    </w:rPr>
                    <w:t>128.955783</w:t>
                  </w:r>
                </w:p>
              </w:tc>
              <w:tc>
                <w:tcPr>
                  <w:tcW w:w="596"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rPr>
                    <w:t>47.709180</w:t>
                  </w:r>
                </w:p>
              </w:tc>
              <w:tc>
                <w:tcPr>
                  <w:tcW w:w="593"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rPr>
                    <w:t>TSP、苯并[a]芘</w:t>
                  </w:r>
                </w:p>
              </w:tc>
              <w:tc>
                <w:tcPr>
                  <w:tcW w:w="743"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highlight w:val="none"/>
                    </w:rPr>
                    <w:t>1</w:t>
                  </w:r>
                  <w:r>
                    <w:rPr>
                      <w:rFonts w:hint="eastAsia"/>
                      <w:color w:val="auto"/>
                      <w:sz w:val="21"/>
                      <w:szCs w:val="21"/>
                      <w:highlight w:val="none"/>
                      <w:lang w:val="en-US" w:eastAsia="zh-CN"/>
                    </w:rPr>
                    <w:t>0</w:t>
                  </w:r>
                  <w:r>
                    <w:rPr>
                      <w:color w:val="auto"/>
                      <w:sz w:val="21"/>
                      <w:szCs w:val="21"/>
                      <w:highlight w:val="none"/>
                    </w:rPr>
                    <w:t>月</w:t>
                  </w:r>
                  <w:r>
                    <w:rPr>
                      <w:rFonts w:hint="eastAsia"/>
                      <w:color w:val="auto"/>
                      <w:sz w:val="21"/>
                      <w:szCs w:val="21"/>
                      <w:highlight w:val="none"/>
                    </w:rPr>
                    <w:t>1</w:t>
                  </w:r>
                  <w:r>
                    <w:rPr>
                      <w:rFonts w:hint="eastAsia"/>
                      <w:color w:val="auto"/>
                      <w:sz w:val="21"/>
                      <w:szCs w:val="21"/>
                      <w:highlight w:val="none"/>
                      <w:lang w:val="en-US" w:eastAsia="zh-CN"/>
                    </w:rPr>
                    <w:t>5</w:t>
                  </w:r>
                  <w:r>
                    <w:rPr>
                      <w:color w:val="auto"/>
                      <w:sz w:val="21"/>
                      <w:szCs w:val="21"/>
                      <w:highlight w:val="none"/>
                    </w:rPr>
                    <w:t>日至</w:t>
                  </w:r>
                  <w:r>
                    <w:rPr>
                      <w:rFonts w:hint="eastAsia"/>
                      <w:color w:val="auto"/>
                      <w:sz w:val="21"/>
                      <w:szCs w:val="21"/>
                      <w:highlight w:val="none"/>
                      <w:lang w:val="en-US" w:eastAsia="zh-CN"/>
                    </w:rPr>
                    <w:t>22</w:t>
                  </w:r>
                  <w:r>
                    <w:rPr>
                      <w:color w:val="auto"/>
                      <w:sz w:val="21"/>
                      <w:szCs w:val="21"/>
                      <w:highlight w:val="none"/>
                    </w:rPr>
                    <w:t>日</w:t>
                  </w:r>
                </w:p>
              </w:tc>
              <w:tc>
                <w:tcPr>
                  <w:tcW w:w="817"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rPr>
                    <w:t>东</w:t>
                  </w:r>
                  <w:r>
                    <w:rPr>
                      <w:rFonts w:hint="eastAsia"/>
                      <w:color w:val="auto"/>
                      <w:sz w:val="21"/>
                      <w:szCs w:val="21"/>
                      <w:lang w:val="en-US" w:eastAsia="zh-CN"/>
                    </w:rPr>
                    <w:t>北</w:t>
                  </w:r>
                  <w:r>
                    <w:rPr>
                      <w:rFonts w:hint="eastAsia"/>
                      <w:color w:val="auto"/>
                      <w:sz w:val="21"/>
                      <w:szCs w:val="21"/>
                    </w:rPr>
                    <w:t>侧</w:t>
                  </w:r>
                </w:p>
              </w:tc>
              <w:tc>
                <w:tcPr>
                  <w:tcW w:w="937" w:type="pct"/>
                  <w:vAlign w:val="center"/>
                </w:tcPr>
                <w:p>
                  <w:pPr>
                    <w:jc w:val="center"/>
                    <w:rPr>
                      <w:color w:val="auto"/>
                      <w:szCs w:val="21"/>
                    </w:rPr>
                  </w:pPr>
                  <w:r>
                    <w:rPr>
                      <w:rFonts w:hint="eastAsia"/>
                      <w:color w:val="auto"/>
                      <w:szCs w:val="21"/>
                      <w:lang w:val="en-US" w:eastAsia="zh-CN"/>
                    </w:rPr>
                    <w:t>3</w:t>
                  </w:r>
                  <w:r>
                    <w:rPr>
                      <w:rFonts w:hint="eastAsia"/>
                      <w:color w:val="auto"/>
                      <w:szCs w:val="21"/>
                    </w:rPr>
                    <w:t>00</w:t>
                  </w:r>
                </w:p>
              </w:tc>
            </w:tr>
          </w:tbl>
          <w:p>
            <w:pPr>
              <w:rPr>
                <w:rFonts w:ascii="宋体" w:hAnsi="宋体"/>
                <w:color w:val="auto"/>
                <w:sz w:val="24"/>
              </w:rPr>
            </w:pPr>
            <w:bookmarkStart w:id="32" w:name="_Toc12713"/>
            <w:bookmarkStart w:id="33" w:name="_Toc30601"/>
            <w:bookmarkStart w:id="34" w:name="_Toc4327"/>
            <w:bookmarkStart w:id="35" w:name="_Toc7585"/>
          </w:p>
          <w:p>
            <w:pPr>
              <w:pStyle w:val="117"/>
              <w:spacing w:line="360" w:lineRule="auto"/>
              <w:ind w:left="0" w:right="0" w:firstLine="480" w:firstLineChars="200"/>
              <w:jc w:val="both"/>
              <w:rPr>
                <w:color w:val="auto"/>
                <w:kern w:val="2"/>
                <w:szCs w:val="24"/>
              </w:rPr>
            </w:pPr>
            <w:bookmarkStart w:id="36" w:name="_Toc25819"/>
            <w:bookmarkStart w:id="37" w:name="_Toc2536"/>
            <w:bookmarkStart w:id="38" w:name="_Toc21177"/>
            <w:bookmarkStart w:id="39" w:name="_Toc10647"/>
            <w:r>
              <w:rPr>
                <w:color w:val="auto"/>
                <w:kern w:val="2"/>
                <w:szCs w:val="24"/>
              </w:rPr>
              <w:t>（3）监测结果</w:t>
            </w:r>
            <w:bookmarkEnd w:id="32"/>
            <w:bookmarkEnd w:id="33"/>
            <w:bookmarkEnd w:id="34"/>
            <w:bookmarkEnd w:id="35"/>
            <w:bookmarkEnd w:id="36"/>
            <w:bookmarkEnd w:id="37"/>
            <w:bookmarkEnd w:id="38"/>
            <w:bookmarkEnd w:id="39"/>
          </w:p>
          <w:p>
            <w:pPr>
              <w:pStyle w:val="117"/>
              <w:spacing w:line="360" w:lineRule="auto"/>
              <w:ind w:left="0" w:right="0" w:firstLine="480" w:firstLineChars="200"/>
              <w:jc w:val="both"/>
              <w:rPr>
                <w:color w:val="auto"/>
                <w:kern w:val="2"/>
                <w:szCs w:val="24"/>
              </w:rPr>
            </w:pPr>
            <w:r>
              <w:rPr>
                <w:color w:val="auto"/>
                <w:kern w:val="2"/>
                <w:szCs w:val="24"/>
              </w:rPr>
              <w:t>本项目监测结果见表</w:t>
            </w:r>
            <w:r>
              <w:rPr>
                <w:rFonts w:hint="eastAsia"/>
                <w:color w:val="auto"/>
                <w:kern w:val="2"/>
                <w:szCs w:val="24"/>
              </w:rPr>
              <w:t>3-3</w:t>
            </w:r>
            <w:r>
              <w:rPr>
                <w:color w:val="auto"/>
                <w:kern w:val="2"/>
                <w:szCs w:val="24"/>
              </w:rPr>
              <w:t>。</w:t>
            </w:r>
          </w:p>
          <w:p>
            <w:pPr>
              <w:pStyle w:val="116"/>
              <w:rPr>
                <w:rFonts w:ascii="Times New Roman"/>
                <w:color w:val="auto"/>
                <w:highlight w:val="none"/>
                <w:vertAlign w:val="superscript"/>
              </w:rPr>
            </w:pPr>
            <w:r>
              <w:rPr>
                <w:rFonts w:ascii="Times New Roman"/>
                <w:color w:val="auto"/>
                <w:highlight w:val="none"/>
              </w:rPr>
              <w:t>表</w:t>
            </w:r>
            <w:r>
              <w:rPr>
                <w:rFonts w:hint="eastAsia" w:ascii="Times New Roman"/>
                <w:color w:val="auto"/>
                <w:highlight w:val="none"/>
              </w:rPr>
              <w:t>3-3</w:t>
            </w:r>
            <w:r>
              <w:rPr>
                <w:rFonts w:ascii="Times New Roman"/>
                <w:color w:val="auto"/>
                <w:highlight w:val="none"/>
              </w:rPr>
              <w:t xml:space="preserve">  环境质量现状（监测结果）表  单位：</w:t>
            </w:r>
            <w:r>
              <w:rPr>
                <w:rFonts w:hint="eastAsia" w:ascii="Times New Roman"/>
                <w:color w:val="auto"/>
                <w:szCs w:val="21"/>
                <w:highlight w:val="none"/>
              </w:rPr>
              <w:t>mg</w:t>
            </w:r>
            <w:r>
              <w:rPr>
                <w:rFonts w:ascii="Times New Roman"/>
                <w:color w:val="auto"/>
                <w:highlight w:val="none"/>
              </w:rPr>
              <w:t>/m</w:t>
            </w:r>
            <w:r>
              <w:rPr>
                <w:rFonts w:ascii="Times New Roman"/>
                <w:color w:val="auto"/>
                <w:highlight w:val="none"/>
                <w:vertAlign w:val="superscript"/>
              </w:rPr>
              <w:t>3</w:t>
            </w:r>
          </w:p>
          <w:tbl>
            <w:tblPr>
              <w:tblStyle w:val="35"/>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2560"/>
              <w:gridCol w:w="213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检测日期</w:t>
                  </w:r>
                </w:p>
              </w:tc>
              <w:tc>
                <w:tcPr>
                  <w:tcW w:w="256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检测项目</w:t>
                  </w:r>
                </w:p>
              </w:tc>
              <w:tc>
                <w:tcPr>
                  <w:tcW w:w="213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检测结果</w:t>
                  </w:r>
                </w:p>
              </w:tc>
              <w:tc>
                <w:tcPr>
                  <w:tcW w:w="1949"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2025年10月15日至2025年10月16日</w:t>
                  </w:r>
                </w:p>
              </w:tc>
              <w:tc>
                <w:tcPr>
                  <w:tcW w:w="2560" w:type="dxa"/>
                  <w:vMerge w:val="restart"/>
                  <w:tcBorders>
                    <w:tl2br w:val="nil"/>
                    <w:tr2bl w:val="nil"/>
                  </w:tcBorders>
                  <w:vAlign w:val="center"/>
                </w:tcPr>
                <w:p>
                  <w:pPr>
                    <w:jc w:val="center"/>
                    <w:rPr>
                      <w:rFonts w:hint="eastAsia" w:ascii="Times New Roman" w:hAnsi="Times New Roman" w:cs="Times New Roman" w:eastAsiaTheme="minorEastAsia"/>
                      <w:color w:val="auto"/>
                      <w:szCs w:val="21"/>
                      <w:lang w:val="en-US" w:eastAsia="zh-CN"/>
                    </w:rPr>
                  </w:pPr>
                  <w:r>
                    <w:rPr>
                      <w:rFonts w:hint="eastAsia"/>
                      <w:color w:val="auto"/>
                    </w:rPr>
                    <w:t>苯并[a]芘</w:t>
                  </w:r>
                </w:p>
              </w:tc>
              <w:tc>
                <w:tcPr>
                  <w:tcW w:w="213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2025年10月16日至2025年10月17日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2025年10月17日至2025年10月18日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2025年10月18日至2025年10月19日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2025年10月19日至2025年10月20日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2025年10月20日至2025年10月21日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2025年10月21日至2025年10月22日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2025年10月15日至2025年10月16日</w:t>
                  </w:r>
                </w:p>
              </w:tc>
              <w:tc>
                <w:tcPr>
                  <w:tcW w:w="2560" w:type="dxa"/>
                  <w:vMerge w:val="restart"/>
                  <w:tcBorders>
                    <w:tl2br w:val="nil"/>
                    <w:tr2bl w:val="nil"/>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eastAsia="宋体" w:cs="Times New Roman"/>
                      <w:color w:val="auto"/>
                      <w:szCs w:val="21"/>
                      <w:lang w:val="en-US" w:eastAsia="zh-CN"/>
                    </w:rPr>
                    <w:t>TSP</w:t>
                  </w:r>
                </w:p>
              </w:tc>
              <w:tc>
                <w:tcPr>
                  <w:tcW w:w="213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0.110</w:t>
                  </w:r>
                </w:p>
              </w:tc>
              <w:tc>
                <w:tcPr>
                  <w:tcW w:w="1949"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2025年10月16日至2025年10月17日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0.109</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2025年10月17日至2025年10月18日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0.111</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2025年10月18日至2025年10月19日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0.107</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2025年10月19日至2025年10月20日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2025年10月20日至2025年10月21日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0.113</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2025年10月21日至2025年10月22日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0.110</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bl>
          <w:p>
            <w:pPr>
              <w:spacing w:line="360" w:lineRule="auto"/>
              <w:ind w:firstLine="480" w:firstLineChars="200"/>
              <w:contextualSpacing/>
              <w:rPr>
                <w:snapToGrid w:val="0"/>
                <w:color w:val="auto"/>
                <w:kern w:val="0"/>
                <w:sz w:val="24"/>
              </w:rPr>
            </w:pPr>
            <w:r>
              <w:rPr>
                <w:snapToGrid w:val="0"/>
                <w:color w:val="auto"/>
                <w:kern w:val="0"/>
                <w:sz w:val="24"/>
              </w:rPr>
              <w:t>注：</w:t>
            </w:r>
            <w:r>
              <w:rPr>
                <w:rFonts w:hint="eastAsia"/>
                <w:snapToGrid w:val="0"/>
                <w:color w:val="auto"/>
                <w:kern w:val="0"/>
                <w:sz w:val="24"/>
              </w:rPr>
              <w:t>“L”为低于检出限。</w:t>
            </w:r>
          </w:p>
          <w:p>
            <w:pPr>
              <w:spacing w:line="360" w:lineRule="auto"/>
              <w:ind w:firstLine="480" w:firstLineChars="200"/>
              <w:rPr>
                <w:snapToGrid w:val="0"/>
                <w:color w:val="auto"/>
                <w:kern w:val="0"/>
                <w:sz w:val="24"/>
              </w:rPr>
            </w:pPr>
            <w:bookmarkStart w:id="40" w:name="_Hlk71807008"/>
            <w:r>
              <w:rPr>
                <w:snapToGrid w:val="0"/>
                <w:color w:val="auto"/>
                <w:kern w:val="0"/>
                <w:sz w:val="24"/>
              </w:rPr>
              <w:t>（</w:t>
            </w:r>
            <w:r>
              <w:rPr>
                <w:rFonts w:hint="eastAsia"/>
                <w:snapToGrid w:val="0"/>
                <w:color w:val="auto"/>
                <w:kern w:val="0"/>
                <w:sz w:val="24"/>
              </w:rPr>
              <w:t>4</w:t>
            </w:r>
            <w:r>
              <w:rPr>
                <w:snapToGrid w:val="0"/>
                <w:color w:val="auto"/>
                <w:kern w:val="0"/>
                <w:sz w:val="24"/>
              </w:rPr>
              <w:t>）评价方法</w:t>
            </w:r>
          </w:p>
          <w:p>
            <w:pPr>
              <w:pStyle w:val="86"/>
              <w:rPr>
                <w:snapToGrid w:val="0"/>
                <w:color w:val="auto"/>
                <w:kern w:val="0"/>
              </w:rPr>
            </w:pPr>
            <w:r>
              <w:rPr>
                <w:snapToGrid w:val="0"/>
                <w:color w:val="auto"/>
                <w:kern w:val="0"/>
              </w:rPr>
              <w:t>环境空气质量评价采用如下方法：</w:t>
            </w:r>
          </w:p>
          <w:p>
            <w:pPr>
              <w:pStyle w:val="86"/>
              <w:ind w:firstLine="0" w:firstLineChars="0"/>
              <w:jc w:val="center"/>
              <w:rPr>
                <w:snapToGrid w:val="0"/>
                <w:color w:val="auto"/>
                <w:kern w:val="0"/>
              </w:rPr>
            </w:pPr>
            <w:r>
              <w:rPr>
                <w:i/>
                <w:snapToGrid w:val="0"/>
                <w:color w:val="auto"/>
                <w:kern w:val="0"/>
              </w:rPr>
              <w:t>C</w:t>
            </w:r>
            <w:r>
              <w:rPr>
                <w:snapToGrid w:val="0"/>
                <w:color w:val="auto"/>
                <w:kern w:val="0"/>
                <w:vertAlign w:val="subscript"/>
              </w:rPr>
              <w:t>现状（x,y）</w:t>
            </w:r>
            <w:r>
              <w:rPr>
                <w:snapToGrid w:val="0"/>
                <w:color w:val="auto"/>
                <w:kern w:val="0"/>
              </w:rPr>
              <w:t>=MAX[</w:t>
            </w:r>
            <m:oMath>
              <m:f>
                <m:fPr>
                  <m:ctrlPr>
                    <w:rPr>
                      <w:rFonts w:ascii="Cambria Math" w:hAnsi="Cambria Math"/>
                      <w:color w:val="auto"/>
                    </w:rPr>
                  </m:ctrlPr>
                </m:fPr>
                <m:num>
                  <m:r>
                    <m:rPr/>
                    <w:rPr>
                      <w:rFonts w:ascii="Cambria Math" w:hAnsi="Cambria Math"/>
                      <w:color w:val="auto"/>
                    </w:rPr>
                    <m:t>1</m:t>
                  </m:r>
                  <m:ctrlPr>
                    <w:rPr>
                      <w:rFonts w:ascii="Cambria Math" w:hAnsi="Cambria Math"/>
                      <w:color w:val="auto"/>
                    </w:rPr>
                  </m:ctrlPr>
                </m:num>
                <m:den>
                  <m:r>
                    <m:rPr/>
                    <w:rPr>
                      <w:rFonts w:ascii="Cambria Math" w:hAnsi="Cambria Math"/>
                      <w:color w:val="auto"/>
                    </w:rPr>
                    <m:t>n</m:t>
                  </m:r>
                  <m:ctrlPr>
                    <w:rPr>
                      <w:rFonts w:ascii="Cambria Math" w:hAnsi="Cambria Math"/>
                      <w:color w:val="auto"/>
                    </w:rPr>
                  </m:ctrlPr>
                </m:den>
              </m:f>
              <m:nary>
                <m:naryPr>
                  <m:chr m:val="∑"/>
                  <m:limLoc m:val="subSup"/>
                  <m:ctrlPr>
                    <w:rPr>
                      <w:rFonts w:ascii="Cambria Math" w:hAnsi="Cambria Math"/>
                      <w:i/>
                      <w:color w:val="auto"/>
                    </w:rPr>
                  </m:ctrlPr>
                </m:naryPr>
                <m:sub>
                  <m:r>
                    <m:rPr/>
                    <w:rPr>
                      <w:rFonts w:ascii="Cambria Math" w:hAnsi="Cambria Math"/>
                      <w:color w:val="auto"/>
                    </w:rPr>
                    <m:t>j=1</m:t>
                  </m:r>
                  <m:ctrlPr>
                    <w:rPr>
                      <w:rFonts w:ascii="Cambria Math" w:hAnsi="Cambria Math"/>
                      <w:i/>
                      <w:color w:val="auto"/>
                    </w:rPr>
                  </m:ctrlPr>
                </m:sub>
                <m:sup>
                  <m:r>
                    <m:rPr/>
                    <w:rPr>
                      <w:rFonts w:ascii="Cambria Math" w:hAnsi="Cambria Math"/>
                      <w:color w:val="auto"/>
                    </w:rPr>
                    <m:t>n</m:t>
                  </m:r>
                  <m:ctrlPr>
                    <w:rPr>
                      <w:rFonts w:ascii="Cambria Math" w:hAnsi="Cambria Math"/>
                      <w:i/>
                      <w:color w:val="auto"/>
                    </w:rPr>
                  </m:ctrlPr>
                </m:sup>
                <m:e>
                  <m:sSub>
                    <m:sSubPr>
                      <m:ctrlPr>
                        <w:rPr>
                          <w:rFonts w:ascii="Cambria Math" w:hAnsi="Cambria Math"/>
                          <w:i/>
                          <w:color w:val="auto"/>
                        </w:rPr>
                      </m:ctrlPr>
                    </m:sSubPr>
                    <m:e>
                      <m:r>
                        <m:rPr/>
                        <w:rPr>
                          <w:rFonts w:ascii="Cambria Math" w:hAnsi="Cambria Math"/>
                          <w:color w:val="auto"/>
                        </w:rPr>
                        <m:t>C</m:t>
                      </m:r>
                      <m:ctrlPr>
                        <w:rPr>
                          <w:rFonts w:ascii="Cambria Math" w:hAnsi="Cambria Math"/>
                          <w:i/>
                          <w:color w:val="auto"/>
                        </w:rPr>
                      </m:ctrlPr>
                    </m:e>
                    <m:sub>
                      <m:r>
                        <m:rPr>
                          <m:sty m:val="p"/>
                        </m:rPr>
                        <w:rPr>
                          <w:rFonts w:ascii="Cambria Math" w:hAnsi="Cambria Math"/>
                          <w:color w:val="auto"/>
                        </w:rPr>
                        <m:t>监测</m:t>
                      </m:r>
                      <m:r>
                        <m:rPr/>
                        <w:rPr>
                          <w:rFonts w:ascii="Cambria Math" w:hAnsi="Cambria Math"/>
                          <w:color w:val="auto"/>
                        </w:rPr>
                        <m:t>（j,t）</m:t>
                      </m:r>
                      <m:ctrlPr>
                        <w:rPr>
                          <w:rFonts w:ascii="Cambria Math" w:hAnsi="Cambria Math"/>
                          <w:i/>
                          <w:color w:val="auto"/>
                        </w:rPr>
                      </m:ctrlPr>
                    </m:sub>
                  </m:sSub>
                  <m:ctrlPr>
                    <w:rPr>
                      <w:rFonts w:ascii="Cambria Math" w:hAnsi="Cambria Math"/>
                      <w:i/>
                      <w:color w:val="auto"/>
                    </w:rPr>
                  </m:ctrlPr>
                </m:e>
              </m:nary>
            </m:oMath>
            <w:r>
              <w:rPr>
                <w:snapToGrid w:val="0"/>
                <w:color w:val="auto"/>
                <w:kern w:val="0"/>
              </w:rPr>
              <w:t>]</w:t>
            </w:r>
          </w:p>
          <w:p>
            <w:pPr>
              <w:pStyle w:val="86"/>
              <w:rPr>
                <w:snapToGrid w:val="0"/>
                <w:color w:val="auto"/>
                <w:kern w:val="0"/>
              </w:rPr>
            </w:pPr>
            <w:r>
              <w:rPr>
                <w:snapToGrid w:val="0"/>
                <w:color w:val="auto"/>
                <w:kern w:val="0"/>
              </w:rPr>
              <w:t>式中：</w:t>
            </w:r>
            <w:r>
              <w:rPr>
                <w:i/>
                <w:snapToGrid w:val="0"/>
                <w:color w:val="auto"/>
                <w:kern w:val="0"/>
              </w:rPr>
              <w:t>C</w:t>
            </w:r>
            <w:r>
              <w:rPr>
                <w:snapToGrid w:val="0"/>
                <w:color w:val="auto"/>
                <w:kern w:val="0"/>
                <w:vertAlign w:val="subscript"/>
              </w:rPr>
              <w:t>现状（x,y）</w:t>
            </w:r>
            <w:r>
              <w:rPr>
                <w:snapToGrid w:val="0"/>
                <w:color w:val="auto"/>
                <w:kern w:val="0"/>
              </w:rPr>
              <w:t>—环境空气保护目标及网格点（x,y）环境质量现状浓度，μg/m</w:t>
            </w:r>
            <w:r>
              <w:rPr>
                <w:snapToGrid w:val="0"/>
                <w:color w:val="auto"/>
                <w:kern w:val="0"/>
                <w:vertAlign w:val="superscript"/>
              </w:rPr>
              <w:t>3</w:t>
            </w:r>
            <w:r>
              <w:rPr>
                <w:snapToGrid w:val="0"/>
                <w:color w:val="auto"/>
                <w:kern w:val="0"/>
              </w:rPr>
              <w:t>；</w:t>
            </w:r>
          </w:p>
          <w:p>
            <w:pPr>
              <w:pStyle w:val="86"/>
              <w:ind w:firstLine="1200" w:firstLineChars="500"/>
              <w:rPr>
                <w:snapToGrid w:val="0"/>
                <w:color w:val="auto"/>
                <w:kern w:val="0"/>
              </w:rPr>
            </w:pPr>
            <w:r>
              <w:rPr>
                <w:i/>
                <w:snapToGrid w:val="0"/>
                <w:color w:val="auto"/>
                <w:kern w:val="0"/>
              </w:rPr>
              <w:t>C</w:t>
            </w:r>
            <w:r>
              <w:rPr>
                <w:snapToGrid w:val="0"/>
                <w:color w:val="auto"/>
                <w:kern w:val="0"/>
                <w:vertAlign w:val="subscript"/>
              </w:rPr>
              <w:t>监测（</w:t>
            </w:r>
            <w:r>
              <w:rPr>
                <w:i/>
                <w:iCs/>
                <w:snapToGrid w:val="0"/>
                <w:color w:val="auto"/>
                <w:kern w:val="0"/>
                <w:vertAlign w:val="subscript"/>
              </w:rPr>
              <w:t>j,t</w:t>
            </w:r>
            <w:r>
              <w:rPr>
                <w:snapToGrid w:val="0"/>
                <w:color w:val="auto"/>
                <w:kern w:val="0"/>
                <w:vertAlign w:val="subscript"/>
              </w:rPr>
              <w:t>）</w:t>
            </w:r>
            <w:r>
              <w:rPr>
                <w:snapToGrid w:val="0"/>
                <w:color w:val="auto"/>
                <w:kern w:val="0"/>
              </w:rPr>
              <w:t>—第j个监测点位在t时刻环境质量现状浓度（包括1h平均、8h平均或日平均质量浓度）采用估算模型计算出的第</w:t>
            </w:r>
            <w:r>
              <w:rPr>
                <w:i/>
                <w:snapToGrid w:val="0"/>
                <w:color w:val="auto"/>
                <w:kern w:val="0"/>
              </w:rPr>
              <w:t>i</w:t>
            </w:r>
            <w:r>
              <w:rPr>
                <w:snapToGrid w:val="0"/>
                <w:color w:val="auto"/>
                <w:kern w:val="0"/>
              </w:rPr>
              <w:t>个污染物的最大1h地面空气质量浓度，</w:t>
            </w:r>
            <w:bookmarkStart w:id="41" w:name="_Hlk53993784"/>
            <w:r>
              <w:rPr>
                <w:snapToGrid w:val="0"/>
                <w:color w:val="auto"/>
                <w:kern w:val="0"/>
              </w:rPr>
              <w:t>μg/m</w:t>
            </w:r>
            <w:r>
              <w:rPr>
                <w:snapToGrid w:val="0"/>
                <w:color w:val="auto"/>
                <w:kern w:val="0"/>
                <w:vertAlign w:val="superscript"/>
              </w:rPr>
              <w:t>3</w:t>
            </w:r>
            <w:bookmarkEnd w:id="41"/>
            <w:r>
              <w:rPr>
                <w:snapToGrid w:val="0"/>
                <w:color w:val="auto"/>
                <w:kern w:val="0"/>
              </w:rPr>
              <w:t>；</w:t>
            </w:r>
          </w:p>
          <w:p>
            <w:pPr>
              <w:pStyle w:val="86"/>
              <w:ind w:firstLine="1200" w:firstLineChars="500"/>
              <w:rPr>
                <w:snapToGrid w:val="0"/>
                <w:color w:val="auto"/>
                <w:kern w:val="0"/>
              </w:rPr>
            </w:pPr>
            <w:r>
              <w:rPr>
                <w:snapToGrid w:val="0"/>
                <w:color w:val="auto"/>
                <w:kern w:val="0"/>
              </w:rPr>
              <w:t>n—现状补充监测点位数。</w:t>
            </w:r>
          </w:p>
          <w:p>
            <w:pPr>
              <w:spacing w:line="360" w:lineRule="auto"/>
              <w:ind w:firstLine="480" w:firstLineChars="200"/>
              <w:rPr>
                <w:snapToGrid w:val="0"/>
                <w:color w:val="auto"/>
                <w:kern w:val="0"/>
                <w:sz w:val="24"/>
              </w:rPr>
            </w:pPr>
            <w:r>
              <w:rPr>
                <w:snapToGrid w:val="0"/>
                <w:color w:val="auto"/>
                <w:kern w:val="0"/>
                <w:sz w:val="24"/>
              </w:rPr>
              <w:t>（</w:t>
            </w:r>
            <w:r>
              <w:rPr>
                <w:rFonts w:hint="eastAsia"/>
                <w:snapToGrid w:val="0"/>
                <w:color w:val="auto"/>
                <w:kern w:val="0"/>
                <w:sz w:val="24"/>
              </w:rPr>
              <w:t>5</w:t>
            </w:r>
            <w:r>
              <w:rPr>
                <w:snapToGrid w:val="0"/>
                <w:color w:val="auto"/>
                <w:kern w:val="0"/>
                <w:sz w:val="24"/>
              </w:rPr>
              <w:t>）监测结果分析</w:t>
            </w:r>
          </w:p>
          <w:p>
            <w:pPr>
              <w:spacing w:line="360" w:lineRule="auto"/>
              <w:ind w:firstLine="480" w:firstLineChars="200"/>
              <w:rPr>
                <w:snapToGrid w:val="0"/>
                <w:color w:val="auto"/>
                <w:kern w:val="0"/>
                <w:sz w:val="24"/>
              </w:rPr>
            </w:pPr>
            <w:r>
              <w:rPr>
                <w:snapToGrid w:val="0"/>
                <w:color w:val="auto"/>
                <w:kern w:val="0"/>
                <w:sz w:val="24"/>
              </w:rPr>
              <w:t>补充现状监测统计结果分析情况见表</w:t>
            </w:r>
            <w:r>
              <w:rPr>
                <w:rFonts w:hint="eastAsia"/>
                <w:snapToGrid w:val="0"/>
                <w:color w:val="auto"/>
                <w:kern w:val="0"/>
                <w:sz w:val="24"/>
              </w:rPr>
              <w:t>3</w:t>
            </w:r>
            <w:r>
              <w:rPr>
                <w:snapToGrid w:val="0"/>
                <w:color w:val="auto"/>
                <w:kern w:val="0"/>
                <w:sz w:val="24"/>
              </w:rPr>
              <w:t>-</w:t>
            </w:r>
            <w:r>
              <w:rPr>
                <w:rFonts w:hint="eastAsia"/>
                <w:snapToGrid w:val="0"/>
                <w:color w:val="auto"/>
                <w:kern w:val="0"/>
                <w:sz w:val="24"/>
              </w:rPr>
              <w:t>4</w:t>
            </w:r>
            <w:r>
              <w:rPr>
                <w:snapToGrid w:val="0"/>
                <w:color w:val="auto"/>
                <w:kern w:val="0"/>
                <w:sz w:val="24"/>
              </w:rPr>
              <w:t>。</w:t>
            </w:r>
            <w:bookmarkEnd w:id="40"/>
          </w:p>
          <w:p>
            <w:pPr>
              <w:pStyle w:val="137"/>
              <w:spacing w:line="240" w:lineRule="auto"/>
              <w:rPr>
                <w:rFonts w:eastAsia="宋体"/>
                <w:b/>
                <w:color w:val="auto"/>
                <w:highlight w:val="none"/>
              </w:rPr>
            </w:pPr>
            <w:bookmarkStart w:id="42" w:name="_Hlk71807216"/>
            <w:r>
              <w:rPr>
                <w:rFonts w:eastAsia="宋体"/>
                <w:b/>
                <w:color w:val="auto"/>
                <w:highlight w:val="none"/>
              </w:rPr>
              <w:t>表</w:t>
            </w:r>
            <w:r>
              <w:rPr>
                <w:rFonts w:hint="eastAsia" w:eastAsia="宋体"/>
                <w:b/>
                <w:color w:val="auto"/>
                <w:highlight w:val="none"/>
              </w:rPr>
              <w:t>3</w:t>
            </w:r>
            <w:r>
              <w:rPr>
                <w:rFonts w:eastAsia="宋体"/>
                <w:b/>
                <w:color w:val="auto"/>
                <w:highlight w:val="none"/>
              </w:rPr>
              <w:t>-</w:t>
            </w:r>
            <w:r>
              <w:rPr>
                <w:rFonts w:hint="eastAsia" w:eastAsia="宋体"/>
                <w:b/>
                <w:color w:val="auto"/>
                <w:highlight w:val="none"/>
              </w:rPr>
              <w:t xml:space="preserve">4 </w:t>
            </w:r>
            <w:r>
              <w:rPr>
                <w:rFonts w:eastAsia="宋体"/>
                <w:b/>
                <w:color w:val="auto"/>
                <w:highlight w:val="none"/>
              </w:rPr>
              <w:t>其他污染物环境现状监测统计表</w:t>
            </w:r>
          </w:p>
          <w:tbl>
            <w:tblPr>
              <w:tblStyle w:val="34"/>
              <w:tblpPr w:leftFromText="180" w:rightFromText="180" w:vertAnchor="text" w:horzAnchor="page" w:tblpX="104" w:tblpY="297"/>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265"/>
              <w:gridCol w:w="1338"/>
              <w:gridCol w:w="971"/>
              <w:gridCol w:w="1209"/>
              <w:gridCol w:w="1056"/>
              <w:gridCol w:w="879"/>
              <w:gridCol w:w="1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6" w:type="pct"/>
                  <w:vAlign w:val="center"/>
                </w:tcPr>
                <w:p>
                  <w:pPr>
                    <w:pStyle w:val="83"/>
                    <w:rPr>
                      <w:rFonts w:hint="default" w:ascii="Times New Roman" w:hAnsi="Times New Roman" w:cs="Times New Roman"/>
                      <w:color w:val="auto"/>
                      <w:szCs w:val="21"/>
                    </w:rPr>
                  </w:pPr>
                  <w:bookmarkStart w:id="43" w:name="_Hlk12439591"/>
                  <w:bookmarkStart w:id="44" w:name="_Hlk71807269"/>
                  <w:r>
                    <w:rPr>
                      <w:rFonts w:hint="default" w:ascii="Times New Roman" w:hAnsi="Times New Roman" w:cs="Times New Roman"/>
                      <w:color w:val="auto"/>
                      <w:szCs w:val="21"/>
                    </w:rPr>
                    <w:t>污染物</w:t>
                  </w:r>
                </w:p>
              </w:tc>
              <w:tc>
                <w:tcPr>
                  <w:tcW w:w="728"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检测点位</w:t>
                  </w:r>
                </w:p>
              </w:tc>
              <w:tc>
                <w:tcPr>
                  <w:tcW w:w="770"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平均时间</w:t>
                  </w:r>
                </w:p>
              </w:tc>
              <w:tc>
                <w:tcPr>
                  <w:tcW w:w="559"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评价标准/μg/m</w:t>
                  </w:r>
                  <w:r>
                    <w:rPr>
                      <w:rFonts w:hint="default" w:ascii="Times New Roman" w:hAnsi="Times New Roman" w:cs="Times New Roman"/>
                      <w:color w:val="auto"/>
                      <w:szCs w:val="21"/>
                      <w:vertAlign w:val="superscript"/>
                    </w:rPr>
                    <w:t>3</w:t>
                  </w:r>
                </w:p>
              </w:tc>
              <w:tc>
                <w:tcPr>
                  <w:tcW w:w="69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监测浓度范围/μg/m</w:t>
                  </w:r>
                  <w:r>
                    <w:rPr>
                      <w:rFonts w:hint="default" w:ascii="Times New Roman" w:hAnsi="Times New Roman" w:cs="Times New Roman"/>
                      <w:color w:val="auto"/>
                      <w:szCs w:val="21"/>
                      <w:vertAlign w:val="superscript"/>
                    </w:rPr>
                    <w:t>3</w:t>
                  </w:r>
                </w:p>
              </w:tc>
              <w:tc>
                <w:tcPr>
                  <w:tcW w:w="608"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最大浓度占标率/%</w:t>
                  </w:r>
                </w:p>
              </w:tc>
              <w:tc>
                <w:tcPr>
                  <w:tcW w:w="50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超标率/%</w:t>
                  </w:r>
                </w:p>
              </w:tc>
              <w:tc>
                <w:tcPr>
                  <w:tcW w:w="583"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4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728" w:type="pct"/>
                  <w:vMerge w:val="restart"/>
                  <w:vAlign w:val="center"/>
                </w:tcPr>
                <w:p>
                  <w:pPr>
                    <w:pStyle w:val="190"/>
                    <w:adjustRightInd w:val="0"/>
                    <w:snapToGrid w:val="0"/>
                    <w:rPr>
                      <w:rFonts w:hint="default" w:ascii="Times New Roman" w:hAnsi="Times New Roman" w:cs="Times New Roman"/>
                      <w:color w:val="auto"/>
                      <w:szCs w:val="21"/>
                    </w:rPr>
                  </w:pPr>
                  <w:r>
                    <w:rPr>
                      <w:color w:val="auto"/>
                      <w:szCs w:val="21"/>
                    </w:rPr>
                    <w:t>1#厂址</w:t>
                  </w:r>
                  <w:r>
                    <w:rPr>
                      <w:rFonts w:hint="eastAsia"/>
                      <w:color w:val="auto"/>
                      <w:szCs w:val="21"/>
                    </w:rPr>
                    <w:t>下风向</w:t>
                  </w:r>
                </w:p>
              </w:tc>
              <w:tc>
                <w:tcPr>
                  <w:tcW w:w="770"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24h平均</w:t>
                  </w:r>
                </w:p>
              </w:tc>
              <w:tc>
                <w:tcPr>
                  <w:tcW w:w="559"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696" w:type="pct"/>
                  <w:vAlign w:val="center"/>
                </w:tcPr>
                <w:p>
                  <w:pPr>
                    <w:pStyle w:val="83"/>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val="en-US" w:eastAsia="zh-CN"/>
                    </w:rPr>
                    <w:t>80</w:t>
                  </w: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3</w:t>
                  </w:r>
                </w:p>
              </w:tc>
              <w:tc>
                <w:tcPr>
                  <w:tcW w:w="608"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rPr>
                    <w:t>.7</w:t>
                  </w:r>
                </w:p>
              </w:tc>
              <w:tc>
                <w:tcPr>
                  <w:tcW w:w="50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83"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苯并[a]芘</w:t>
                  </w:r>
                </w:p>
              </w:tc>
              <w:tc>
                <w:tcPr>
                  <w:tcW w:w="728" w:type="pct"/>
                  <w:vMerge w:val="continue"/>
                  <w:vAlign w:val="center"/>
                </w:tcPr>
                <w:p>
                  <w:pPr>
                    <w:pStyle w:val="190"/>
                    <w:adjustRightInd w:val="0"/>
                    <w:snapToGrid w:val="0"/>
                    <w:rPr>
                      <w:rFonts w:hint="default" w:ascii="Times New Roman" w:hAnsi="Times New Roman" w:cs="Times New Roman"/>
                      <w:color w:val="auto"/>
                      <w:szCs w:val="21"/>
                    </w:rPr>
                  </w:pPr>
                </w:p>
              </w:tc>
              <w:tc>
                <w:tcPr>
                  <w:tcW w:w="770"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日均值</w:t>
                  </w:r>
                </w:p>
              </w:tc>
              <w:tc>
                <w:tcPr>
                  <w:tcW w:w="559"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0.0025</w:t>
                  </w:r>
                </w:p>
              </w:tc>
              <w:tc>
                <w:tcPr>
                  <w:tcW w:w="69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未检出</w:t>
                  </w:r>
                </w:p>
              </w:tc>
              <w:tc>
                <w:tcPr>
                  <w:tcW w:w="608"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06"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83" w:type="pct"/>
                  <w:vAlign w:val="center"/>
                </w:tcPr>
                <w:p>
                  <w:pPr>
                    <w:pStyle w:val="83"/>
                    <w:rPr>
                      <w:rFonts w:hint="default" w:ascii="Times New Roman" w:hAnsi="Times New Roman" w:cs="Times New Roman"/>
                      <w:color w:val="auto"/>
                      <w:szCs w:val="21"/>
                    </w:rPr>
                  </w:pPr>
                  <w:r>
                    <w:rPr>
                      <w:rFonts w:hint="default" w:ascii="Times New Roman" w:hAnsi="Times New Roman" w:cs="Times New Roman"/>
                      <w:color w:val="auto"/>
                      <w:szCs w:val="21"/>
                    </w:rPr>
                    <w:t>/</w:t>
                  </w:r>
                </w:p>
              </w:tc>
            </w:tr>
            <w:bookmarkEnd w:id="43"/>
          </w:tbl>
          <w:p>
            <w:pPr>
              <w:spacing w:line="360" w:lineRule="auto"/>
              <w:ind w:firstLine="480" w:firstLineChars="200"/>
              <w:rPr>
                <w:snapToGrid w:val="0"/>
                <w:color w:val="auto"/>
                <w:kern w:val="0"/>
                <w:sz w:val="24"/>
                <w:highlight w:val="none"/>
              </w:rPr>
            </w:pPr>
            <w:r>
              <w:rPr>
                <w:snapToGrid w:val="0"/>
                <w:color w:val="auto"/>
                <w:kern w:val="0"/>
                <w:sz w:val="24"/>
                <w:highlight w:val="none"/>
              </w:rPr>
              <w:t>（</w:t>
            </w:r>
            <w:r>
              <w:rPr>
                <w:rFonts w:hint="eastAsia"/>
                <w:snapToGrid w:val="0"/>
                <w:color w:val="auto"/>
                <w:kern w:val="0"/>
                <w:sz w:val="24"/>
                <w:highlight w:val="none"/>
              </w:rPr>
              <w:t>6</w:t>
            </w:r>
            <w:r>
              <w:rPr>
                <w:snapToGrid w:val="0"/>
                <w:color w:val="auto"/>
                <w:kern w:val="0"/>
                <w:sz w:val="24"/>
                <w:highlight w:val="none"/>
              </w:rPr>
              <w:t>）环境空气补充监测评价结论</w:t>
            </w:r>
          </w:p>
          <w:p>
            <w:pPr>
              <w:spacing w:line="360" w:lineRule="auto"/>
              <w:ind w:firstLine="480" w:firstLineChars="200"/>
              <w:contextualSpacing/>
              <w:rPr>
                <w:color w:val="auto"/>
                <w:sz w:val="24"/>
              </w:rPr>
            </w:pPr>
            <w:r>
              <w:rPr>
                <w:snapToGrid w:val="0"/>
                <w:color w:val="auto"/>
                <w:sz w:val="24"/>
                <w:lang w:val="en-GB"/>
              </w:rPr>
              <w:t>根据表</w:t>
            </w:r>
            <w:r>
              <w:rPr>
                <w:rFonts w:hint="eastAsia"/>
                <w:snapToGrid w:val="0"/>
                <w:color w:val="auto"/>
                <w:sz w:val="24"/>
              </w:rPr>
              <w:t>3</w:t>
            </w:r>
            <w:r>
              <w:rPr>
                <w:snapToGrid w:val="0"/>
                <w:color w:val="auto"/>
                <w:sz w:val="24"/>
                <w:lang w:val="en-GB"/>
              </w:rPr>
              <w:t>-</w:t>
            </w:r>
            <w:r>
              <w:rPr>
                <w:rFonts w:hint="eastAsia"/>
                <w:snapToGrid w:val="0"/>
                <w:color w:val="auto"/>
                <w:sz w:val="24"/>
              </w:rPr>
              <w:t>4</w:t>
            </w:r>
            <w:r>
              <w:rPr>
                <w:snapToGrid w:val="0"/>
                <w:color w:val="auto"/>
                <w:sz w:val="24"/>
                <w:lang w:val="en-GB"/>
              </w:rPr>
              <w:t>，本项目补充监测的</w:t>
            </w:r>
            <w:bookmarkEnd w:id="42"/>
            <w:bookmarkEnd w:id="44"/>
            <w:r>
              <w:rPr>
                <w:color w:val="auto"/>
                <w:sz w:val="24"/>
              </w:rPr>
              <w:t>TSP24小时平均浓度满足《环境空气质量标准》（GB3095-20</w:t>
            </w:r>
            <w:r>
              <w:rPr>
                <w:rFonts w:hint="eastAsia"/>
                <w:color w:val="auto"/>
                <w:sz w:val="24"/>
                <w:lang w:val="en-US" w:eastAsia="zh-CN"/>
              </w:rPr>
              <w:t>26</w:t>
            </w:r>
            <w:r>
              <w:rPr>
                <w:color w:val="auto"/>
                <w:sz w:val="24"/>
              </w:rPr>
              <w:t>）二级标准要求。</w:t>
            </w:r>
            <w:r>
              <w:rPr>
                <w:snapToGrid w:val="0"/>
                <w:color w:val="auto"/>
                <w:sz w:val="24"/>
                <w:lang w:val="en-GB"/>
              </w:rPr>
              <w:t>本项目</w:t>
            </w:r>
            <w:r>
              <w:rPr>
                <w:rFonts w:hint="eastAsia"/>
                <w:snapToGrid w:val="0"/>
                <w:color w:val="auto"/>
                <w:sz w:val="24"/>
                <w:lang w:val="en-GB"/>
              </w:rPr>
              <w:t>所在区域大气环境</w:t>
            </w:r>
            <w:r>
              <w:rPr>
                <w:bCs/>
                <w:snapToGrid w:val="0"/>
                <w:color w:val="auto"/>
                <w:sz w:val="24"/>
              </w:rPr>
              <w:t>苯并[a]芘</w:t>
            </w:r>
            <w:r>
              <w:rPr>
                <w:rFonts w:hint="eastAsia"/>
                <w:snapToGrid w:val="0"/>
                <w:color w:val="auto"/>
                <w:sz w:val="24"/>
                <w:lang w:val="en-GB"/>
              </w:rPr>
              <w:t>均未检出，</w:t>
            </w:r>
            <w:r>
              <w:rPr>
                <w:rFonts w:hAnsi="宋体"/>
                <w:color w:val="auto"/>
                <w:sz w:val="24"/>
              </w:rPr>
              <w:t>满足</w:t>
            </w:r>
            <w:r>
              <w:rPr>
                <w:color w:val="auto"/>
                <w:sz w:val="24"/>
              </w:rPr>
              <w:t>《环境空气质量标准》（GB3095-20</w:t>
            </w:r>
            <w:r>
              <w:rPr>
                <w:rFonts w:hint="eastAsia"/>
                <w:color w:val="auto"/>
                <w:sz w:val="24"/>
                <w:lang w:val="en-US" w:eastAsia="zh-CN"/>
              </w:rPr>
              <w:t>26</w:t>
            </w:r>
            <w:r>
              <w:rPr>
                <w:color w:val="auto"/>
                <w:sz w:val="24"/>
              </w:rPr>
              <w:t>）二级标准要求</w:t>
            </w:r>
            <w:r>
              <w:rPr>
                <w:rFonts w:hAnsi="宋体"/>
                <w:color w:val="auto"/>
                <w:sz w:val="24"/>
              </w:rPr>
              <w:t>。</w:t>
            </w:r>
          </w:p>
          <w:bookmarkEnd w:id="22"/>
          <w:bookmarkEnd w:id="23"/>
          <w:bookmarkEnd w:id="24"/>
          <w:bookmarkEnd w:id="25"/>
          <w:bookmarkEnd w:id="26"/>
          <w:bookmarkEnd w:id="27"/>
          <w:bookmarkEnd w:id="28"/>
          <w:bookmarkEnd w:id="29"/>
          <w:bookmarkEnd w:id="30"/>
          <w:bookmarkEnd w:id="31"/>
          <w:p>
            <w:pPr>
              <w:adjustRightInd w:val="0"/>
              <w:spacing w:line="360" w:lineRule="auto"/>
              <w:rPr>
                <w:rFonts w:eastAsia="黑体"/>
                <w:color w:val="auto"/>
                <w:kern w:val="18"/>
                <w:sz w:val="28"/>
                <w:szCs w:val="28"/>
              </w:rPr>
            </w:pPr>
            <w:r>
              <w:rPr>
                <w:rFonts w:eastAsia="黑体"/>
                <w:color w:val="auto"/>
                <w:kern w:val="0"/>
                <w:sz w:val="28"/>
                <w:szCs w:val="28"/>
              </w:rPr>
              <w:t>2、地表水环境质量部分现状</w:t>
            </w:r>
          </w:p>
          <w:p>
            <w:pPr>
              <w:widowControl/>
              <w:spacing w:line="360" w:lineRule="auto"/>
              <w:ind w:firstLine="480" w:firstLineChars="200"/>
              <w:rPr>
                <w:color w:val="auto"/>
                <w:sz w:val="24"/>
              </w:rPr>
            </w:pPr>
            <w:r>
              <w:rPr>
                <w:rFonts w:hint="eastAsia"/>
                <w:color w:val="auto"/>
                <w:sz w:val="24"/>
              </w:rPr>
              <w:t>根据</w:t>
            </w:r>
            <w:r>
              <w:rPr>
                <w:color w:val="auto"/>
                <w:sz w:val="24"/>
              </w:rPr>
              <w:t>202</w:t>
            </w:r>
            <w:r>
              <w:rPr>
                <w:rFonts w:hint="eastAsia"/>
                <w:color w:val="auto"/>
                <w:sz w:val="24"/>
                <w:lang w:val="en-US" w:eastAsia="zh-CN"/>
              </w:rPr>
              <w:t>4</w:t>
            </w:r>
            <w:r>
              <w:rPr>
                <w:color w:val="auto"/>
                <w:sz w:val="24"/>
              </w:rPr>
              <w:t>年伊春市环境质量年报</w:t>
            </w:r>
            <w:r>
              <w:rPr>
                <w:rFonts w:hint="eastAsia"/>
                <w:color w:val="auto"/>
                <w:sz w:val="24"/>
              </w:rPr>
              <w:t>，</w:t>
            </w:r>
            <w:bookmarkStart w:id="45" w:name="_Hlk134624233"/>
            <w:r>
              <w:rPr>
                <w:color w:val="auto"/>
                <w:sz w:val="24"/>
              </w:rPr>
              <w:t>202</w:t>
            </w:r>
            <w:r>
              <w:rPr>
                <w:rFonts w:hint="eastAsia"/>
                <w:color w:val="auto"/>
                <w:sz w:val="24"/>
              </w:rPr>
              <w:t>3</w:t>
            </w:r>
            <w:r>
              <w:rPr>
                <w:color w:val="auto"/>
                <w:sz w:val="24"/>
              </w:rPr>
              <w:t>年，伊春市地表水共设32个监测断面，其中国控考核断面13个、省控断面19个。</w:t>
            </w:r>
          </w:p>
          <w:bookmarkEnd w:id="45"/>
          <w:p>
            <w:pPr>
              <w:widowControl/>
              <w:spacing w:line="360" w:lineRule="auto"/>
              <w:ind w:firstLine="480" w:firstLineChars="200"/>
              <w:rPr>
                <w:color w:val="auto"/>
                <w:sz w:val="24"/>
              </w:rPr>
            </w:pPr>
            <w:bookmarkStart w:id="46" w:name="_Hlk134624216"/>
            <w:r>
              <w:rPr>
                <w:color w:val="auto"/>
                <w:sz w:val="24"/>
              </w:rPr>
              <w:t>202</w:t>
            </w:r>
            <w:r>
              <w:rPr>
                <w:rFonts w:hint="eastAsia"/>
                <w:color w:val="auto"/>
                <w:sz w:val="24"/>
                <w:lang w:val="en-US" w:eastAsia="zh-CN"/>
              </w:rPr>
              <w:t>4</w:t>
            </w:r>
            <w:r>
              <w:rPr>
                <w:color w:val="auto"/>
                <w:sz w:val="24"/>
              </w:rPr>
              <w:t>年，伊春市有国控监测数据的断面为13个，Ⅰ-Ⅲ类水质断面比例为</w:t>
            </w:r>
            <w:r>
              <w:rPr>
                <w:rFonts w:hint="eastAsia"/>
                <w:color w:val="auto"/>
                <w:sz w:val="24"/>
                <w:lang w:val="en-US" w:eastAsia="zh-CN"/>
              </w:rPr>
              <w:t>46.2</w:t>
            </w:r>
            <w:r>
              <w:rPr>
                <w:color w:val="auto"/>
                <w:sz w:val="24"/>
              </w:rPr>
              <w:t>%，劣V类水体比例为</w:t>
            </w:r>
            <w:r>
              <w:rPr>
                <w:rFonts w:hint="eastAsia"/>
                <w:color w:val="auto"/>
                <w:sz w:val="24"/>
                <w:lang w:val="en-US" w:eastAsia="zh-CN"/>
              </w:rPr>
              <w:t>7.7</w:t>
            </w:r>
            <w:r>
              <w:rPr>
                <w:color w:val="auto"/>
                <w:sz w:val="24"/>
              </w:rPr>
              <w:t>，达到年度考核目标要求。</w:t>
            </w:r>
            <w:bookmarkEnd w:id="46"/>
            <w:r>
              <w:rPr>
                <w:color w:val="auto"/>
                <w:sz w:val="24"/>
              </w:rPr>
              <w:t>202</w:t>
            </w:r>
            <w:r>
              <w:rPr>
                <w:rFonts w:hint="eastAsia"/>
                <w:color w:val="auto"/>
                <w:sz w:val="24"/>
                <w:lang w:val="en-US" w:eastAsia="zh-CN"/>
              </w:rPr>
              <w:t>4</w:t>
            </w:r>
            <w:r>
              <w:rPr>
                <w:color w:val="auto"/>
                <w:sz w:val="24"/>
              </w:rPr>
              <w:t>年伊春市</w:t>
            </w:r>
            <w:r>
              <w:rPr>
                <w:rFonts w:hint="eastAsia"/>
                <w:color w:val="auto"/>
                <w:sz w:val="24"/>
              </w:rPr>
              <w:t>考核</w:t>
            </w:r>
            <w:r>
              <w:rPr>
                <w:color w:val="auto"/>
                <w:sz w:val="24"/>
              </w:rPr>
              <w:t>断面</w:t>
            </w:r>
            <w:r>
              <w:rPr>
                <w:rFonts w:hint="eastAsia"/>
                <w:color w:val="auto"/>
                <w:sz w:val="24"/>
              </w:rPr>
              <w:t>有监测数据的为11</w:t>
            </w:r>
            <w:r>
              <w:rPr>
                <w:color w:val="auto"/>
                <w:sz w:val="24"/>
              </w:rPr>
              <w:t>个</w:t>
            </w:r>
            <w:r>
              <w:rPr>
                <w:rFonts w:hint="eastAsia"/>
                <w:color w:val="auto"/>
                <w:sz w:val="24"/>
              </w:rPr>
              <w:t>，</w:t>
            </w:r>
            <w:bookmarkStart w:id="47" w:name="_Hlk134624265"/>
            <w:r>
              <w:rPr>
                <w:rFonts w:hint="eastAsia"/>
                <w:color w:val="auto"/>
                <w:sz w:val="24"/>
              </w:rPr>
              <w:t>，Ⅰ-Ⅲ类水质断面比例为54.5%，劣V类水体比例为0%。</w:t>
            </w:r>
            <w:bookmarkEnd w:id="47"/>
            <w:r>
              <w:rPr>
                <w:rFonts w:hint="eastAsia"/>
                <w:color w:val="auto"/>
                <w:sz w:val="24"/>
                <w:lang w:val="en-US" w:eastAsia="zh-CN"/>
              </w:rPr>
              <w:t>汤旺</w:t>
            </w:r>
            <w:r>
              <w:rPr>
                <w:rFonts w:hint="eastAsia"/>
                <w:color w:val="auto"/>
                <w:sz w:val="24"/>
              </w:rPr>
              <w:t>河</w:t>
            </w:r>
            <w:r>
              <w:rPr>
                <w:rFonts w:hint="eastAsia"/>
                <w:color w:val="auto"/>
                <w:sz w:val="24"/>
                <w:lang w:val="en-US" w:eastAsia="zh-CN"/>
              </w:rPr>
              <w:t>红旗</w:t>
            </w:r>
            <w:r>
              <w:rPr>
                <w:rFonts w:hint="eastAsia"/>
                <w:color w:val="auto"/>
                <w:sz w:val="24"/>
              </w:rPr>
              <w:t>省控断面为</w:t>
            </w:r>
            <w:r>
              <w:rPr>
                <w:rFonts w:hint="eastAsia" w:ascii="宋体" w:hAnsi="宋体"/>
                <w:color w:val="auto"/>
                <w:sz w:val="24"/>
              </w:rPr>
              <w:t>Ⅵ</w:t>
            </w:r>
            <w:r>
              <w:rPr>
                <w:rFonts w:hint="eastAsia"/>
                <w:color w:val="auto"/>
                <w:sz w:val="24"/>
              </w:rPr>
              <w:t>类水体，与上年相比无明显变化。</w:t>
            </w:r>
          </w:p>
          <w:p>
            <w:pPr>
              <w:adjustRightInd w:val="0"/>
              <w:spacing w:line="360" w:lineRule="auto"/>
              <w:rPr>
                <w:rFonts w:eastAsia="黑体"/>
                <w:color w:val="auto"/>
                <w:kern w:val="0"/>
                <w:sz w:val="28"/>
                <w:szCs w:val="28"/>
              </w:rPr>
            </w:pPr>
            <w:r>
              <w:rPr>
                <w:rFonts w:eastAsia="黑体"/>
                <w:color w:val="auto"/>
                <w:kern w:val="0"/>
                <w:sz w:val="28"/>
                <w:szCs w:val="28"/>
              </w:rPr>
              <w:t>3、声环境质量部分现状</w:t>
            </w:r>
          </w:p>
          <w:p>
            <w:pPr>
              <w:widowControl/>
              <w:adjustRightInd w:val="0"/>
              <w:snapToGrid w:val="0"/>
              <w:spacing w:line="360" w:lineRule="auto"/>
              <w:ind w:firstLine="480" w:firstLineChars="200"/>
              <w:jc w:val="left"/>
              <w:rPr>
                <w:rFonts w:hint="eastAsia"/>
                <w:snapToGrid w:val="0"/>
                <w:color w:val="auto"/>
                <w:sz w:val="24"/>
                <w:lang w:val="zh-CN"/>
              </w:rPr>
            </w:pPr>
            <w:r>
              <w:rPr>
                <w:rFonts w:hint="eastAsia"/>
                <w:snapToGrid w:val="0"/>
                <w:color w:val="auto"/>
                <w:sz w:val="24"/>
                <w:lang w:val="zh-CN"/>
              </w:rPr>
              <w:t>根据《202</w:t>
            </w:r>
            <w:r>
              <w:rPr>
                <w:rFonts w:hint="eastAsia"/>
                <w:snapToGrid w:val="0"/>
                <w:color w:val="auto"/>
                <w:sz w:val="24"/>
                <w:lang w:val="en-US" w:eastAsia="zh-CN"/>
              </w:rPr>
              <w:t>4</w:t>
            </w:r>
            <w:r>
              <w:rPr>
                <w:rFonts w:hint="eastAsia"/>
                <w:snapToGrid w:val="0"/>
                <w:color w:val="auto"/>
                <w:sz w:val="24"/>
                <w:lang w:val="zh-CN"/>
              </w:rPr>
              <w:t>年伊春市生态环境质量</w:t>
            </w:r>
            <w:r>
              <w:rPr>
                <w:rFonts w:hint="eastAsia"/>
                <w:snapToGrid w:val="0"/>
                <w:color w:val="auto"/>
                <w:sz w:val="24"/>
                <w:lang w:val="en-US" w:eastAsia="zh-CN"/>
              </w:rPr>
              <w:t>年</w:t>
            </w:r>
            <w:r>
              <w:rPr>
                <w:rFonts w:hint="eastAsia"/>
                <w:snapToGrid w:val="0"/>
                <w:color w:val="auto"/>
                <w:sz w:val="24"/>
                <w:lang w:val="zh-CN"/>
              </w:rPr>
              <w:t>报》，202</w:t>
            </w:r>
            <w:r>
              <w:rPr>
                <w:rFonts w:hint="eastAsia"/>
                <w:snapToGrid w:val="0"/>
                <w:color w:val="auto"/>
                <w:sz w:val="24"/>
                <w:lang w:val="en-US" w:eastAsia="zh-CN"/>
              </w:rPr>
              <w:t>4</w:t>
            </w:r>
            <w:r>
              <w:rPr>
                <w:rFonts w:hint="eastAsia"/>
                <w:snapToGrid w:val="0"/>
                <w:color w:val="auto"/>
                <w:sz w:val="24"/>
                <w:lang w:val="zh-CN"/>
              </w:rPr>
              <w:t>年度，伊春市昼间区域环境噪声平均等效声级为50.1分贝，声环境质量为好，同比无变化。</w:t>
            </w:r>
          </w:p>
          <w:p>
            <w:pPr>
              <w:adjustRightInd w:val="0"/>
              <w:spacing w:line="360" w:lineRule="auto"/>
              <w:rPr>
                <w:rFonts w:hint="eastAsia" w:ascii="Times New Roman" w:hAnsi="Times New Roman" w:eastAsia="黑体" w:cs="Times New Roman"/>
                <w:color w:val="auto"/>
                <w:kern w:val="0"/>
                <w:sz w:val="28"/>
                <w:szCs w:val="28"/>
                <w:lang w:val="en-US" w:eastAsia="zh-CN"/>
              </w:rPr>
            </w:pPr>
            <w:r>
              <w:rPr>
                <w:rFonts w:hint="eastAsia" w:ascii="Times New Roman" w:hAnsi="Times New Roman" w:eastAsia="黑体" w:cs="Times New Roman"/>
                <w:color w:val="auto"/>
                <w:kern w:val="0"/>
                <w:sz w:val="28"/>
                <w:szCs w:val="28"/>
                <w:lang w:val="en-US" w:eastAsia="zh-CN"/>
              </w:rPr>
              <w:t>4、生态环境</w:t>
            </w:r>
          </w:p>
          <w:p>
            <w:pPr>
              <w:spacing w:line="360" w:lineRule="auto"/>
              <w:ind w:firstLine="480" w:firstLineChars="200"/>
              <w:contextualSpacing/>
              <w:jc w:val="left"/>
              <w:rPr>
                <w:color w:val="auto"/>
                <w:kern w:val="0"/>
                <w:sz w:val="24"/>
              </w:rPr>
            </w:pPr>
            <w:r>
              <w:rPr>
                <w:color w:val="auto"/>
                <w:kern w:val="0"/>
                <w:sz w:val="24"/>
              </w:rPr>
              <w:t>本项目建设地点属于</w:t>
            </w:r>
            <w:r>
              <w:rPr>
                <w:color w:val="auto"/>
                <w:sz w:val="24"/>
              </w:rPr>
              <w:t>黑龙江省</w:t>
            </w:r>
            <w:r>
              <w:rPr>
                <w:rFonts w:hint="eastAsia"/>
                <w:color w:val="auto"/>
                <w:sz w:val="24"/>
                <w:lang w:val="en-US" w:eastAsia="zh-CN"/>
              </w:rPr>
              <w:t>伊春市</w:t>
            </w:r>
            <w:r>
              <w:rPr>
                <w:bCs/>
                <w:color w:val="auto"/>
                <w:sz w:val="24"/>
              </w:rPr>
              <w:t>，</w:t>
            </w:r>
            <w:r>
              <w:rPr>
                <w:bCs/>
                <w:color w:val="auto"/>
                <w:sz w:val="24"/>
                <w:highlight w:val="none"/>
              </w:rPr>
              <w:t>用地性质为</w:t>
            </w:r>
            <w:r>
              <w:rPr>
                <w:rFonts w:hint="eastAsia"/>
                <w:bCs/>
                <w:color w:val="auto"/>
                <w:sz w:val="24"/>
                <w:highlight w:val="none"/>
                <w:lang w:val="en-US" w:eastAsia="zh-CN"/>
              </w:rPr>
              <w:t>工业</w:t>
            </w:r>
            <w:r>
              <w:rPr>
                <w:bCs/>
                <w:color w:val="auto"/>
                <w:sz w:val="24"/>
                <w:highlight w:val="none"/>
              </w:rPr>
              <w:t>用地，</w:t>
            </w:r>
            <w:r>
              <w:rPr>
                <w:color w:val="auto"/>
                <w:kern w:val="0"/>
                <w:sz w:val="24"/>
                <w:highlight w:val="none"/>
              </w:rPr>
              <w:t>用地范围内无生态环境保护目标，</w:t>
            </w:r>
            <w:r>
              <w:rPr>
                <w:rFonts w:hint="eastAsia"/>
                <w:color w:val="auto"/>
                <w:kern w:val="0"/>
                <w:sz w:val="24"/>
                <w:highlight w:val="none"/>
                <w:lang w:val="en-US" w:eastAsia="zh-CN"/>
              </w:rPr>
              <w:t>本项目在现有厂区内改扩建</w:t>
            </w:r>
            <w:r>
              <w:rPr>
                <w:color w:val="auto"/>
                <w:kern w:val="0"/>
                <w:sz w:val="24"/>
                <w:highlight w:val="none"/>
              </w:rPr>
              <w:t>。</w:t>
            </w:r>
          </w:p>
          <w:p>
            <w:pPr>
              <w:spacing w:line="360" w:lineRule="auto"/>
              <w:ind w:firstLine="480" w:firstLineChars="200"/>
              <w:contextualSpacing/>
              <w:jc w:val="left"/>
              <w:rPr>
                <w:color w:val="auto"/>
                <w:kern w:val="0"/>
                <w:sz w:val="24"/>
              </w:rPr>
            </w:pPr>
            <w:r>
              <w:rPr>
                <w:color w:val="auto"/>
                <w:sz w:val="24"/>
              </w:rPr>
              <w:t>通过现场踏查，本项目</w:t>
            </w:r>
            <w:r>
              <w:rPr>
                <w:rFonts w:hint="eastAsia"/>
                <w:color w:val="auto"/>
                <w:sz w:val="24"/>
              </w:rPr>
              <w:t>占地范围</w:t>
            </w:r>
            <w:r>
              <w:rPr>
                <w:color w:val="auto"/>
                <w:sz w:val="24"/>
              </w:rPr>
              <w:t>内无国家、省、市级自然保护区，无自然保护区、风景名胜区、饮用水水源地等特殊敏感区，无重要旅游景点。因此不进行生态环境现状调查。</w:t>
            </w:r>
          </w:p>
          <w:p>
            <w:pPr>
              <w:adjustRightInd w:val="0"/>
              <w:spacing w:line="360" w:lineRule="auto"/>
              <w:rPr>
                <w:rFonts w:hint="default" w:ascii="Times New Roman" w:hAnsi="Times New Roman" w:eastAsia="黑体" w:cs="Times New Roman"/>
                <w:color w:val="auto"/>
                <w:kern w:val="0"/>
                <w:sz w:val="28"/>
                <w:szCs w:val="28"/>
                <w:lang w:val="en-US" w:eastAsia="zh-CN"/>
              </w:rPr>
            </w:pPr>
            <w:r>
              <w:rPr>
                <w:rFonts w:hint="eastAsia" w:ascii="Times New Roman" w:hAnsi="Times New Roman" w:eastAsia="黑体" w:cs="Times New Roman"/>
                <w:color w:val="auto"/>
                <w:kern w:val="0"/>
                <w:sz w:val="28"/>
                <w:szCs w:val="28"/>
                <w:lang w:val="en-US" w:eastAsia="zh-CN"/>
              </w:rPr>
              <w:t>5、地下水环境及土壤</w:t>
            </w:r>
          </w:p>
          <w:p>
            <w:pPr>
              <w:widowControl/>
              <w:adjustRightInd w:val="0"/>
              <w:snapToGrid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color w:val="auto"/>
                <w:kern w:val="0"/>
                <w:sz w:val="24"/>
              </w:rPr>
              <w:t>根据《建设项目环境影响报告表编制技术指南(污染影响类)(试行)》，原则上不开展地下水和土壤环境质量现状调查，</w:t>
            </w:r>
            <w:r>
              <w:rPr>
                <w:rFonts w:hint="eastAsia"/>
                <w:color w:val="auto"/>
                <w:kern w:val="0"/>
                <w:sz w:val="24"/>
                <w:lang w:val="en-US" w:eastAsia="zh-CN"/>
              </w:rPr>
              <w:t>厂区进行分区防渗</w:t>
            </w:r>
            <w:r>
              <w:rPr>
                <w:color w:val="auto"/>
                <w:kern w:val="0"/>
                <w:sz w:val="24"/>
              </w:rPr>
              <w:t>，不会对地下水环境产生影响。因此，不开展地下水环境质量现状调查。</w:t>
            </w:r>
          </w:p>
          <w:p>
            <w:pPr>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adjustRightInd w:val="0"/>
              <w:snapToGrid w:val="0"/>
              <w:jc w:val="center"/>
              <w:rPr>
                <w:color w:val="auto"/>
                <w:kern w:val="0"/>
                <w:sz w:val="24"/>
                <w:szCs w:val="21"/>
              </w:rPr>
            </w:pPr>
            <w:r>
              <w:rPr>
                <w:color w:val="auto"/>
                <w:kern w:val="0"/>
                <w:sz w:val="24"/>
                <w:szCs w:val="21"/>
              </w:rPr>
              <w:t>环境</w:t>
            </w:r>
          </w:p>
          <w:p>
            <w:pPr>
              <w:adjustRightInd w:val="0"/>
              <w:snapToGrid w:val="0"/>
              <w:jc w:val="center"/>
              <w:rPr>
                <w:color w:val="auto"/>
                <w:kern w:val="0"/>
                <w:sz w:val="24"/>
                <w:szCs w:val="21"/>
              </w:rPr>
            </w:pPr>
            <w:r>
              <w:rPr>
                <w:color w:val="auto"/>
                <w:kern w:val="0"/>
                <w:sz w:val="24"/>
                <w:szCs w:val="21"/>
              </w:rPr>
              <w:t>保护</w:t>
            </w:r>
          </w:p>
          <w:p>
            <w:pPr>
              <w:adjustRightInd w:val="0"/>
              <w:snapToGrid w:val="0"/>
              <w:jc w:val="center"/>
              <w:rPr>
                <w:color w:val="auto"/>
                <w:kern w:val="0"/>
                <w:sz w:val="24"/>
                <w:szCs w:val="21"/>
              </w:rPr>
            </w:pPr>
            <w:r>
              <w:rPr>
                <w:color w:val="auto"/>
                <w:kern w:val="0"/>
                <w:sz w:val="24"/>
                <w:szCs w:val="21"/>
              </w:rPr>
              <w:t>目标</w:t>
            </w:r>
          </w:p>
        </w:tc>
        <w:tc>
          <w:tcPr>
            <w:tcW w:w="4513" w:type="pct"/>
          </w:tcPr>
          <w:p>
            <w:pPr>
              <w:spacing w:line="360" w:lineRule="auto"/>
              <w:ind w:firstLine="480" w:firstLineChars="200"/>
              <w:rPr>
                <w:rFonts w:hint="eastAsia"/>
                <w:color w:val="auto"/>
                <w:sz w:val="24"/>
                <w:lang w:val="en-US" w:eastAsia="zh-CN"/>
              </w:rPr>
            </w:pPr>
            <w:r>
              <w:rPr>
                <w:color w:val="auto"/>
                <w:kern w:val="0"/>
                <w:sz w:val="24"/>
                <w:szCs w:val="21"/>
              </w:rPr>
              <w:t>本项目</w:t>
            </w:r>
            <w:r>
              <w:rPr>
                <w:rFonts w:hint="eastAsia"/>
                <w:color w:val="auto"/>
                <w:kern w:val="0"/>
                <w:sz w:val="24"/>
                <w:szCs w:val="21"/>
              </w:rPr>
              <w:t>位于</w:t>
            </w:r>
            <w:r>
              <w:rPr>
                <w:rFonts w:hint="eastAsia"/>
                <w:color w:val="auto"/>
                <w:sz w:val="24"/>
              </w:rPr>
              <w:t>伊春市</w:t>
            </w:r>
            <w:r>
              <w:rPr>
                <w:rFonts w:hint="eastAsia"/>
                <w:color w:val="auto"/>
                <w:sz w:val="24"/>
                <w:lang w:val="en-US" w:eastAsia="zh-CN"/>
              </w:rPr>
              <w:t>伊美</w:t>
            </w:r>
            <w:r>
              <w:rPr>
                <w:rFonts w:hint="eastAsia"/>
                <w:color w:val="auto"/>
                <w:sz w:val="24"/>
              </w:rPr>
              <w:t>区</w:t>
            </w:r>
            <w:r>
              <w:rPr>
                <w:rFonts w:hint="eastAsia"/>
                <w:color w:val="auto"/>
                <w:sz w:val="24"/>
                <w:lang w:val="en-US" w:eastAsia="zh-CN"/>
              </w:rPr>
              <w:t>伊敏林场</w:t>
            </w:r>
            <w:r>
              <w:rPr>
                <w:rFonts w:hint="eastAsia"/>
                <w:bCs/>
                <w:color w:val="auto"/>
                <w:kern w:val="0"/>
                <w:sz w:val="24"/>
                <w:szCs w:val="21"/>
              </w:rPr>
              <w:t>，</w:t>
            </w:r>
            <w:r>
              <w:rPr>
                <w:color w:val="auto"/>
                <w:sz w:val="24"/>
              </w:rPr>
              <w:t>项目选址不</w:t>
            </w:r>
            <w:r>
              <w:rPr>
                <w:rFonts w:hint="eastAsia"/>
                <w:color w:val="auto"/>
                <w:sz w:val="24"/>
              </w:rPr>
              <w:t>位于</w:t>
            </w:r>
            <w:r>
              <w:rPr>
                <w:color w:val="auto"/>
                <w:sz w:val="24"/>
              </w:rPr>
              <w:t>生活饮用水源</w:t>
            </w:r>
            <w:r>
              <w:rPr>
                <w:rFonts w:hint="eastAsia"/>
                <w:color w:val="auto"/>
                <w:sz w:val="24"/>
              </w:rPr>
              <w:t>保护区</w:t>
            </w:r>
            <w:r>
              <w:rPr>
                <w:color w:val="auto"/>
                <w:sz w:val="24"/>
              </w:rPr>
              <w:t>、风景名胜区、温泉疗养区、水产养殖区、基本农田保护区、自然保护区等需要特殊保护区域。厂界外</w:t>
            </w:r>
            <w:r>
              <w:rPr>
                <w:rFonts w:hint="eastAsia"/>
                <w:color w:val="auto"/>
                <w:sz w:val="24"/>
              </w:rPr>
              <w:t>50m范围内没有声环境保护目标；根据现状调查结果，厂界外500m范围内</w:t>
            </w:r>
            <w:r>
              <w:rPr>
                <w:rFonts w:hint="eastAsia"/>
                <w:color w:val="auto"/>
                <w:sz w:val="24"/>
                <w:lang w:val="en-US" w:eastAsia="zh-CN"/>
              </w:rPr>
              <w:t>无</w:t>
            </w:r>
            <w:r>
              <w:rPr>
                <w:rFonts w:hint="eastAsia"/>
                <w:color w:val="auto"/>
                <w:sz w:val="24"/>
              </w:rPr>
              <w:t>地下水集中式饮用水水源和热水、矿泉水、温泉等特殊地下水资源，无地下水环境保护目标。</w:t>
            </w:r>
            <w:r>
              <w:rPr>
                <w:rFonts w:hint="eastAsia"/>
                <w:color w:val="auto"/>
                <w:sz w:val="24"/>
                <w:lang w:val="en-US" w:eastAsia="zh-CN"/>
              </w:rPr>
              <w:t>红旗河位于项目南侧30m。</w:t>
            </w:r>
          </w:p>
          <w:p>
            <w:pPr>
              <w:spacing w:line="360" w:lineRule="auto"/>
              <w:ind w:firstLine="480" w:firstLineChars="200"/>
              <w:rPr>
                <w:rFonts w:eastAsiaTheme="minorEastAsia"/>
                <w:color w:val="auto"/>
                <w:sz w:val="24"/>
              </w:rPr>
            </w:pPr>
            <w:r>
              <w:rPr>
                <w:rFonts w:hint="eastAsia"/>
                <w:color w:val="auto"/>
                <w:kern w:val="0"/>
                <w:sz w:val="24"/>
                <w:lang w:val="en-US" w:eastAsia="zh-CN"/>
              </w:rPr>
              <w:t>厂区周围5000米范围内</w:t>
            </w:r>
            <w:r>
              <w:rPr>
                <w:color w:val="auto"/>
                <w:kern w:val="0"/>
                <w:sz w:val="24"/>
              </w:rPr>
              <w:t>大气环境保护目标</w:t>
            </w:r>
            <w:r>
              <w:rPr>
                <w:rFonts w:hint="eastAsia"/>
                <w:color w:val="auto"/>
                <w:kern w:val="0"/>
                <w:sz w:val="24"/>
                <w:lang w:val="en-US" w:eastAsia="zh-CN"/>
              </w:rPr>
              <w:t>见下表</w:t>
            </w:r>
            <w:r>
              <w:rPr>
                <w:rFonts w:eastAsiaTheme="minorEastAsia"/>
                <w:color w:val="auto"/>
                <w:sz w:val="24"/>
              </w:rPr>
              <w:t>。</w:t>
            </w:r>
          </w:p>
          <w:p>
            <w:pPr>
              <w:pStyle w:val="135"/>
              <w:tabs>
                <w:tab w:val="clear" w:pos="5400"/>
              </w:tabs>
              <w:rPr>
                <w:color w:val="auto"/>
                <w:highlight w:val="none"/>
              </w:rPr>
            </w:pPr>
            <w:r>
              <w:rPr>
                <w:color w:val="auto"/>
                <w:highlight w:val="none"/>
              </w:rPr>
              <w:t>表</w:t>
            </w:r>
            <w:r>
              <w:rPr>
                <w:rFonts w:hint="eastAsia"/>
                <w:color w:val="auto"/>
                <w:highlight w:val="none"/>
                <w:lang w:val="en-US" w:eastAsia="zh-CN"/>
              </w:rPr>
              <w:t>3-5</w:t>
            </w:r>
            <w:r>
              <w:rPr>
                <w:color w:val="auto"/>
                <w:highlight w:val="none"/>
              </w:rPr>
              <w:t>环境保护目标</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767"/>
              <w:gridCol w:w="1376"/>
              <w:gridCol w:w="1236"/>
              <w:gridCol w:w="909"/>
              <w:gridCol w:w="1267"/>
              <w:gridCol w:w="687"/>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339" w:type="pct"/>
                  <w:vMerge w:val="restart"/>
                  <w:noWrap w:val="0"/>
                  <w:vAlign w:val="center"/>
                </w:tcPr>
                <w:p>
                  <w:pPr>
                    <w:adjustRightInd w:val="0"/>
                    <w:snapToGrid w:val="0"/>
                    <w:jc w:val="center"/>
                    <w:textAlignment w:val="center"/>
                    <w:rPr>
                      <w:rFonts w:hint="eastAsia" w:ascii="Times New Roman" w:eastAsia="宋体"/>
                      <w:color w:val="auto"/>
                      <w:sz w:val="21"/>
                      <w:szCs w:val="21"/>
                      <w:highlight w:val="none"/>
                      <w:lang w:eastAsia="zh-CN"/>
                    </w:rPr>
                  </w:pPr>
                  <w:r>
                    <w:rPr>
                      <w:rFonts w:hint="eastAsia" w:ascii="Times New Roman"/>
                      <w:color w:val="auto"/>
                      <w:sz w:val="21"/>
                      <w:szCs w:val="21"/>
                      <w:highlight w:val="none"/>
                      <w:lang w:eastAsia="zh-CN"/>
                    </w:rPr>
                    <w:t>环境要素</w:t>
                  </w:r>
                </w:p>
              </w:tc>
              <w:tc>
                <w:tcPr>
                  <w:tcW w:w="442" w:type="pct"/>
                  <w:vMerge w:val="restart"/>
                  <w:noWrap w:val="0"/>
                  <w:vAlign w:val="center"/>
                </w:tcPr>
                <w:p>
                  <w:pPr>
                    <w:adjustRightInd w:val="0"/>
                    <w:snapToGrid w:val="0"/>
                    <w:jc w:val="center"/>
                    <w:textAlignment w:val="center"/>
                    <w:rPr>
                      <w:rFonts w:hint="eastAsia" w:ascii="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环境保护目标名称</w:t>
                  </w:r>
                </w:p>
              </w:tc>
              <w:tc>
                <w:tcPr>
                  <w:tcW w:w="1506" w:type="pct"/>
                  <w:gridSpan w:val="2"/>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坐标（</w:t>
                  </w:r>
                  <w:r>
                    <w:rPr>
                      <w:rFonts w:ascii="Times New Roman"/>
                      <w:color w:val="auto"/>
                      <w:sz w:val="21"/>
                      <w:szCs w:val="21"/>
                      <w:highlight w:val="none"/>
                      <w:vertAlign w:val="superscript"/>
                    </w:rPr>
                    <w:t>○</w:t>
                  </w:r>
                  <w:r>
                    <w:rPr>
                      <w:rFonts w:ascii="Times New Roman"/>
                      <w:color w:val="auto"/>
                      <w:sz w:val="21"/>
                      <w:szCs w:val="21"/>
                      <w:highlight w:val="none"/>
                    </w:rPr>
                    <w:t>）</w:t>
                  </w:r>
                </w:p>
              </w:tc>
              <w:tc>
                <w:tcPr>
                  <w:tcW w:w="524" w:type="pct"/>
                  <w:vMerge w:val="restart"/>
                  <w:noWrap w:val="0"/>
                  <w:vAlign w:val="center"/>
                </w:tcPr>
                <w:p>
                  <w:pPr>
                    <w:adjustRightInd w:val="0"/>
                    <w:snapToGrid w:val="0"/>
                    <w:jc w:val="center"/>
                    <w:textAlignment w:val="center"/>
                    <w:rPr>
                      <w:rFonts w:ascii="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730" w:type="pct"/>
                  <w:vMerge w:val="restart"/>
                  <w:noWrap w:val="0"/>
                  <w:vAlign w:val="center"/>
                </w:tcPr>
                <w:p>
                  <w:pPr>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pPr>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对象</w:t>
                  </w:r>
                </w:p>
              </w:tc>
              <w:tc>
                <w:tcPr>
                  <w:tcW w:w="396" w:type="pct"/>
                  <w:vMerge w:val="restar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厂界距离/m</w:t>
                  </w:r>
                </w:p>
              </w:tc>
              <w:tc>
                <w:tcPr>
                  <w:tcW w:w="1060" w:type="pct"/>
                  <w:vMerge w:val="restar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环境功能区/</w:t>
                  </w:r>
                </w:p>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39" w:type="pct"/>
                  <w:vMerge w:val="continue"/>
                  <w:noWrap w:val="0"/>
                  <w:vAlign w:val="center"/>
                </w:tcPr>
                <w:p>
                  <w:pPr>
                    <w:widowControl/>
                    <w:adjustRightInd w:val="0"/>
                    <w:snapToGrid w:val="0"/>
                    <w:jc w:val="left"/>
                    <w:rPr>
                      <w:rFonts w:ascii="Times New Roman"/>
                      <w:color w:val="auto"/>
                      <w:sz w:val="21"/>
                      <w:szCs w:val="21"/>
                      <w:highlight w:val="none"/>
                    </w:rPr>
                  </w:pPr>
                </w:p>
              </w:tc>
              <w:tc>
                <w:tcPr>
                  <w:tcW w:w="442" w:type="pct"/>
                  <w:vMerge w:val="continue"/>
                  <w:noWrap w:val="0"/>
                  <w:vAlign w:val="center"/>
                </w:tcPr>
                <w:p>
                  <w:pPr>
                    <w:widowControl/>
                    <w:adjustRightInd w:val="0"/>
                    <w:snapToGrid w:val="0"/>
                    <w:jc w:val="left"/>
                    <w:rPr>
                      <w:rFonts w:ascii="Times New Roman"/>
                      <w:color w:val="auto"/>
                      <w:sz w:val="21"/>
                      <w:szCs w:val="21"/>
                      <w:highlight w:val="none"/>
                    </w:rPr>
                  </w:pPr>
                </w:p>
              </w:tc>
              <w:tc>
                <w:tcPr>
                  <w:tcW w:w="793" w:type="pc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经度</w:t>
                  </w:r>
                </w:p>
              </w:tc>
              <w:tc>
                <w:tcPr>
                  <w:tcW w:w="712" w:type="pc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纬度</w:t>
                  </w:r>
                </w:p>
              </w:tc>
              <w:tc>
                <w:tcPr>
                  <w:tcW w:w="524" w:type="pct"/>
                  <w:vMerge w:val="continue"/>
                  <w:noWrap w:val="0"/>
                  <w:vAlign w:val="center"/>
                </w:tcPr>
                <w:p>
                  <w:pPr>
                    <w:widowControl/>
                    <w:adjustRightInd w:val="0"/>
                    <w:snapToGrid w:val="0"/>
                    <w:jc w:val="left"/>
                    <w:rPr>
                      <w:rFonts w:ascii="Times New Roman"/>
                      <w:color w:val="auto"/>
                      <w:sz w:val="21"/>
                      <w:szCs w:val="21"/>
                      <w:highlight w:val="none"/>
                    </w:rPr>
                  </w:pPr>
                </w:p>
              </w:tc>
              <w:tc>
                <w:tcPr>
                  <w:tcW w:w="730" w:type="pct"/>
                  <w:vMerge w:val="continue"/>
                  <w:noWrap w:val="0"/>
                  <w:vAlign w:val="center"/>
                </w:tcPr>
                <w:p>
                  <w:pPr>
                    <w:widowControl/>
                    <w:adjustRightInd w:val="0"/>
                    <w:snapToGrid w:val="0"/>
                    <w:jc w:val="left"/>
                    <w:rPr>
                      <w:rFonts w:ascii="Times New Roman"/>
                      <w:color w:val="auto"/>
                      <w:sz w:val="21"/>
                      <w:szCs w:val="21"/>
                      <w:highlight w:val="none"/>
                    </w:rPr>
                  </w:pPr>
                </w:p>
              </w:tc>
              <w:tc>
                <w:tcPr>
                  <w:tcW w:w="396" w:type="pct"/>
                  <w:vMerge w:val="continue"/>
                  <w:noWrap w:val="0"/>
                  <w:vAlign w:val="center"/>
                </w:tcPr>
                <w:p>
                  <w:pPr>
                    <w:widowControl/>
                    <w:adjustRightInd w:val="0"/>
                    <w:snapToGrid w:val="0"/>
                    <w:jc w:val="left"/>
                    <w:rPr>
                      <w:rFonts w:ascii="Times New Roman"/>
                      <w:color w:val="auto"/>
                      <w:sz w:val="21"/>
                      <w:szCs w:val="21"/>
                      <w:highlight w:val="none"/>
                    </w:rPr>
                  </w:pPr>
                </w:p>
              </w:tc>
              <w:tc>
                <w:tcPr>
                  <w:tcW w:w="1060" w:type="pct"/>
                  <w:vMerge w:val="continue"/>
                  <w:noWrap w:val="0"/>
                  <w:vAlign w:val="center"/>
                </w:tcPr>
                <w:p>
                  <w:pPr>
                    <w:widowControl/>
                    <w:adjustRightInd w:val="0"/>
                    <w:snapToGrid w:val="0"/>
                    <w:jc w:val="left"/>
                    <w:rPr>
                      <w:rFonts w:asci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39" w:type="pct"/>
                  <w:noWrap w:val="0"/>
                  <w:vAlign w:val="center"/>
                </w:tcPr>
                <w:p>
                  <w:pPr>
                    <w:adjustRightInd w:val="0"/>
                    <w:snapToGrid w:val="0"/>
                    <w:jc w:val="center"/>
                    <w:textAlignment w:val="center"/>
                    <w:rPr>
                      <w:rFonts w:ascii="Times New Roman"/>
                      <w:color w:val="auto"/>
                      <w:sz w:val="21"/>
                      <w:szCs w:val="21"/>
                      <w:highlight w:val="none"/>
                    </w:rPr>
                  </w:pPr>
                  <w:r>
                    <w:rPr>
                      <w:rFonts w:hint="eastAsia"/>
                      <w:bCs/>
                      <w:color w:val="auto"/>
                      <w:sz w:val="21"/>
                      <w:szCs w:val="21"/>
                      <w:highlight w:val="none"/>
                      <w:lang w:eastAsia="zh-CN"/>
                    </w:rPr>
                    <w:t>大气环境</w:t>
                  </w:r>
                </w:p>
              </w:tc>
              <w:tc>
                <w:tcPr>
                  <w:tcW w:w="442" w:type="pct"/>
                  <w:noWrap w:val="0"/>
                  <w:vAlign w:val="center"/>
                </w:tcPr>
                <w:p>
                  <w:pPr>
                    <w:adjustRightInd w:val="0"/>
                    <w:snapToGrid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伊敏林场</w:t>
                  </w:r>
                </w:p>
              </w:tc>
              <w:tc>
                <w:tcPr>
                  <w:tcW w:w="793" w:type="pct"/>
                  <w:noWrap w:val="0"/>
                  <w:vAlign w:val="center"/>
                </w:tcPr>
                <w:p>
                  <w:pPr>
                    <w:adjustRightInd w:val="0"/>
                    <w:snapToGrid w:val="0"/>
                    <w:jc w:val="center"/>
                    <w:textAlignment w:val="center"/>
                    <w:rPr>
                      <w:rFonts w:ascii="Times New Roman"/>
                      <w:color w:val="auto"/>
                      <w:sz w:val="21"/>
                      <w:szCs w:val="21"/>
                      <w:highlight w:val="none"/>
                    </w:rPr>
                  </w:pPr>
                  <w:r>
                    <w:rPr>
                      <w:rFonts w:hint="eastAsia" w:ascii="Times New Roman"/>
                      <w:color w:val="auto"/>
                      <w:sz w:val="21"/>
                      <w:szCs w:val="21"/>
                      <w:highlight w:val="none"/>
                    </w:rPr>
                    <w:t>128.948352</w:t>
                  </w:r>
                </w:p>
              </w:tc>
              <w:tc>
                <w:tcPr>
                  <w:tcW w:w="712" w:type="pct"/>
                  <w:noWrap w:val="0"/>
                  <w:vAlign w:val="center"/>
                </w:tcPr>
                <w:p>
                  <w:pPr>
                    <w:adjustRightInd w:val="0"/>
                    <w:snapToGrid w:val="0"/>
                    <w:jc w:val="center"/>
                    <w:textAlignment w:val="center"/>
                    <w:rPr>
                      <w:rFonts w:ascii="Times New Roman"/>
                      <w:color w:val="auto"/>
                      <w:sz w:val="21"/>
                      <w:szCs w:val="21"/>
                      <w:highlight w:val="none"/>
                    </w:rPr>
                  </w:pPr>
                  <w:r>
                    <w:rPr>
                      <w:rFonts w:hint="eastAsia" w:ascii="Times New Roman"/>
                      <w:color w:val="auto"/>
                      <w:sz w:val="21"/>
                      <w:szCs w:val="21"/>
                      <w:highlight w:val="none"/>
                    </w:rPr>
                    <w:t>47.704320</w:t>
                  </w:r>
                </w:p>
              </w:tc>
              <w:tc>
                <w:tcPr>
                  <w:tcW w:w="524" w:type="pct"/>
                  <w:noWrap w:val="0"/>
                  <w:vAlign w:val="center"/>
                </w:tcPr>
                <w:p>
                  <w:pPr>
                    <w:adjustRightInd w:val="0"/>
                    <w:snapToGrid w:val="0"/>
                    <w:jc w:val="center"/>
                    <w:textAlignment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E、</w:t>
                  </w:r>
                  <w:r>
                    <w:rPr>
                      <w:rFonts w:hint="eastAsia" w:ascii="Times New Roman" w:eastAsia="宋体"/>
                      <w:color w:val="auto"/>
                      <w:sz w:val="21"/>
                      <w:szCs w:val="21"/>
                      <w:highlight w:val="none"/>
                      <w:lang w:val="en-US" w:eastAsia="zh-CN"/>
                    </w:rPr>
                    <w:t>W</w:t>
                  </w:r>
                  <w:r>
                    <w:rPr>
                      <w:rFonts w:hint="eastAsia"/>
                      <w:color w:val="auto"/>
                      <w:sz w:val="21"/>
                      <w:szCs w:val="21"/>
                      <w:highlight w:val="none"/>
                      <w:lang w:val="en-US" w:eastAsia="zh-CN"/>
                    </w:rPr>
                    <w:t>、S</w:t>
                  </w:r>
                </w:p>
              </w:tc>
              <w:tc>
                <w:tcPr>
                  <w:tcW w:w="730" w:type="pct"/>
                  <w:noWrap w:val="0"/>
                  <w:vAlign w:val="center"/>
                </w:tcPr>
                <w:p>
                  <w:pPr>
                    <w:adjustRightInd w:val="0"/>
                    <w:snapToGrid w:val="0"/>
                    <w:jc w:val="center"/>
                    <w:textAlignment w:val="center"/>
                    <w:rPr>
                      <w:rFonts w:hint="eastAsia" w:asci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rPr>
                    <w:t>农村地区人群较集中区域</w:t>
                  </w:r>
                </w:p>
              </w:tc>
              <w:tc>
                <w:tcPr>
                  <w:tcW w:w="396" w:type="pct"/>
                  <w:noWrap w:val="0"/>
                  <w:vAlign w:val="center"/>
                </w:tcPr>
                <w:p>
                  <w:pPr>
                    <w:adjustRightInd w:val="0"/>
                    <w:snapToGrid w:val="0"/>
                    <w:jc w:val="center"/>
                    <w:textAlignment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75</w:t>
                  </w:r>
                </w:p>
              </w:tc>
              <w:tc>
                <w:tcPr>
                  <w:tcW w:w="1060" w:type="pct"/>
                  <w:noWrap w:val="0"/>
                  <w:vAlign w:val="center"/>
                </w:tcPr>
                <w:p>
                  <w:pPr>
                    <w:adjustRightInd w:val="0"/>
                    <w:snapToGrid w:val="0"/>
                    <w:jc w:val="center"/>
                    <w:textAlignment w:val="center"/>
                    <w:rPr>
                      <w:rFonts w:ascii="Times New Roman"/>
                      <w:color w:val="auto"/>
                      <w:sz w:val="21"/>
                      <w:szCs w:val="21"/>
                      <w:highlight w:val="none"/>
                    </w:rPr>
                  </w:pPr>
                </w:p>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《环境空气质量标准》（GB3095-20</w:t>
                  </w:r>
                  <w:r>
                    <w:rPr>
                      <w:rFonts w:hint="eastAsia"/>
                      <w:color w:val="auto"/>
                      <w:sz w:val="21"/>
                      <w:szCs w:val="21"/>
                      <w:highlight w:val="none"/>
                      <w:lang w:val="en-US" w:eastAsia="zh-CN"/>
                    </w:rPr>
                    <w:t>26</w:t>
                  </w:r>
                  <w:r>
                    <w:rPr>
                      <w:rFonts w:ascii="Times New Roman"/>
                      <w:color w:val="auto"/>
                      <w:sz w:val="21"/>
                      <w:szCs w:val="21"/>
                      <w:highlight w:val="none"/>
                    </w:rPr>
                    <w:t>）二类区</w:t>
                  </w:r>
                </w:p>
              </w:tc>
            </w:tr>
          </w:tbl>
          <w:p>
            <w:pPr>
              <w:spacing w:line="360" w:lineRule="auto"/>
              <w:ind w:firstLine="420" w:firstLineChars="200"/>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tcMar>
              <w:left w:w="28" w:type="dxa"/>
              <w:right w:w="28" w:type="dxa"/>
            </w:tcMar>
            <w:vAlign w:val="center"/>
          </w:tcPr>
          <w:p>
            <w:pPr>
              <w:adjustRightInd w:val="0"/>
              <w:snapToGrid w:val="0"/>
              <w:jc w:val="center"/>
              <w:rPr>
                <w:color w:val="auto"/>
                <w:kern w:val="0"/>
                <w:sz w:val="24"/>
                <w:szCs w:val="21"/>
              </w:rPr>
            </w:pPr>
            <w:r>
              <w:rPr>
                <w:color w:val="auto"/>
                <w:kern w:val="0"/>
                <w:sz w:val="24"/>
                <w:szCs w:val="21"/>
              </w:rPr>
              <w:t>污染</w:t>
            </w:r>
          </w:p>
          <w:p>
            <w:pPr>
              <w:adjustRightInd w:val="0"/>
              <w:snapToGrid w:val="0"/>
              <w:jc w:val="center"/>
              <w:rPr>
                <w:color w:val="auto"/>
                <w:kern w:val="0"/>
                <w:sz w:val="24"/>
                <w:szCs w:val="21"/>
              </w:rPr>
            </w:pPr>
            <w:r>
              <w:rPr>
                <w:color w:val="auto"/>
                <w:kern w:val="0"/>
                <w:sz w:val="24"/>
                <w:szCs w:val="21"/>
              </w:rPr>
              <w:t>物排</w:t>
            </w:r>
          </w:p>
          <w:p>
            <w:pPr>
              <w:adjustRightInd w:val="0"/>
              <w:snapToGrid w:val="0"/>
              <w:jc w:val="center"/>
              <w:rPr>
                <w:color w:val="auto"/>
                <w:kern w:val="0"/>
                <w:sz w:val="24"/>
                <w:szCs w:val="21"/>
              </w:rPr>
            </w:pPr>
            <w:r>
              <w:rPr>
                <w:color w:val="auto"/>
                <w:kern w:val="0"/>
                <w:sz w:val="24"/>
                <w:szCs w:val="21"/>
              </w:rPr>
              <w:t>放控</w:t>
            </w:r>
          </w:p>
          <w:p>
            <w:pPr>
              <w:adjustRightInd w:val="0"/>
              <w:snapToGrid w:val="0"/>
              <w:jc w:val="center"/>
              <w:rPr>
                <w:color w:val="auto"/>
                <w:kern w:val="0"/>
                <w:sz w:val="24"/>
                <w:szCs w:val="21"/>
              </w:rPr>
            </w:pPr>
            <w:r>
              <w:rPr>
                <w:color w:val="auto"/>
                <w:kern w:val="0"/>
                <w:sz w:val="24"/>
                <w:szCs w:val="21"/>
              </w:rPr>
              <w:t>制标</w:t>
            </w:r>
          </w:p>
          <w:p>
            <w:pPr>
              <w:adjustRightInd w:val="0"/>
              <w:snapToGrid w:val="0"/>
              <w:jc w:val="center"/>
              <w:rPr>
                <w:color w:val="auto"/>
                <w:kern w:val="0"/>
                <w:sz w:val="24"/>
                <w:szCs w:val="21"/>
              </w:rPr>
            </w:pPr>
            <w:r>
              <w:rPr>
                <w:color w:val="auto"/>
                <w:kern w:val="0"/>
                <w:sz w:val="24"/>
                <w:szCs w:val="21"/>
              </w:rPr>
              <w:t>准</w:t>
            </w:r>
          </w:p>
        </w:tc>
        <w:tc>
          <w:tcPr>
            <w:tcW w:w="4513" w:type="pct"/>
            <w:vAlign w:val="center"/>
          </w:tcPr>
          <w:p>
            <w:pPr>
              <w:spacing w:line="360" w:lineRule="auto"/>
              <w:ind w:firstLine="480" w:firstLineChars="200"/>
              <w:rPr>
                <w:color w:val="auto"/>
                <w:sz w:val="24"/>
              </w:rPr>
            </w:pPr>
            <w:r>
              <w:rPr>
                <w:rFonts w:hint="eastAsia"/>
                <w:color w:val="auto"/>
                <w:sz w:val="24"/>
              </w:rPr>
              <w:t>1、废气</w:t>
            </w:r>
          </w:p>
          <w:p>
            <w:pPr>
              <w:spacing w:line="360" w:lineRule="auto"/>
              <w:ind w:firstLine="480" w:firstLineChars="200"/>
              <w:rPr>
                <w:color w:val="auto"/>
                <w:sz w:val="24"/>
              </w:rPr>
            </w:pPr>
            <w:r>
              <w:rPr>
                <w:rFonts w:hint="eastAsia"/>
                <w:color w:val="auto"/>
                <w:sz w:val="24"/>
              </w:rPr>
              <w:t>本项目矿粉罐颗粒物、生产设施沥青烟等执行《大气污染物综合排放标准》（GB16297-1996）表2中二级标准限值；导热油锅炉烟气参考执行《锅炉大气污染物综合排放标准》（GB 13271-2014）表2中燃</w:t>
            </w:r>
            <w:r>
              <w:rPr>
                <w:rFonts w:hint="eastAsia"/>
                <w:color w:val="auto"/>
                <w:sz w:val="24"/>
                <w:lang w:val="en-US" w:eastAsia="zh-CN"/>
              </w:rPr>
              <w:t>油</w:t>
            </w:r>
            <w:r>
              <w:rPr>
                <w:rFonts w:hint="eastAsia"/>
                <w:color w:val="auto"/>
                <w:sz w:val="24"/>
              </w:rPr>
              <w:t>锅炉标准；烘干筒配套燃烧器执行《大气污染物综合排放标准》（GB16297-1996）表2 中二级排放标准；厂界执行《大气污染物综合排放标准》（GB16297-1996）表2中无组织排放监控浓度限值标准。厂区</w:t>
            </w:r>
            <w:r>
              <w:rPr>
                <w:color w:val="auto"/>
                <w:sz w:val="24"/>
              </w:rPr>
              <w:t>内无组织非甲烷总烃执行《挥发性有机物无组织排放标准》（GB</w:t>
            </w:r>
            <w:r>
              <w:rPr>
                <w:rFonts w:hint="eastAsia"/>
                <w:color w:val="auto"/>
                <w:sz w:val="24"/>
              </w:rPr>
              <w:t>37822</w:t>
            </w:r>
            <w:r>
              <w:rPr>
                <w:color w:val="auto"/>
                <w:sz w:val="24"/>
              </w:rPr>
              <w:t>-20</w:t>
            </w:r>
            <w:r>
              <w:rPr>
                <w:rFonts w:hint="eastAsia"/>
                <w:color w:val="auto"/>
                <w:sz w:val="24"/>
              </w:rPr>
              <w:t>19</w:t>
            </w:r>
            <w:r>
              <w:rPr>
                <w:color w:val="auto"/>
                <w:sz w:val="24"/>
              </w:rPr>
              <w:t>）中表</w:t>
            </w:r>
            <w:r>
              <w:rPr>
                <w:rFonts w:hint="eastAsia"/>
                <w:color w:val="auto"/>
                <w:sz w:val="24"/>
              </w:rPr>
              <w:t>A.1无组织排放限值</w:t>
            </w:r>
            <w:r>
              <w:rPr>
                <w:rFonts w:hint="eastAsia"/>
                <w:color w:val="auto"/>
                <w:sz w:val="24"/>
                <w:lang w:eastAsia="zh-CN"/>
              </w:rPr>
              <w:t>。</w:t>
            </w:r>
          </w:p>
          <w:p>
            <w:pPr>
              <w:spacing w:line="500" w:lineRule="exact"/>
              <w:jc w:val="center"/>
              <w:rPr>
                <w:b/>
                <w:bCs/>
                <w:color w:val="auto"/>
                <w:sz w:val="24"/>
                <w:highlight w:val="none"/>
              </w:rPr>
            </w:pPr>
            <w:r>
              <w:rPr>
                <w:b/>
                <w:bCs/>
                <w:color w:val="auto"/>
                <w:sz w:val="24"/>
                <w:highlight w:val="none"/>
              </w:rPr>
              <w:t>表</w:t>
            </w:r>
            <w:r>
              <w:rPr>
                <w:rFonts w:hint="eastAsia"/>
                <w:b/>
                <w:bCs/>
                <w:color w:val="auto"/>
                <w:sz w:val="24"/>
                <w:highlight w:val="none"/>
              </w:rPr>
              <w:t>3-</w:t>
            </w:r>
            <w:r>
              <w:rPr>
                <w:rFonts w:hint="eastAsia"/>
                <w:b/>
                <w:bCs/>
                <w:color w:val="auto"/>
                <w:sz w:val="24"/>
                <w:highlight w:val="none"/>
                <w:lang w:val="en-US" w:eastAsia="zh-CN"/>
              </w:rPr>
              <w:t>8</w:t>
            </w:r>
            <w:r>
              <w:rPr>
                <w:b/>
                <w:bCs/>
                <w:color w:val="auto"/>
                <w:sz w:val="24"/>
                <w:highlight w:val="none"/>
              </w:rPr>
              <w:t>本项目大气污染物排放标准</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6"/>
              <w:gridCol w:w="3200"/>
              <w:gridCol w:w="1365"/>
              <w:gridCol w:w="1134"/>
              <w:gridCol w:w="1146"/>
              <w:gridCol w:w="12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exact"/>
                <w:jc w:val="center"/>
              </w:trPr>
              <w:tc>
                <w:tcPr>
                  <w:tcW w:w="314" w:type="pct"/>
                  <w:vMerge w:val="restart"/>
                  <w:vAlign w:val="center"/>
                </w:tcPr>
                <w:p>
                  <w:pPr>
                    <w:spacing w:line="240" w:lineRule="exact"/>
                    <w:jc w:val="center"/>
                    <w:rPr>
                      <w:color w:val="auto"/>
                      <w:szCs w:val="21"/>
                    </w:rPr>
                  </w:pPr>
                  <w:r>
                    <w:rPr>
                      <w:color w:val="auto"/>
                      <w:szCs w:val="21"/>
                    </w:rPr>
                    <w:t>类</w:t>
                  </w:r>
                </w:p>
              </w:tc>
              <w:tc>
                <w:tcPr>
                  <w:tcW w:w="1844" w:type="pct"/>
                  <w:vMerge w:val="restart"/>
                  <w:vAlign w:val="center"/>
                </w:tcPr>
                <w:p>
                  <w:pPr>
                    <w:spacing w:line="240" w:lineRule="exact"/>
                    <w:jc w:val="center"/>
                    <w:rPr>
                      <w:color w:val="auto"/>
                      <w:szCs w:val="21"/>
                    </w:rPr>
                  </w:pPr>
                  <w:r>
                    <w:rPr>
                      <w:color w:val="auto"/>
                      <w:szCs w:val="21"/>
                    </w:rPr>
                    <w:t>标准名称及级（类）别</w:t>
                  </w:r>
                </w:p>
              </w:tc>
              <w:tc>
                <w:tcPr>
                  <w:tcW w:w="786" w:type="pct"/>
                  <w:vMerge w:val="restart"/>
                  <w:vAlign w:val="center"/>
                </w:tcPr>
                <w:p>
                  <w:pPr>
                    <w:spacing w:line="240" w:lineRule="exact"/>
                    <w:jc w:val="center"/>
                    <w:rPr>
                      <w:color w:val="auto"/>
                      <w:szCs w:val="21"/>
                    </w:rPr>
                  </w:pPr>
                  <w:r>
                    <w:rPr>
                      <w:color w:val="auto"/>
                      <w:szCs w:val="21"/>
                    </w:rPr>
                    <w:t>污染因子</w:t>
                  </w:r>
                </w:p>
              </w:tc>
              <w:tc>
                <w:tcPr>
                  <w:tcW w:w="2054" w:type="pct"/>
                  <w:gridSpan w:val="3"/>
                  <w:vAlign w:val="center"/>
                </w:tcPr>
                <w:p>
                  <w:pPr>
                    <w:spacing w:line="240" w:lineRule="exact"/>
                    <w:jc w:val="center"/>
                    <w:rPr>
                      <w:color w:val="auto"/>
                      <w:szCs w:val="21"/>
                    </w:rPr>
                  </w:pPr>
                  <w:r>
                    <w:rPr>
                      <w:color w:val="auto"/>
                      <w:szCs w:val="21"/>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6" w:hRule="exact"/>
                <w:jc w:val="center"/>
              </w:trPr>
              <w:tc>
                <w:tcPr>
                  <w:tcW w:w="314" w:type="pct"/>
                  <w:vMerge w:val="continue"/>
                  <w:vAlign w:val="center"/>
                </w:tcPr>
                <w:p>
                  <w:pPr>
                    <w:spacing w:line="240" w:lineRule="exact"/>
                    <w:jc w:val="center"/>
                    <w:rPr>
                      <w:color w:val="auto"/>
                    </w:rPr>
                  </w:pPr>
                </w:p>
              </w:tc>
              <w:tc>
                <w:tcPr>
                  <w:tcW w:w="1844" w:type="pct"/>
                  <w:vMerge w:val="continue"/>
                  <w:vAlign w:val="center"/>
                </w:tcPr>
                <w:p>
                  <w:pPr>
                    <w:spacing w:line="240" w:lineRule="exact"/>
                    <w:jc w:val="center"/>
                    <w:rPr>
                      <w:color w:val="auto"/>
                    </w:rPr>
                  </w:pPr>
                </w:p>
              </w:tc>
              <w:tc>
                <w:tcPr>
                  <w:tcW w:w="786" w:type="pct"/>
                  <w:vMerge w:val="continue"/>
                  <w:vAlign w:val="center"/>
                </w:tcPr>
                <w:p>
                  <w:pPr>
                    <w:spacing w:line="240" w:lineRule="exact"/>
                    <w:jc w:val="center"/>
                    <w:rPr>
                      <w:color w:val="auto"/>
                    </w:rPr>
                  </w:pPr>
                </w:p>
              </w:tc>
              <w:tc>
                <w:tcPr>
                  <w:tcW w:w="1313" w:type="pct"/>
                  <w:gridSpan w:val="2"/>
                  <w:vAlign w:val="center"/>
                </w:tcPr>
                <w:p>
                  <w:pPr>
                    <w:spacing w:line="240" w:lineRule="exact"/>
                    <w:jc w:val="center"/>
                    <w:rPr>
                      <w:color w:val="auto"/>
                      <w:szCs w:val="21"/>
                    </w:rPr>
                  </w:pPr>
                  <w:r>
                    <w:rPr>
                      <w:color w:val="auto"/>
                      <w:szCs w:val="21"/>
                    </w:rPr>
                    <w:t>单位</w:t>
                  </w:r>
                </w:p>
              </w:tc>
              <w:tc>
                <w:tcPr>
                  <w:tcW w:w="740" w:type="pct"/>
                  <w:vAlign w:val="center"/>
                </w:tcPr>
                <w:p>
                  <w:pPr>
                    <w:spacing w:line="240" w:lineRule="exact"/>
                    <w:jc w:val="center"/>
                    <w:rPr>
                      <w:color w:val="auto"/>
                      <w:szCs w:val="21"/>
                    </w:rPr>
                  </w:pPr>
                  <w:r>
                    <w:rPr>
                      <w:color w:val="auto"/>
                      <w:szCs w:val="21"/>
                    </w:rPr>
                    <w:t>数值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8" w:hRule="exact"/>
                <w:jc w:val="center"/>
              </w:trPr>
              <w:tc>
                <w:tcPr>
                  <w:tcW w:w="314" w:type="pct"/>
                  <w:vMerge w:val="restart"/>
                  <w:vAlign w:val="center"/>
                </w:tcPr>
                <w:p>
                  <w:pPr>
                    <w:spacing w:line="240" w:lineRule="exact"/>
                    <w:jc w:val="center"/>
                    <w:rPr>
                      <w:color w:val="auto"/>
                      <w:szCs w:val="21"/>
                    </w:rPr>
                  </w:pPr>
                  <w:r>
                    <w:rPr>
                      <w:color w:val="auto"/>
                      <w:szCs w:val="21"/>
                    </w:rPr>
                    <w:t>干燥筒废气</w:t>
                  </w:r>
                </w:p>
              </w:tc>
              <w:tc>
                <w:tcPr>
                  <w:tcW w:w="1844" w:type="pct"/>
                  <w:vMerge w:val="restart"/>
                  <w:vAlign w:val="center"/>
                </w:tcPr>
                <w:p>
                  <w:pPr>
                    <w:spacing w:line="240" w:lineRule="exact"/>
                    <w:jc w:val="center"/>
                    <w:rPr>
                      <w:color w:val="auto"/>
                      <w:szCs w:val="21"/>
                    </w:rPr>
                  </w:pPr>
                  <w:r>
                    <w:rPr>
                      <w:bCs/>
                      <w:iCs/>
                      <w:color w:val="auto"/>
                      <w:spacing w:val="-10"/>
                      <w:szCs w:val="21"/>
                    </w:rPr>
                    <w:t>《大气污染物综合排放标准》（GB16297-1996）</w:t>
                  </w:r>
                </w:p>
              </w:tc>
              <w:tc>
                <w:tcPr>
                  <w:tcW w:w="786" w:type="pct"/>
                  <w:vAlign w:val="center"/>
                </w:tcPr>
                <w:p>
                  <w:pPr>
                    <w:spacing w:line="240" w:lineRule="exact"/>
                    <w:jc w:val="center"/>
                    <w:rPr>
                      <w:color w:val="auto"/>
                      <w:szCs w:val="21"/>
                    </w:rPr>
                  </w:pPr>
                  <w:r>
                    <w:rPr>
                      <w:color w:val="auto"/>
                      <w:szCs w:val="21"/>
                    </w:rPr>
                    <w:t>颗粒物</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rFonts w:hint="eastAsia"/>
                      <w:color w:val="auto"/>
                      <w:szCs w:val="21"/>
                    </w:rPr>
                    <w:t>12</w:t>
                  </w: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Align w:val="center"/>
                </w:tcPr>
                <w:p>
                  <w:pPr>
                    <w:spacing w:line="240" w:lineRule="exact"/>
                    <w:jc w:val="center"/>
                    <w:rPr>
                      <w:color w:val="auto"/>
                      <w:szCs w:val="21"/>
                    </w:rPr>
                  </w:pPr>
                  <w:r>
                    <w:rPr>
                      <w:color w:val="auto"/>
                      <w:szCs w:val="21"/>
                    </w:rPr>
                    <w:t>SO</w:t>
                  </w:r>
                  <w:r>
                    <w:rPr>
                      <w:color w:val="auto"/>
                      <w:szCs w:val="21"/>
                      <w:vertAlign w:val="subscript"/>
                    </w:rPr>
                    <w:t>2</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color w:val="auto"/>
                      <w:szCs w:val="21"/>
                    </w:rPr>
                    <w:t>550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1"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Align w:val="center"/>
                </w:tcPr>
                <w:p>
                  <w:pPr>
                    <w:spacing w:line="240" w:lineRule="exact"/>
                    <w:jc w:val="center"/>
                    <w:rPr>
                      <w:color w:val="auto"/>
                      <w:szCs w:val="21"/>
                    </w:rPr>
                  </w:pPr>
                  <w:r>
                    <w:rPr>
                      <w:color w:val="auto"/>
                      <w:szCs w:val="21"/>
                    </w:rPr>
                    <w:t>氮氧化物</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color w:val="auto"/>
                      <w:szCs w:val="21"/>
                    </w:rPr>
                    <w:t>240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exact"/>
                <w:jc w:val="center"/>
              </w:trPr>
              <w:tc>
                <w:tcPr>
                  <w:tcW w:w="314" w:type="pct"/>
                  <w:vMerge w:val="restart"/>
                  <w:vAlign w:val="center"/>
                </w:tcPr>
                <w:p>
                  <w:pPr>
                    <w:spacing w:line="240" w:lineRule="exact"/>
                    <w:jc w:val="center"/>
                    <w:rPr>
                      <w:color w:val="auto"/>
                      <w:szCs w:val="21"/>
                    </w:rPr>
                  </w:pPr>
                  <w:r>
                    <w:rPr>
                      <w:color w:val="auto"/>
                      <w:szCs w:val="21"/>
                    </w:rPr>
                    <w:t>导热油锅炉</w:t>
                  </w:r>
                </w:p>
              </w:tc>
              <w:tc>
                <w:tcPr>
                  <w:tcW w:w="1844" w:type="pct"/>
                  <w:vMerge w:val="restart"/>
                  <w:vAlign w:val="center"/>
                </w:tcPr>
                <w:p>
                  <w:pPr>
                    <w:spacing w:line="240" w:lineRule="exact"/>
                    <w:jc w:val="center"/>
                    <w:rPr>
                      <w:color w:val="auto"/>
                      <w:szCs w:val="21"/>
                    </w:rPr>
                  </w:pPr>
                  <w:r>
                    <w:rPr>
                      <w:color w:val="auto"/>
                      <w:szCs w:val="21"/>
                    </w:rPr>
                    <w:t>《锅炉大气污染物综合排放标准》（GB 13271-2014 ）表2 中燃</w:t>
                  </w:r>
                  <w:r>
                    <w:rPr>
                      <w:rFonts w:hint="eastAsia"/>
                      <w:color w:val="auto"/>
                      <w:szCs w:val="21"/>
                      <w:lang w:val="en-US" w:eastAsia="zh-CN"/>
                    </w:rPr>
                    <w:t>油</w:t>
                  </w:r>
                  <w:r>
                    <w:rPr>
                      <w:color w:val="auto"/>
                      <w:szCs w:val="21"/>
                    </w:rPr>
                    <w:t>锅炉标准</w:t>
                  </w:r>
                </w:p>
              </w:tc>
              <w:tc>
                <w:tcPr>
                  <w:tcW w:w="786" w:type="pct"/>
                  <w:vAlign w:val="center"/>
                </w:tcPr>
                <w:p>
                  <w:pPr>
                    <w:spacing w:line="240" w:lineRule="exact"/>
                    <w:jc w:val="center"/>
                    <w:rPr>
                      <w:color w:val="auto"/>
                      <w:szCs w:val="21"/>
                    </w:rPr>
                  </w:pPr>
                  <w:r>
                    <w:rPr>
                      <w:rFonts w:hint="eastAsia"/>
                      <w:color w:val="auto"/>
                      <w:szCs w:val="21"/>
                    </w:rPr>
                    <w:t>颗粒物</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rFonts w:hint="eastAsia"/>
                      <w:color w:val="auto"/>
                      <w:szCs w:val="21"/>
                      <w:lang w:val="en-US" w:eastAsia="zh-CN"/>
                    </w:rPr>
                    <w:t>3</w:t>
                  </w: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Align w:val="center"/>
                </w:tcPr>
                <w:p>
                  <w:pPr>
                    <w:spacing w:line="240" w:lineRule="exact"/>
                    <w:jc w:val="center"/>
                    <w:rPr>
                      <w:color w:val="auto"/>
                      <w:szCs w:val="21"/>
                    </w:rPr>
                  </w:pPr>
                  <w:r>
                    <w:rPr>
                      <w:color w:val="auto"/>
                      <w:szCs w:val="21"/>
                    </w:rPr>
                    <w:t>二氧化硫</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rFonts w:hint="eastAsia"/>
                      <w:color w:val="auto"/>
                      <w:szCs w:val="21"/>
                      <w:lang w:val="en-US" w:eastAsia="zh-CN"/>
                    </w:rPr>
                    <w:t>20</w:t>
                  </w: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Align w:val="center"/>
                </w:tcPr>
                <w:p>
                  <w:pPr>
                    <w:spacing w:line="240" w:lineRule="exact"/>
                    <w:jc w:val="center"/>
                    <w:rPr>
                      <w:color w:val="auto"/>
                      <w:szCs w:val="21"/>
                    </w:rPr>
                  </w:pPr>
                  <w:r>
                    <w:rPr>
                      <w:color w:val="auto"/>
                      <w:szCs w:val="21"/>
                    </w:rPr>
                    <w:t>氮氧化物</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rFonts w:hint="eastAsia"/>
                      <w:color w:val="auto"/>
                      <w:szCs w:val="21"/>
                    </w:rPr>
                    <w:t>2</w:t>
                  </w:r>
                  <w:r>
                    <w:rPr>
                      <w:rFonts w:hint="eastAsia"/>
                      <w:color w:val="auto"/>
                      <w:szCs w:val="21"/>
                      <w:lang w:val="en-US" w:eastAsia="zh-CN"/>
                    </w:rPr>
                    <w:t>5</w:t>
                  </w: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Align w:val="center"/>
                </w:tcPr>
                <w:p>
                  <w:pPr>
                    <w:spacing w:line="240" w:lineRule="exact"/>
                    <w:jc w:val="center"/>
                    <w:rPr>
                      <w:color w:val="auto"/>
                      <w:szCs w:val="21"/>
                    </w:rPr>
                  </w:pPr>
                  <w:r>
                    <w:rPr>
                      <w:rFonts w:hint="eastAsia"/>
                      <w:color w:val="auto"/>
                      <w:szCs w:val="21"/>
                    </w:rPr>
                    <w:t>烟气黑度</w:t>
                  </w:r>
                </w:p>
              </w:tc>
              <w:tc>
                <w:tcPr>
                  <w:tcW w:w="1313" w:type="pct"/>
                  <w:gridSpan w:val="2"/>
                  <w:vAlign w:val="center"/>
                </w:tcPr>
                <w:p>
                  <w:pPr>
                    <w:spacing w:line="240" w:lineRule="exact"/>
                    <w:jc w:val="center"/>
                    <w:rPr>
                      <w:color w:val="auto"/>
                      <w:szCs w:val="21"/>
                    </w:rPr>
                  </w:pPr>
                  <w:r>
                    <w:rPr>
                      <w:rFonts w:hint="eastAsia"/>
                      <w:color w:val="auto"/>
                      <w:szCs w:val="21"/>
                    </w:rPr>
                    <w:t>级</w:t>
                  </w:r>
                </w:p>
              </w:tc>
              <w:tc>
                <w:tcPr>
                  <w:tcW w:w="740" w:type="pct"/>
                  <w:vAlign w:val="center"/>
                </w:tcPr>
                <w:p>
                  <w:pPr>
                    <w:spacing w:line="240" w:lineRule="exact"/>
                    <w:jc w:val="center"/>
                    <w:rPr>
                      <w:color w:val="auto"/>
                      <w:szCs w:val="21"/>
                    </w:rPr>
                  </w:pPr>
                  <w:r>
                    <w:rPr>
                      <w:rFonts w:hint="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2" w:hRule="exact"/>
                <w:jc w:val="center"/>
              </w:trPr>
              <w:tc>
                <w:tcPr>
                  <w:tcW w:w="314" w:type="pct"/>
                  <w:vMerge w:val="restart"/>
                  <w:vAlign w:val="center"/>
                </w:tcPr>
                <w:p>
                  <w:pPr>
                    <w:spacing w:line="240" w:lineRule="exact"/>
                    <w:jc w:val="center"/>
                    <w:rPr>
                      <w:color w:val="auto"/>
                      <w:szCs w:val="21"/>
                    </w:rPr>
                  </w:pPr>
                  <w:r>
                    <w:rPr>
                      <w:color w:val="auto"/>
                      <w:szCs w:val="21"/>
                    </w:rPr>
                    <w:t>废气</w:t>
                  </w:r>
                </w:p>
              </w:tc>
              <w:tc>
                <w:tcPr>
                  <w:tcW w:w="1844" w:type="pct"/>
                  <w:vMerge w:val="restart"/>
                  <w:vAlign w:val="center"/>
                </w:tcPr>
                <w:p>
                  <w:pPr>
                    <w:spacing w:line="240" w:lineRule="exact"/>
                    <w:jc w:val="center"/>
                    <w:rPr>
                      <w:color w:val="auto"/>
                      <w:szCs w:val="21"/>
                    </w:rPr>
                  </w:pPr>
                  <w:r>
                    <w:rPr>
                      <w:bCs/>
                      <w:iCs/>
                      <w:color w:val="auto"/>
                      <w:spacing w:val="-10"/>
                      <w:szCs w:val="21"/>
                    </w:rPr>
                    <w:t>《大气污染物综合排放标准》（GB16297-1996）</w:t>
                  </w:r>
                </w:p>
              </w:tc>
              <w:tc>
                <w:tcPr>
                  <w:tcW w:w="786" w:type="pct"/>
                  <w:vAlign w:val="center"/>
                </w:tcPr>
                <w:p>
                  <w:pPr>
                    <w:spacing w:line="240" w:lineRule="exact"/>
                    <w:jc w:val="center"/>
                    <w:rPr>
                      <w:color w:val="auto"/>
                      <w:szCs w:val="21"/>
                    </w:rPr>
                  </w:pPr>
                  <w:r>
                    <w:rPr>
                      <w:color w:val="auto"/>
                      <w:szCs w:val="21"/>
                    </w:rPr>
                    <w:t>无组织颗粒物</w:t>
                  </w:r>
                </w:p>
              </w:tc>
              <w:tc>
                <w:tcPr>
                  <w:tcW w:w="1313" w:type="pct"/>
                  <w:gridSpan w:val="2"/>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vAlign w:val="center"/>
                </w:tcPr>
                <w:p>
                  <w:pPr>
                    <w:spacing w:line="240" w:lineRule="exact"/>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2"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bCs/>
                      <w:iCs/>
                      <w:color w:val="auto"/>
                      <w:spacing w:val="-10"/>
                      <w:szCs w:val="21"/>
                    </w:rPr>
                  </w:pPr>
                </w:p>
              </w:tc>
              <w:tc>
                <w:tcPr>
                  <w:tcW w:w="786" w:type="pct"/>
                  <w:vAlign w:val="center"/>
                </w:tcPr>
                <w:p>
                  <w:pPr>
                    <w:spacing w:line="240" w:lineRule="exact"/>
                    <w:jc w:val="center"/>
                    <w:rPr>
                      <w:color w:val="auto"/>
                      <w:szCs w:val="21"/>
                    </w:rPr>
                  </w:pPr>
                  <w:r>
                    <w:rPr>
                      <w:rFonts w:hint="eastAsia"/>
                      <w:color w:val="auto"/>
                      <w:szCs w:val="21"/>
                    </w:rPr>
                    <w:t>无组织</w:t>
                  </w:r>
                  <w:r>
                    <w:rPr>
                      <w:color w:val="auto"/>
                      <w:szCs w:val="21"/>
                    </w:rPr>
                    <w:t>苯并[a]芘</w:t>
                  </w:r>
                </w:p>
              </w:tc>
              <w:tc>
                <w:tcPr>
                  <w:tcW w:w="1313" w:type="pct"/>
                  <w:gridSpan w:val="2"/>
                  <w:vAlign w:val="center"/>
                </w:tcPr>
                <w:p>
                  <w:pPr>
                    <w:spacing w:line="240" w:lineRule="exact"/>
                    <w:jc w:val="center"/>
                    <w:rPr>
                      <w:color w:val="auto"/>
                      <w:szCs w:val="21"/>
                    </w:rPr>
                  </w:pPr>
                  <w:r>
                    <w:rPr>
                      <w:rFonts w:hint="eastAsia"/>
                      <w:color w:val="auto"/>
                      <w:szCs w:val="21"/>
                    </w:rPr>
                    <w:t>μ</w:t>
                  </w:r>
                  <w:r>
                    <w:rPr>
                      <w:color w:val="auto"/>
                      <w:szCs w:val="21"/>
                    </w:rPr>
                    <w:t>g/m</w:t>
                  </w:r>
                  <w:r>
                    <w:rPr>
                      <w:color w:val="auto"/>
                      <w:szCs w:val="21"/>
                      <w:vertAlign w:val="superscript"/>
                    </w:rPr>
                    <w:t>3</w:t>
                  </w:r>
                </w:p>
              </w:tc>
              <w:tc>
                <w:tcPr>
                  <w:tcW w:w="740" w:type="pct"/>
                  <w:vAlign w:val="center"/>
                </w:tcPr>
                <w:p>
                  <w:pPr>
                    <w:spacing w:line="240" w:lineRule="exact"/>
                    <w:jc w:val="center"/>
                    <w:rPr>
                      <w:color w:val="auto"/>
                      <w:szCs w:val="21"/>
                    </w:rPr>
                  </w:pPr>
                  <w:r>
                    <w:rPr>
                      <w:rFonts w:hint="eastAsia"/>
                      <w:color w:val="auto"/>
                      <w:szCs w:val="21"/>
                    </w:rPr>
                    <w:t>0.</w:t>
                  </w:r>
                  <w:r>
                    <w:rPr>
                      <w:rFonts w:hint="eastAsia"/>
                      <w:color w:val="auto"/>
                      <w:szCs w:val="21"/>
                    </w:rPr>
                    <w:cr/>
                  </w:r>
                  <w:r>
                    <w:rPr>
                      <w:rFonts w:hint="eastAsia"/>
                      <w:color w:val="auto"/>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2"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bCs/>
                      <w:iCs/>
                      <w:color w:val="auto"/>
                      <w:spacing w:val="-10"/>
                      <w:szCs w:val="21"/>
                    </w:rPr>
                  </w:pPr>
                </w:p>
              </w:tc>
              <w:tc>
                <w:tcPr>
                  <w:tcW w:w="786" w:type="pct"/>
                  <w:vAlign w:val="center"/>
                </w:tcPr>
                <w:p>
                  <w:pPr>
                    <w:spacing w:line="240" w:lineRule="exact"/>
                    <w:jc w:val="center"/>
                    <w:rPr>
                      <w:color w:val="auto"/>
                      <w:szCs w:val="21"/>
                    </w:rPr>
                  </w:pPr>
                  <w:r>
                    <w:rPr>
                      <w:rFonts w:hint="eastAsia"/>
                      <w:color w:val="auto"/>
                      <w:szCs w:val="21"/>
                    </w:rPr>
                    <w:t>无组织沥青烟</w:t>
                  </w:r>
                </w:p>
              </w:tc>
              <w:tc>
                <w:tcPr>
                  <w:tcW w:w="2054" w:type="pct"/>
                  <w:gridSpan w:val="3"/>
                  <w:vAlign w:val="center"/>
                </w:tcPr>
                <w:p>
                  <w:pPr>
                    <w:spacing w:line="240" w:lineRule="exact"/>
                    <w:jc w:val="center"/>
                    <w:rPr>
                      <w:color w:val="auto"/>
                      <w:szCs w:val="21"/>
                    </w:rPr>
                  </w:pPr>
                  <w:r>
                    <w:rPr>
                      <w:rFonts w:hint="eastAsia"/>
                      <w:color w:val="auto"/>
                      <w:szCs w:val="21"/>
                    </w:rPr>
                    <w:t>生产设备不得有明显无组织排放存在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Align w:val="center"/>
                </w:tcPr>
                <w:p>
                  <w:pPr>
                    <w:spacing w:line="240" w:lineRule="exact"/>
                    <w:jc w:val="center"/>
                    <w:rPr>
                      <w:color w:val="auto"/>
                      <w:szCs w:val="21"/>
                    </w:rPr>
                  </w:pPr>
                  <w:r>
                    <w:rPr>
                      <w:color w:val="auto"/>
                      <w:szCs w:val="21"/>
                    </w:rPr>
                    <w:t>有组织颗粒物</w:t>
                  </w:r>
                </w:p>
              </w:tc>
              <w:tc>
                <w:tcPr>
                  <w:tcW w:w="653" w:type="pct"/>
                  <w:tcBorders>
                    <w:right w:val="single" w:color="auto" w:sz="4" w:space="0"/>
                  </w:tcBorders>
                  <w:vAlign w:val="center"/>
                </w:tcPr>
                <w:p>
                  <w:pPr>
                    <w:spacing w:line="240" w:lineRule="exact"/>
                    <w:jc w:val="center"/>
                    <w:rPr>
                      <w:color w:val="auto"/>
                      <w:szCs w:val="21"/>
                    </w:rPr>
                  </w:pPr>
                  <w:r>
                    <w:rPr>
                      <w:rFonts w:hint="eastAsia"/>
                      <w:color w:val="auto"/>
                      <w:szCs w:val="21"/>
                      <w:lang w:val="en-US" w:eastAsia="zh-CN"/>
                    </w:rPr>
                    <w:t>15</w:t>
                  </w:r>
                  <w:r>
                    <w:rPr>
                      <w:color w:val="auto"/>
                      <w:szCs w:val="21"/>
                    </w:rPr>
                    <w:t>m</w:t>
                  </w:r>
                </w:p>
                <w:p>
                  <w:pPr>
                    <w:spacing w:line="240" w:lineRule="exact"/>
                    <w:jc w:val="center"/>
                    <w:rPr>
                      <w:color w:val="auto"/>
                      <w:szCs w:val="21"/>
                    </w:rPr>
                  </w:pPr>
                  <w:r>
                    <w:rPr>
                      <w:color w:val="auto"/>
                      <w:szCs w:val="21"/>
                    </w:rPr>
                    <w:t>排气筒</w:t>
                  </w:r>
                </w:p>
              </w:tc>
              <w:tc>
                <w:tcPr>
                  <w:tcW w:w="660" w:type="pct"/>
                  <w:tcBorders>
                    <w:left w:val="single" w:color="auto" w:sz="4" w:space="0"/>
                  </w:tcBorders>
                  <w:vAlign w:val="center"/>
                </w:tcPr>
                <w:p>
                  <w:pPr>
                    <w:spacing w:line="240" w:lineRule="exact"/>
                    <w:jc w:val="center"/>
                    <w:rPr>
                      <w:color w:val="auto"/>
                      <w:szCs w:val="21"/>
                    </w:rPr>
                  </w:pPr>
                  <w:r>
                    <w:rPr>
                      <w:color w:val="auto"/>
                      <w:szCs w:val="21"/>
                    </w:rPr>
                    <w:t>mg/m</w:t>
                  </w:r>
                  <w:r>
                    <w:rPr>
                      <w:color w:val="auto"/>
                      <w:szCs w:val="21"/>
                      <w:vertAlign w:val="superscript"/>
                    </w:rPr>
                    <w:t>3</w:t>
                  </w:r>
                </w:p>
                <w:p>
                  <w:pPr>
                    <w:spacing w:line="240" w:lineRule="exact"/>
                    <w:jc w:val="center"/>
                    <w:rPr>
                      <w:color w:val="auto"/>
                      <w:szCs w:val="21"/>
                    </w:rPr>
                  </w:pPr>
                  <w:r>
                    <w:rPr>
                      <w:color w:val="auto"/>
                      <w:szCs w:val="21"/>
                    </w:rPr>
                    <w:t>kg/h</w:t>
                  </w:r>
                </w:p>
              </w:tc>
              <w:tc>
                <w:tcPr>
                  <w:tcW w:w="740" w:type="pct"/>
                  <w:vAlign w:val="center"/>
                </w:tcPr>
                <w:p>
                  <w:pPr>
                    <w:spacing w:line="240" w:lineRule="exact"/>
                    <w:jc w:val="center"/>
                    <w:rPr>
                      <w:color w:val="auto"/>
                      <w:szCs w:val="21"/>
                    </w:rPr>
                  </w:pPr>
                  <w:r>
                    <w:rPr>
                      <w:color w:val="auto"/>
                      <w:szCs w:val="21"/>
                    </w:rPr>
                    <w:t>120</w:t>
                  </w:r>
                </w:p>
                <w:p>
                  <w:pPr>
                    <w:spacing w:line="240" w:lineRule="exact"/>
                    <w:jc w:val="center"/>
                    <w:rPr>
                      <w:rFonts w:hint="default" w:eastAsia="宋体"/>
                      <w:color w:val="auto"/>
                      <w:szCs w:val="21"/>
                      <w:lang w:val="en-US" w:eastAsia="zh-CN"/>
                    </w:rPr>
                  </w:pPr>
                  <w:r>
                    <w:rPr>
                      <w:rFonts w:hint="eastAsia"/>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2"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Merge w:val="restart"/>
                  <w:vAlign w:val="center"/>
                </w:tcPr>
                <w:p>
                  <w:pPr>
                    <w:spacing w:line="240" w:lineRule="exact"/>
                    <w:jc w:val="center"/>
                    <w:rPr>
                      <w:color w:val="auto"/>
                      <w:szCs w:val="21"/>
                    </w:rPr>
                  </w:pPr>
                  <w:r>
                    <w:rPr>
                      <w:color w:val="auto"/>
                      <w:szCs w:val="21"/>
                    </w:rPr>
                    <w:t>苯并[a]芘</w:t>
                  </w:r>
                </w:p>
              </w:tc>
              <w:tc>
                <w:tcPr>
                  <w:tcW w:w="653" w:type="pct"/>
                  <w:vMerge w:val="restart"/>
                  <w:tcBorders>
                    <w:right w:val="single" w:color="auto" w:sz="4" w:space="0"/>
                  </w:tcBorders>
                  <w:vAlign w:val="center"/>
                </w:tcPr>
                <w:p>
                  <w:pPr>
                    <w:spacing w:line="240" w:lineRule="exact"/>
                    <w:jc w:val="center"/>
                    <w:rPr>
                      <w:color w:val="auto"/>
                      <w:szCs w:val="21"/>
                    </w:rPr>
                  </w:pPr>
                  <w:r>
                    <w:rPr>
                      <w:rFonts w:hint="eastAsia"/>
                      <w:color w:val="auto"/>
                      <w:szCs w:val="21"/>
                      <w:lang w:val="en-US" w:eastAsia="zh-CN"/>
                    </w:rPr>
                    <w:t>15</w:t>
                  </w:r>
                  <w:r>
                    <w:rPr>
                      <w:color w:val="auto"/>
                      <w:szCs w:val="21"/>
                    </w:rPr>
                    <w:t>m</w:t>
                  </w:r>
                </w:p>
                <w:p>
                  <w:pPr>
                    <w:spacing w:line="240" w:lineRule="exact"/>
                    <w:jc w:val="center"/>
                    <w:rPr>
                      <w:color w:val="auto"/>
                      <w:szCs w:val="21"/>
                    </w:rPr>
                  </w:pPr>
                  <w:r>
                    <w:rPr>
                      <w:color w:val="auto"/>
                      <w:szCs w:val="21"/>
                    </w:rPr>
                    <w:t>排气筒</w:t>
                  </w:r>
                </w:p>
              </w:tc>
              <w:tc>
                <w:tcPr>
                  <w:tcW w:w="660" w:type="pct"/>
                  <w:tcBorders>
                    <w:left w:val="single" w:color="auto" w:sz="4" w:space="0"/>
                    <w:bottom w:val="single" w:color="auto" w:sz="4" w:space="0"/>
                  </w:tcBorders>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tcBorders>
                    <w:bottom w:val="single" w:color="auto" w:sz="4" w:space="0"/>
                  </w:tcBorders>
                  <w:vAlign w:val="center"/>
                </w:tcPr>
                <w:p>
                  <w:pPr>
                    <w:spacing w:line="240" w:lineRule="exact"/>
                    <w:jc w:val="center"/>
                    <w:rPr>
                      <w:color w:val="auto"/>
                      <w:szCs w:val="21"/>
                    </w:rPr>
                  </w:pPr>
                  <w:r>
                    <w:rPr>
                      <w:color w:val="auto"/>
                      <w:szCs w:val="21"/>
                    </w:rPr>
                    <w:t>0.30</w:t>
                  </w:r>
                  <w:r>
                    <w:rPr>
                      <w:color w:val="auto"/>
                      <w:sz w:val="15"/>
                      <w:szCs w:val="15"/>
                    </w:rPr>
                    <w:t>×</w:t>
                  </w:r>
                  <w:r>
                    <w:rPr>
                      <w:color w:val="auto"/>
                      <w:szCs w:val="21"/>
                    </w:rPr>
                    <w:t>10</w:t>
                  </w:r>
                  <w:r>
                    <w:rPr>
                      <w:color w:val="auto"/>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Merge w:val="continue"/>
                  <w:vAlign w:val="center"/>
                </w:tcPr>
                <w:p>
                  <w:pPr>
                    <w:spacing w:line="240" w:lineRule="exact"/>
                    <w:jc w:val="center"/>
                    <w:rPr>
                      <w:color w:val="auto"/>
                      <w:szCs w:val="21"/>
                    </w:rPr>
                  </w:pPr>
                </w:p>
              </w:tc>
              <w:tc>
                <w:tcPr>
                  <w:tcW w:w="653" w:type="pct"/>
                  <w:vMerge w:val="continue"/>
                  <w:tcBorders>
                    <w:right w:val="single" w:color="auto" w:sz="4" w:space="0"/>
                  </w:tcBorders>
                  <w:vAlign w:val="center"/>
                </w:tcPr>
                <w:p>
                  <w:pPr>
                    <w:spacing w:line="240" w:lineRule="exact"/>
                    <w:jc w:val="center"/>
                    <w:rPr>
                      <w:color w:val="auto"/>
                      <w:szCs w:val="21"/>
                    </w:rPr>
                  </w:pPr>
                </w:p>
              </w:tc>
              <w:tc>
                <w:tcPr>
                  <w:tcW w:w="660" w:type="pct"/>
                  <w:tcBorders>
                    <w:top w:val="single" w:color="auto" w:sz="4" w:space="0"/>
                    <w:left w:val="single" w:color="auto" w:sz="4" w:space="0"/>
                  </w:tcBorders>
                  <w:vAlign w:val="center"/>
                </w:tcPr>
                <w:p>
                  <w:pPr>
                    <w:spacing w:line="240" w:lineRule="exact"/>
                    <w:jc w:val="center"/>
                    <w:rPr>
                      <w:color w:val="auto"/>
                      <w:szCs w:val="21"/>
                    </w:rPr>
                  </w:pPr>
                  <w:r>
                    <w:rPr>
                      <w:color w:val="auto"/>
                      <w:szCs w:val="21"/>
                    </w:rPr>
                    <w:t>kg/h</w:t>
                  </w:r>
                </w:p>
              </w:tc>
              <w:tc>
                <w:tcPr>
                  <w:tcW w:w="740" w:type="pct"/>
                  <w:tcBorders>
                    <w:top w:val="single" w:color="auto" w:sz="4" w:space="0"/>
                  </w:tcBorders>
                  <w:vAlign w:val="center"/>
                </w:tcPr>
                <w:p>
                  <w:pPr>
                    <w:spacing w:line="240" w:lineRule="exact"/>
                    <w:jc w:val="center"/>
                    <w:rPr>
                      <w:color w:val="auto"/>
                      <w:szCs w:val="21"/>
                    </w:rPr>
                  </w:pPr>
                  <w:r>
                    <w:rPr>
                      <w:color w:val="auto"/>
                      <w:szCs w:val="21"/>
                    </w:rPr>
                    <w:t>0.0</w:t>
                  </w:r>
                  <w:r>
                    <w:rPr>
                      <w:rFonts w:hint="eastAsia"/>
                      <w:color w:val="auto"/>
                      <w:szCs w:val="21"/>
                      <w:lang w:val="en-US" w:eastAsia="zh-CN"/>
                    </w:rPr>
                    <w:t>5</w:t>
                  </w:r>
                  <w:r>
                    <w:rPr>
                      <w:color w:val="auto"/>
                      <w:sz w:val="15"/>
                      <w:szCs w:val="15"/>
                    </w:rPr>
                    <w:t>×</w:t>
                  </w:r>
                  <w:r>
                    <w:rPr>
                      <w:color w:val="auto"/>
                      <w:szCs w:val="21"/>
                    </w:rPr>
                    <w:t>10</w:t>
                  </w:r>
                  <w:r>
                    <w:rPr>
                      <w:color w:val="auto"/>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5"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Merge w:val="restart"/>
                  <w:vAlign w:val="center"/>
                </w:tcPr>
                <w:p>
                  <w:pPr>
                    <w:spacing w:line="240" w:lineRule="exact"/>
                    <w:jc w:val="center"/>
                    <w:rPr>
                      <w:color w:val="auto"/>
                      <w:szCs w:val="21"/>
                    </w:rPr>
                  </w:pPr>
                  <w:r>
                    <w:rPr>
                      <w:color w:val="auto"/>
                    </w:rPr>
                    <w:t>沥青烟</w:t>
                  </w:r>
                </w:p>
              </w:tc>
              <w:tc>
                <w:tcPr>
                  <w:tcW w:w="653" w:type="pct"/>
                  <w:vMerge w:val="restart"/>
                  <w:tcBorders>
                    <w:right w:val="single" w:color="auto" w:sz="4" w:space="0"/>
                  </w:tcBorders>
                  <w:vAlign w:val="center"/>
                </w:tcPr>
                <w:p>
                  <w:pPr>
                    <w:spacing w:line="240" w:lineRule="exact"/>
                    <w:jc w:val="center"/>
                    <w:rPr>
                      <w:color w:val="auto"/>
                    </w:rPr>
                  </w:pPr>
                  <w:r>
                    <w:rPr>
                      <w:rFonts w:hint="eastAsia"/>
                      <w:color w:val="auto"/>
                      <w:lang w:val="en-US" w:eastAsia="zh-CN"/>
                    </w:rPr>
                    <w:t>15</w:t>
                  </w:r>
                  <w:r>
                    <w:rPr>
                      <w:color w:val="auto"/>
                    </w:rPr>
                    <w:t>m</w:t>
                  </w:r>
                </w:p>
                <w:p>
                  <w:pPr>
                    <w:spacing w:line="240" w:lineRule="exact"/>
                    <w:jc w:val="center"/>
                    <w:rPr>
                      <w:color w:val="auto"/>
                      <w:szCs w:val="21"/>
                    </w:rPr>
                  </w:pPr>
                  <w:r>
                    <w:rPr>
                      <w:color w:val="auto"/>
                    </w:rPr>
                    <w:t>排气筒</w:t>
                  </w:r>
                </w:p>
              </w:tc>
              <w:tc>
                <w:tcPr>
                  <w:tcW w:w="660" w:type="pct"/>
                  <w:tcBorders>
                    <w:left w:val="single" w:color="auto" w:sz="4" w:space="0"/>
                    <w:bottom w:val="single" w:color="auto" w:sz="4" w:space="0"/>
                  </w:tcBorders>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tcBorders>
                    <w:bottom w:val="single" w:color="auto" w:sz="4" w:space="0"/>
                  </w:tcBorders>
                  <w:vAlign w:val="center"/>
                </w:tcPr>
                <w:p>
                  <w:pPr>
                    <w:spacing w:line="240" w:lineRule="exact"/>
                    <w:jc w:val="center"/>
                    <w:rPr>
                      <w:color w:val="auto"/>
                      <w:szCs w:val="21"/>
                    </w:rPr>
                  </w:pPr>
                  <w:r>
                    <w:rPr>
                      <w:color w:val="auto"/>
                      <w:szCs w:val="21"/>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6"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Merge w:val="continue"/>
                  <w:vAlign w:val="center"/>
                </w:tcPr>
                <w:p>
                  <w:pPr>
                    <w:spacing w:line="240" w:lineRule="exact"/>
                    <w:jc w:val="center"/>
                    <w:rPr>
                      <w:color w:val="auto"/>
                    </w:rPr>
                  </w:pPr>
                </w:p>
              </w:tc>
              <w:tc>
                <w:tcPr>
                  <w:tcW w:w="653" w:type="pct"/>
                  <w:vMerge w:val="continue"/>
                  <w:tcBorders>
                    <w:right w:val="single" w:color="auto" w:sz="4" w:space="0"/>
                  </w:tcBorders>
                  <w:vAlign w:val="center"/>
                </w:tcPr>
                <w:p>
                  <w:pPr>
                    <w:spacing w:line="240" w:lineRule="exact"/>
                    <w:jc w:val="center"/>
                    <w:rPr>
                      <w:color w:val="auto"/>
                      <w:szCs w:val="21"/>
                    </w:rPr>
                  </w:pPr>
                </w:p>
              </w:tc>
              <w:tc>
                <w:tcPr>
                  <w:tcW w:w="660" w:type="pct"/>
                  <w:tcBorders>
                    <w:top w:val="single" w:color="auto" w:sz="4" w:space="0"/>
                    <w:left w:val="single" w:color="auto" w:sz="4" w:space="0"/>
                    <w:bottom w:val="single" w:color="auto" w:sz="4" w:space="0"/>
                  </w:tcBorders>
                  <w:vAlign w:val="center"/>
                </w:tcPr>
                <w:p>
                  <w:pPr>
                    <w:spacing w:line="240" w:lineRule="exact"/>
                    <w:jc w:val="center"/>
                    <w:rPr>
                      <w:color w:val="auto"/>
                      <w:szCs w:val="21"/>
                    </w:rPr>
                  </w:pPr>
                  <w:r>
                    <w:rPr>
                      <w:color w:val="auto"/>
                      <w:szCs w:val="21"/>
                    </w:rPr>
                    <w:t>kg/h</w:t>
                  </w:r>
                </w:p>
              </w:tc>
              <w:tc>
                <w:tcPr>
                  <w:tcW w:w="740" w:type="pct"/>
                  <w:tcBorders>
                    <w:top w:val="single" w:color="auto" w:sz="4" w:space="0"/>
                    <w:bottom w:val="single" w:color="auto" w:sz="4" w:space="0"/>
                  </w:tcBorders>
                  <w:vAlign w:val="center"/>
                </w:tcPr>
                <w:p>
                  <w:pPr>
                    <w:spacing w:line="240" w:lineRule="exact"/>
                    <w:jc w:val="center"/>
                    <w:rPr>
                      <w:rFonts w:hint="default" w:eastAsia="宋体"/>
                      <w:color w:val="auto"/>
                      <w:szCs w:val="21"/>
                      <w:lang w:val="en-US" w:eastAsia="zh-CN"/>
                    </w:rPr>
                  </w:pPr>
                  <w:r>
                    <w:rPr>
                      <w:color w:val="auto"/>
                      <w:szCs w:val="21"/>
                    </w:rPr>
                    <w:t>0.</w:t>
                  </w:r>
                  <w:r>
                    <w:rPr>
                      <w:rFonts w:hint="eastAsia"/>
                      <w:color w:val="auto"/>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6" w:hRule="exact"/>
                <w:jc w:val="center"/>
              </w:trPr>
              <w:tc>
                <w:tcPr>
                  <w:tcW w:w="314" w:type="pct"/>
                  <w:vMerge w:val="continue"/>
                  <w:vAlign w:val="center"/>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Merge w:val="restart"/>
                  <w:vAlign w:val="center"/>
                </w:tcPr>
                <w:p>
                  <w:pPr>
                    <w:spacing w:line="240" w:lineRule="exact"/>
                    <w:jc w:val="center"/>
                    <w:rPr>
                      <w:rFonts w:hint="eastAsia" w:eastAsia="宋体"/>
                      <w:color w:val="auto"/>
                      <w:lang w:val="en-US" w:eastAsia="zh-CN"/>
                    </w:rPr>
                  </w:pPr>
                  <w:r>
                    <w:rPr>
                      <w:rFonts w:hint="eastAsia"/>
                      <w:color w:val="auto"/>
                      <w:lang w:val="en-US" w:eastAsia="zh-CN"/>
                    </w:rPr>
                    <w:t>非甲烷总烃</w:t>
                  </w:r>
                </w:p>
              </w:tc>
              <w:tc>
                <w:tcPr>
                  <w:tcW w:w="653" w:type="pct"/>
                  <w:vMerge w:val="restart"/>
                  <w:tcBorders>
                    <w:right w:val="single" w:color="auto" w:sz="4" w:space="0"/>
                  </w:tcBorders>
                  <w:vAlign w:val="center"/>
                </w:tcPr>
                <w:p>
                  <w:pPr>
                    <w:spacing w:line="240" w:lineRule="exact"/>
                    <w:jc w:val="center"/>
                    <w:rPr>
                      <w:color w:val="auto"/>
                    </w:rPr>
                  </w:pPr>
                  <w:r>
                    <w:rPr>
                      <w:rFonts w:hint="eastAsia"/>
                      <w:color w:val="auto"/>
                      <w:lang w:val="en-US" w:eastAsia="zh-CN"/>
                    </w:rPr>
                    <w:t>15</w:t>
                  </w:r>
                  <w:r>
                    <w:rPr>
                      <w:color w:val="auto"/>
                    </w:rPr>
                    <w:t>m</w:t>
                  </w:r>
                </w:p>
                <w:p>
                  <w:pPr>
                    <w:spacing w:line="240" w:lineRule="exact"/>
                    <w:jc w:val="center"/>
                    <w:rPr>
                      <w:color w:val="auto"/>
                      <w:szCs w:val="21"/>
                    </w:rPr>
                  </w:pPr>
                  <w:r>
                    <w:rPr>
                      <w:color w:val="auto"/>
                    </w:rPr>
                    <w:t>排气筒</w:t>
                  </w:r>
                </w:p>
              </w:tc>
              <w:tc>
                <w:tcPr>
                  <w:tcW w:w="1146" w:type="dxa"/>
                  <w:tcBorders>
                    <w:top w:val="single" w:color="auto" w:sz="4" w:space="0"/>
                    <w:left w:val="single" w:color="auto" w:sz="4" w:space="0"/>
                    <w:bottom w:val="single" w:color="auto" w:sz="4" w:space="0"/>
                  </w:tcBorders>
                  <w:vAlign w:val="center"/>
                </w:tcPr>
                <w:p>
                  <w:pPr>
                    <w:spacing w:line="240" w:lineRule="exact"/>
                    <w:jc w:val="center"/>
                    <w:rPr>
                      <w:color w:val="auto"/>
                      <w:szCs w:val="21"/>
                    </w:rPr>
                  </w:pPr>
                  <w:r>
                    <w:rPr>
                      <w:color w:val="auto"/>
                      <w:szCs w:val="21"/>
                    </w:rPr>
                    <w:t>mg/m</w:t>
                  </w:r>
                  <w:r>
                    <w:rPr>
                      <w:color w:val="auto"/>
                      <w:szCs w:val="21"/>
                      <w:vertAlign w:val="superscript"/>
                    </w:rPr>
                    <w:t>3</w:t>
                  </w:r>
                </w:p>
              </w:tc>
              <w:tc>
                <w:tcPr>
                  <w:tcW w:w="740" w:type="pct"/>
                  <w:tcBorders>
                    <w:top w:val="single" w:color="auto" w:sz="4" w:space="0"/>
                    <w:bottom w:val="single" w:color="auto" w:sz="4" w:space="0"/>
                  </w:tcBorders>
                  <w:vAlign w:val="center"/>
                </w:tcPr>
                <w:p>
                  <w:pPr>
                    <w:spacing w:line="240" w:lineRule="exact"/>
                    <w:jc w:val="center"/>
                    <w:rPr>
                      <w:color w:val="auto"/>
                      <w:szCs w:val="21"/>
                    </w:rPr>
                  </w:pPr>
                  <w:r>
                    <w:rPr>
                      <w:rFonts w:hint="eastAsia" w:eastAsiaTheme="minorEastAsia"/>
                      <w:color w:val="auto"/>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6" w:hRule="exact"/>
                <w:jc w:val="center"/>
              </w:trPr>
              <w:tc>
                <w:tcPr>
                  <w:tcW w:w="314" w:type="pct"/>
                  <w:vMerge w:val="continue"/>
                  <w:vAlign w:val="top"/>
                </w:tcPr>
                <w:p>
                  <w:pPr>
                    <w:spacing w:line="240" w:lineRule="exact"/>
                    <w:jc w:val="center"/>
                    <w:rPr>
                      <w:color w:val="auto"/>
                      <w:szCs w:val="21"/>
                    </w:rPr>
                  </w:pPr>
                </w:p>
              </w:tc>
              <w:tc>
                <w:tcPr>
                  <w:tcW w:w="1844" w:type="pct"/>
                  <w:vMerge w:val="continue"/>
                  <w:vAlign w:val="center"/>
                </w:tcPr>
                <w:p>
                  <w:pPr>
                    <w:spacing w:line="240" w:lineRule="exact"/>
                    <w:jc w:val="center"/>
                    <w:rPr>
                      <w:color w:val="auto"/>
                      <w:szCs w:val="21"/>
                    </w:rPr>
                  </w:pPr>
                </w:p>
              </w:tc>
              <w:tc>
                <w:tcPr>
                  <w:tcW w:w="786" w:type="pct"/>
                  <w:vMerge w:val="continue"/>
                  <w:vAlign w:val="center"/>
                </w:tcPr>
                <w:p>
                  <w:pPr>
                    <w:spacing w:line="240" w:lineRule="exact"/>
                    <w:jc w:val="center"/>
                    <w:rPr>
                      <w:color w:val="auto"/>
                    </w:rPr>
                  </w:pPr>
                </w:p>
              </w:tc>
              <w:tc>
                <w:tcPr>
                  <w:tcW w:w="653" w:type="pct"/>
                  <w:vMerge w:val="continue"/>
                  <w:tcBorders>
                    <w:right w:val="single" w:color="auto" w:sz="4" w:space="0"/>
                  </w:tcBorders>
                  <w:vAlign w:val="center"/>
                </w:tcPr>
                <w:p>
                  <w:pPr>
                    <w:spacing w:line="240" w:lineRule="exact"/>
                    <w:jc w:val="center"/>
                    <w:rPr>
                      <w:color w:val="auto"/>
                      <w:szCs w:val="21"/>
                    </w:rPr>
                  </w:pPr>
                </w:p>
              </w:tc>
              <w:tc>
                <w:tcPr>
                  <w:tcW w:w="1146" w:type="dxa"/>
                  <w:tcBorders>
                    <w:top w:val="single" w:color="auto" w:sz="4" w:space="0"/>
                    <w:left w:val="single" w:color="auto" w:sz="4" w:space="0"/>
                  </w:tcBorders>
                  <w:vAlign w:val="center"/>
                </w:tcPr>
                <w:p>
                  <w:pPr>
                    <w:spacing w:line="240" w:lineRule="exact"/>
                    <w:jc w:val="center"/>
                    <w:rPr>
                      <w:color w:val="auto"/>
                      <w:szCs w:val="21"/>
                    </w:rPr>
                  </w:pPr>
                  <w:r>
                    <w:rPr>
                      <w:color w:val="auto"/>
                      <w:szCs w:val="21"/>
                    </w:rPr>
                    <w:t>kg/h</w:t>
                  </w:r>
                </w:p>
              </w:tc>
              <w:tc>
                <w:tcPr>
                  <w:tcW w:w="740" w:type="pct"/>
                  <w:tcBorders>
                    <w:top w:val="single" w:color="auto" w:sz="4" w:space="0"/>
                  </w:tcBorders>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10</w:t>
                  </w:r>
                </w:p>
              </w:tc>
            </w:tr>
          </w:tbl>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color w:val="auto"/>
                <w:sz w:val="24"/>
              </w:rPr>
            </w:pPr>
            <w:r>
              <w:rPr>
                <w:b/>
                <w:color w:val="auto"/>
                <w:szCs w:val="21"/>
              </w:rPr>
              <w:t>注：本项目烘干、加热系统采用一根排气筒进行排放，因此本项目排放标准比较《大气污染物综合排放标准》（GB16297-1996）及《工业窑炉大气污染物排放标准》（GB9078-1996），从严执行《大气污染物综合排放标准》（GB16297-1996）中表2中的标准（颗粒物：120mg/m</w:t>
            </w:r>
            <w:r>
              <w:rPr>
                <w:b/>
                <w:color w:val="auto"/>
                <w:szCs w:val="21"/>
                <w:vertAlign w:val="superscript"/>
              </w:rPr>
              <w:t>3</w:t>
            </w:r>
            <w:r>
              <w:rPr>
                <w:b/>
                <w:color w:val="auto"/>
                <w:szCs w:val="21"/>
              </w:rPr>
              <w:t>、二氧化硫：550mg/m</w:t>
            </w:r>
            <w:r>
              <w:rPr>
                <w:b/>
                <w:color w:val="auto"/>
                <w:szCs w:val="21"/>
                <w:vertAlign w:val="superscript"/>
              </w:rPr>
              <w:t>3</w:t>
            </w:r>
            <w:r>
              <w:rPr>
                <w:b/>
                <w:color w:val="auto"/>
                <w:szCs w:val="21"/>
              </w:rPr>
              <w:t>氮氧化物：240mg/m</w:t>
            </w:r>
            <w:r>
              <w:rPr>
                <w:b/>
                <w:color w:val="auto"/>
                <w:szCs w:val="21"/>
                <w:vertAlign w:val="superscript"/>
              </w:rPr>
              <w:t>3</w:t>
            </w:r>
            <w:r>
              <w:rPr>
                <w:b/>
                <w:color w:val="auto"/>
                <w:szCs w:val="21"/>
              </w:rPr>
              <w:t>）。</w:t>
            </w:r>
          </w:p>
          <w:p>
            <w:pPr>
              <w:spacing w:line="360" w:lineRule="auto"/>
              <w:ind w:firstLine="480" w:firstLineChars="200"/>
              <w:rPr>
                <w:color w:val="auto"/>
                <w:sz w:val="24"/>
              </w:rPr>
            </w:pPr>
            <w:r>
              <w:rPr>
                <w:rFonts w:hint="eastAsia"/>
                <w:color w:val="auto"/>
                <w:sz w:val="24"/>
              </w:rPr>
              <w:t>2、噪声</w:t>
            </w:r>
          </w:p>
          <w:p>
            <w:pPr>
              <w:spacing w:line="360" w:lineRule="auto"/>
              <w:ind w:firstLine="480" w:firstLineChars="200"/>
              <w:rPr>
                <w:color w:val="auto"/>
                <w:sz w:val="24"/>
              </w:rPr>
            </w:pPr>
            <w:r>
              <w:rPr>
                <w:color w:val="auto"/>
                <w:sz w:val="24"/>
              </w:rPr>
              <w:t>本项目</w:t>
            </w:r>
            <w:r>
              <w:rPr>
                <w:rFonts w:hint="eastAsia"/>
                <w:color w:val="auto"/>
                <w:sz w:val="24"/>
              </w:rPr>
              <w:t>厂界</w:t>
            </w:r>
            <w:r>
              <w:rPr>
                <w:color w:val="auto"/>
                <w:sz w:val="24"/>
              </w:rPr>
              <w:t>执行《工业企业厂界环境噪声排放标准》（GB12348-2008）</w:t>
            </w:r>
            <w:r>
              <w:rPr>
                <w:rFonts w:hint="eastAsia"/>
                <w:color w:val="auto"/>
                <w:sz w:val="24"/>
              </w:rPr>
              <w:t>2类标准</w:t>
            </w:r>
            <w:r>
              <w:rPr>
                <w:color w:val="auto"/>
                <w:sz w:val="24"/>
              </w:rPr>
              <w:t>。</w:t>
            </w:r>
          </w:p>
          <w:p>
            <w:pPr>
              <w:pStyle w:val="116"/>
              <w:rPr>
                <w:color w:val="auto"/>
              </w:rPr>
            </w:pPr>
            <w:r>
              <w:rPr>
                <w:color w:val="auto"/>
              </w:rPr>
              <w:t>表</w:t>
            </w:r>
            <w:r>
              <w:rPr>
                <w:rFonts w:hint="eastAsia"/>
                <w:color w:val="auto"/>
              </w:rPr>
              <w:t>3-</w:t>
            </w:r>
            <w:r>
              <w:rPr>
                <w:rFonts w:hint="eastAsia"/>
                <w:color w:val="auto"/>
                <w:lang w:val="en-US" w:eastAsia="zh-CN"/>
              </w:rPr>
              <w:t>9</w:t>
            </w:r>
            <w:r>
              <w:rPr>
                <w:color w:val="auto"/>
              </w:rPr>
              <w:t xml:space="preserve">  噪声排放执行标准一览表</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2362"/>
              <w:gridCol w:w="2155"/>
              <w:gridCol w:w="2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jc w:val="center"/>
              </w:trPr>
              <w:tc>
                <w:tcPr>
                  <w:tcW w:w="771" w:type="pct"/>
                  <w:tcBorders>
                    <w:tl2br w:val="nil"/>
                    <w:tr2bl w:val="nil"/>
                  </w:tcBorders>
                  <w:noWrap/>
                  <w:vAlign w:val="center"/>
                </w:tcPr>
                <w:p>
                  <w:pPr>
                    <w:jc w:val="center"/>
                    <w:rPr>
                      <w:color w:val="auto"/>
                      <w:szCs w:val="21"/>
                    </w:rPr>
                  </w:pPr>
                  <w:r>
                    <w:rPr>
                      <w:color w:val="auto"/>
                      <w:szCs w:val="21"/>
                    </w:rPr>
                    <w:t>时段</w:t>
                  </w:r>
                </w:p>
              </w:tc>
              <w:tc>
                <w:tcPr>
                  <w:tcW w:w="1361" w:type="pct"/>
                  <w:tcBorders>
                    <w:tl2br w:val="nil"/>
                    <w:tr2bl w:val="nil"/>
                  </w:tcBorders>
                  <w:noWrap/>
                  <w:vAlign w:val="center"/>
                </w:tcPr>
                <w:p>
                  <w:pPr>
                    <w:jc w:val="center"/>
                    <w:rPr>
                      <w:color w:val="auto"/>
                      <w:szCs w:val="21"/>
                    </w:rPr>
                  </w:pPr>
                  <w:r>
                    <w:rPr>
                      <w:color w:val="auto"/>
                      <w:szCs w:val="21"/>
                    </w:rPr>
                    <w:t>声环境功能区类别</w:t>
                  </w:r>
                </w:p>
              </w:tc>
              <w:tc>
                <w:tcPr>
                  <w:tcW w:w="2867" w:type="pct"/>
                  <w:gridSpan w:val="2"/>
                  <w:tcBorders>
                    <w:tl2br w:val="nil"/>
                    <w:tr2bl w:val="nil"/>
                  </w:tcBorders>
                  <w:noWrap/>
                  <w:vAlign w:val="center"/>
                </w:tcPr>
                <w:p>
                  <w:pPr>
                    <w:jc w:val="center"/>
                    <w:rPr>
                      <w:color w:val="auto"/>
                      <w:szCs w:val="21"/>
                    </w:rPr>
                  </w:pPr>
                  <w:r>
                    <w:rPr>
                      <w:color w:val="auto"/>
                      <w:szCs w:val="21"/>
                    </w:rPr>
                    <w:t>标准限值dB(A)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771" w:type="pct"/>
                  <w:vMerge w:val="restart"/>
                  <w:tcBorders>
                    <w:tl2br w:val="nil"/>
                    <w:tr2bl w:val="nil"/>
                  </w:tcBorders>
                  <w:noWrap/>
                  <w:vAlign w:val="center"/>
                </w:tcPr>
                <w:p>
                  <w:pPr>
                    <w:jc w:val="center"/>
                    <w:rPr>
                      <w:color w:val="auto"/>
                      <w:szCs w:val="21"/>
                    </w:rPr>
                  </w:pPr>
                  <w:r>
                    <w:rPr>
                      <w:color w:val="auto"/>
                      <w:szCs w:val="21"/>
                    </w:rPr>
                    <w:t>运营期</w:t>
                  </w:r>
                </w:p>
              </w:tc>
              <w:tc>
                <w:tcPr>
                  <w:tcW w:w="1361" w:type="pct"/>
                  <w:vMerge w:val="restart"/>
                  <w:tcBorders>
                    <w:tl2br w:val="nil"/>
                    <w:tr2bl w:val="nil"/>
                  </w:tcBorders>
                  <w:noWrap/>
                  <w:vAlign w:val="center"/>
                </w:tcPr>
                <w:p>
                  <w:pPr>
                    <w:adjustRightInd w:val="0"/>
                    <w:snapToGrid w:val="0"/>
                    <w:spacing w:line="240" w:lineRule="exact"/>
                    <w:jc w:val="center"/>
                    <w:rPr>
                      <w:color w:val="auto"/>
                      <w:szCs w:val="21"/>
                    </w:rPr>
                  </w:pPr>
                  <w:r>
                    <w:rPr>
                      <w:rFonts w:hint="eastAsia"/>
                      <w:color w:val="auto"/>
                      <w:szCs w:val="21"/>
                    </w:rPr>
                    <w:t>2</w:t>
                  </w:r>
                  <w:r>
                    <w:rPr>
                      <w:color w:val="auto"/>
                      <w:szCs w:val="21"/>
                    </w:rPr>
                    <w:t>类标准</w:t>
                  </w:r>
                </w:p>
              </w:tc>
              <w:tc>
                <w:tcPr>
                  <w:tcW w:w="1242" w:type="pct"/>
                  <w:tcBorders>
                    <w:tl2br w:val="nil"/>
                    <w:tr2bl w:val="nil"/>
                  </w:tcBorders>
                  <w:noWrap/>
                  <w:vAlign w:val="center"/>
                </w:tcPr>
                <w:p>
                  <w:pPr>
                    <w:jc w:val="center"/>
                    <w:rPr>
                      <w:color w:val="auto"/>
                      <w:szCs w:val="21"/>
                    </w:rPr>
                  </w:pPr>
                  <w:r>
                    <w:rPr>
                      <w:color w:val="auto"/>
                      <w:szCs w:val="21"/>
                    </w:rPr>
                    <w:t>昼间</w:t>
                  </w:r>
                </w:p>
              </w:tc>
              <w:tc>
                <w:tcPr>
                  <w:tcW w:w="1625" w:type="pct"/>
                  <w:tcBorders>
                    <w:tl2br w:val="nil"/>
                    <w:tr2bl w:val="nil"/>
                  </w:tcBorders>
                  <w:noWrap/>
                  <w:vAlign w:val="center"/>
                </w:tcPr>
                <w:p>
                  <w:pPr>
                    <w:jc w:val="center"/>
                    <w:rPr>
                      <w:color w:val="auto"/>
                      <w:szCs w:val="21"/>
                    </w:rPr>
                  </w:pPr>
                  <w:r>
                    <w:rPr>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 w:hRule="atLeast"/>
                <w:jc w:val="center"/>
              </w:trPr>
              <w:tc>
                <w:tcPr>
                  <w:tcW w:w="771" w:type="pct"/>
                  <w:vMerge w:val="continue"/>
                  <w:tcBorders>
                    <w:tl2br w:val="nil"/>
                    <w:tr2bl w:val="nil"/>
                  </w:tcBorders>
                  <w:noWrap/>
                  <w:vAlign w:val="center"/>
                </w:tcPr>
                <w:p>
                  <w:pPr>
                    <w:widowControl/>
                    <w:jc w:val="left"/>
                    <w:rPr>
                      <w:color w:val="auto"/>
                      <w:szCs w:val="21"/>
                    </w:rPr>
                  </w:pPr>
                </w:p>
              </w:tc>
              <w:tc>
                <w:tcPr>
                  <w:tcW w:w="1361" w:type="pct"/>
                  <w:vMerge w:val="continue"/>
                  <w:tcBorders>
                    <w:tl2br w:val="nil"/>
                    <w:tr2bl w:val="nil"/>
                  </w:tcBorders>
                  <w:noWrap/>
                  <w:vAlign w:val="center"/>
                </w:tcPr>
                <w:p>
                  <w:pPr>
                    <w:adjustRightInd w:val="0"/>
                    <w:snapToGrid w:val="0"/>
                    <w:spacing w:line="240" w:lineRule="exact"/>
                    <w:jc w:val="center"/>
                    <w:rPr>
                      <w:color w:val="auto"/>
                      <w:szCs w:val="21"/>
                    </w:rPr>
                  </w:pPr>
                </w:p>
              </w:tc>
              <w:tc>
                <w:tcPr>
                  <w:tcW w:w="1242" w:type="pct"/>
                  <w:tcBorders>
                    <w:tl2br w:val="nil"/>
                    <w:tr2bl w:val="nil"/>
                  </w:tcBorders>
                  <w:noWrap/>
                  <w:vAlign w:val="center"/>
                </w:tcPr>
                <w:p>
                  <w:pPr>
                    <w:jc w:val="center"/>
                    <w:rPr>
                      <w:color w:val="auto"/>
                      <w:szCs w:val="21"/>
                    </w:rPr>
                  </w:pPr>
                  <w:r>
                    <w:rPr>
                      <w:color w:val="auto"/>
                      <w:szCs w:val="21"/>
                    </w:rPr>
                    <w:t>≤</w:t>
                  </w:r>
                  <w:r>
                    <w:rPr>
                      <w:rFonts w:hint="eastAsia"/>
                      <w:color w:val="auto"/>
                      <w:szCs w:val="21"/>
                    </w:rPr>
                    <w:t>60</w:t>
                  </w:r>
                </w:p>
              </w:tc>
              <w:tc>
                <w:tcPr>
                  <w:tcW w:w="1625" w:type="pct"/>
                  <w:tcBorders>
                    <w:tl2br w:val="nil"/>
                    <w:tr2bl w:val="nil"/>
                  </w:tcBorders>
                  <w:noWrap/>
                  <w:vAlign w:val="center"/>
                </w:tcPr>
                <w:p>
                  <w:pPr>
                    <w:jc w:val="center"/>
                    <w:rPr>
                      <w:color w:val="auto"/>
                      <w:szCs w:val="21"/>
                    </w:rPr>
                  </w:pPr>
                  <w:r>
                    <w:rPr>
                      <w:color w:val="auto"/>
                      <w:szCs w:val="21"/>
                    </w:rPr>
                    <w:t>≤</w:t>
                  </w:r>
                  <w:r>
                    <w:rPr>
                      <w:rFonts w:hint="eastAsia"/>
                      <w:color w:val="auto"/>
                      <w:szCs w:val="21"/>
                    </w:rPr>
                    <w:t>50</w:t>
                  </w:r>
                </w:p>
              </w:tc>
            </w:tr>
          </w:tbl>
          <w:p>
            <w:pPr>
              <w:spacing w:line="360" w:lineRule="auto"/>
              <w:ind w:firstLine="480" w:firstLineChars="200"/>
              <w:jc w:val="left"/>
              <w:rPr>
                <w:color w:val="auto"/>
                <w:sz w:val="24"/>
              </w:rPr>
            </w:pPr>
            <w:bookmarkStart w:id="48" w:name="_Toc2540"/>
            <w:r>
              <w:rPr>
                <w:rFonts w:hint="eastAsia"/>
                <w:color w:val="auto"/>
                <w:sz w:val="24"/>
              </w:rPr>
              <w:t>3</w:t>
            </w:r>
            <w:r>
              <w:rPr>
                <w:color w:val="auto"/>
                <w:sz w:val="24"/>
              </w:rPr>
              <w:t>、固体废物污染控制标准</w:t>
            </w:r>
          </w:p>
          <w:bookmarkEnd w:id="48"/>
          <w:p>
            <w:pPr>
              <w:keepNext/>
              <w:keepLines w:val="0"/>
              <w:pageBreakBefore w:val="0"/>
              <w:widowControl w:val="0"/>
              <w:kinsoku/>
              <w:wordWrap/>
              <w:overflowPunct w:val="0"/>
              <w:topLinePunct w:val="0"/>
              <w:autoSpaceDE/>
              <w:autoSpaceDN/>
              <w:bidi w:val="0"/>
              <w:adjustRightInd/>
              <w:snapToGrid/>
              <w:spacing w:before="0" w:after="0" w:line="360" w:lineRule="auto"/>
              <w:ind w:left="0" w:firstLine="480" w:firstLineChars="200"/>
              <w:textAlignment w:val="auto"/>
              <w:outlineLvl w:val="9"/>
              <w:rPr>
                <w:rFonts w:eastAsia="宋体"/>
                <w:b w:val="0"/>
                <w:bCs w:val="0"/>
                <w:color w:val="auto"/>
                <w:kern w:val="2"/>
                <w:sz w:val="24"/>
                <w:szCs w:val="24"/>
              </w:rPr>
            </w:pPr>
            <w:bookmarkStart w:id="49" w:name="_Toc31211"/>
            <w:bookmarkStart w:id="50" w:name="_Toc10672"/>
            <w:bookmarkStart w:id="51" w:name="_Toc15883"/>
            <w:bookmarkStart w:id="52" w:name="_Toc32085"/>
            <w:bookmarkStart w:id="53" w:name="_Toc1396"/>
            <w:bookmarkStart w:id="54" w:name="_Toc27534"/>
            <w:bookmarkStart w:id="55" w:name="_Toc27188"/>
            <w:bookmarkStart w:id="56" w:name="_Toc16998"/>
            <w:r>
              <w:rPr>
                <w:rFonts w:eastAsia="宋体"/>
                <w:b w:val="0"/>
                <w:bCs w:val="0"/>
                <w:color w:val="auto"/>
                <w:kern w:val="2"/>
                <w:sz w:val="24"/>
                <w:szCs w:val="24"/>
              </w:rPr>
              <w:t>一般固废执行《一般工业固体废物贮存和填埋污染控制标准》（GB18599-2020）；危险废物执行《危险废物贮存污染控制标准》</w:t>
            </w:r>
            <w:r>
              <w:rPr>
                <w:color w:val="auto"/>
              </w:rPr>
              <w:fldChar w:fldCharType="begin"/>
            </w:r>
            <w:r>
              <w:rPr>
                <w:color w:val="auto"/>
              </w:rPr>
              <w:instrText xml:space="preserve"> HYPERLINK "http://www.so.com/link?url=http%3A%2F%2Fwww.safehoo.com%2FStandard%2FCommon%2F200802%2F5800.shtml&amp;q=%E5%8D%B1%E9%99%A9%E5%BA%9F%E7%89%A9+%E6%A0%87%E5%87%86&amp;ts=1463627614&amp;t=6792afa46991d137f071fee8b5f00ce&amp;src=haosou" \t "_blank" </w:instrText>
            </w:r>
            <w:r>
              <w:rPr>
                <w:color w:val="auto"/>
              </w:rPr>
              <w:fldChar w:fldCharType="separate"/>
            </w:r>
            <w:r>
              <w:rPr>
                <w:rFonts w:eastAsia="宋体"/>
                <w:b w:val="0"/>
                <w:bCs w:val="0"/>
                <w:color w:val="auto"/>
                <w:kern w:val="2"/>
                <w:sz w:val="24"/>
                <w:szCs w:val="24"/>
              </w:rPr>
              <w:t>（GB18597-20</w:t>
            </w:r>
            <w:r>
              <w:rPr>
                <w:rFonts w:hint="eastAsia" w:eastAsia="宋体"/>
                <w:b w:val="0"/>
                <w:bCs w:val="0"/>
                <w:color w:val="auto"/>
                <w:kern w:val="2"/>
                <w:sz w:val="24"/>
                <w:szCs w:val="24"/>
              </w:rPr>
              <w:t>23</w:t>
            </w:r>
            <w:r>
              <w:rPr>
                <w:rFonts w:hint="eastAsia" w:eastAsia="宋体"/>
                <w:b w:val="0"/>
                <w:bCs w:val="0"/>
                <w:color w:val="auto"/>
                <w:kern w:val="2"/>
                <w:sz w:val="24"/>
                <w:szCs w:val="24"/>
              </w:rPr>
              <w:fldChar w:fldCharType="end"/>
            </w:r>
            <w:r>
              <w:rPr>
                <w:rFonts w:eastAsia="宋体"/>
                <w:b w:val="0"/>
                <w:bCs w:val="0"/>
                <w:color w:val="auto"/>
                <w:kern w:val="2"/>
                <w:sz w:val="24"/>
                <w:szCs w:val="24"/>
              </w:rPr>
              <w:t>）。</w:t>
            </w:r>
            <w:bookmarkEnd w:id="49"/>
            <w:bookmarkEnd w:id="50"/>
            <w:bookmarkEnd w:id="51"/>
            <w:bookmarkEnd w:id="52"/>
            <w:bookmarkEnd w:id="53"/>
            <w:bookmarkEnd w:id="54"/>
            <w:bookmarkEnd w:id="55"/>
            <w:bookmarkEnd w:id="56"/>
          </w:p>
          <w:p>
            <w:pPr>
              <w:pStyle w:val="3"/>
              <w:snapToGrid/>
              <w:spacing w:before="0" w:after="0" w:line="360" w:lineRule="auto"/>
              <w:ind w:left="0" w:firstLine="600" w:firstLineChars="200"/>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8" w:hRule="atLeast"/>
          <w:jc w:val="center"/>
        </w:trPr>
        <w:tc>
          <w:tcPr>
            <w:tcW w:w="486" w:type="pct"/>
            <w:vAlign w:val="center"/>
          </w:tcPr>
          <w:p>
            <w:pPr>
              <w:adjustRightInd w:val="0"/>
              <w:snapToGrid w:val="0"/>
              <w:jc w:val="center"/>
              <w:rPr>
                <w:color w:val="auto"/>
                <w:kern w:val="0"/>
                <w:sz w:val="24"/>
                <w:szCs w:val="21"/>
              </w:rPr>
            </w:pPr>
            <w:r>
              <w:rPr>
                <w:color w:val="auto"/>
                <w:kern w:val="0"/>
                <w:sz w:val="24"/>
                <w:szCs w:val="21"/>
              </w:rPr>
              <w:t>总量</w:t>
            </w:r>
          </w:p>
          <w:p>
            <w:pPr>
              <w:adjustRightInd w:val="0"/>
              <w:snapToGrid w:val="0"/>
              <w:jc w:val="center"/>
              <w:rPr>
                <w:color w:val="auto"/>
                <w:kern w:val="0"/>
                <w:sz w:val="24"/>
                <w:szCs w:val="21"/>
              </w:rPr>
            </w:pPr>
            <w:r>
              <w:rPr>
                <w:color w:val="auto"/>
                <w:kern w:val="0"/>
                <w:sz w:val="24"/>
                <w:szCs w:val="21"/>
              </w:rPr>
              <w:t>控制</w:t>
            </w:r>
          </w:p>
          <w:p>
            <w:pPr>
              <w:adjustRightInd w:val="0"/>
              <w:snapToGrid w:val="0"/>
              <w:jc w:val="center"/>
              <w:rPr>
                <w:color w:val="auto"/>
                <w:kern w:val="0"/>
                <w:sz w:val="24"/>
                <w:szCs w:val="21"/>
              </w:rPr>
            </w:pPr>
            <w:r>
              <w:rPr>
                <w:color w:val="auto"/>
                <w:kern w:val="0"/>
                <w:sz w:val="24"/>
                <w:szCs w:val="21"/>
              </w:rPr>
              <w:t>指标</w:t>
            </w:r>
          </w:p>
        </w:tc>
        <w:tc>
          <w:tcPr>
            <w:tcW w:w="4513" w:type="pct"/>
          </w:tcPr>
          <w:p>
            <w:pPr>
              <w:adjustRightInd w:val="0"/>
              <w:snapToGrid w:val="0"/>
              <w:spacing w:line="500" w:lineRule="exact"/>
              <w:ind w:firstLine="480" w:firstLineChars="200"/>
              <w:textAlignment w:val="baseline"/>
              <w:rPr>
                <w:color w:val="auto"/>
                <w:sz w:val="24"/>
              </w:rPr>
            </w:pPr>
            <w:bookmarkStart w:id="57" w:name="_Toc30069"/>
            <w:r>
              <w:rPr>
                <w:color w:val="auto"/>
                <w:sz w:val="24"/>
              </w:rPr>
              <w:t>本项目总量控制污染物排放量见下表。</w:t>
            </w:r>
          </w:p>
          <w:p>
            <w:pPr>
              <w:spacing w:line="400" w:lineRule="exact"/>
              <w:ind w:firstLine="420" w:firstLineChars="200"/>
              <w:jc w:val="center"/>
              <w:rPr>
                <w:b/>
                <w:bCs/>
                <w:color w:val="auto"/>
                <w:szCs w:val="21"/>
              </w:rPr>
            </w:pPr>
            <w:r>
              <w:rPr>
                <w:b/>
                <w:bCs/>
                <w:color w:val="auto"/>
                <w:szCs w:val="21"/>
              </w:rPr>
              <w:t>表3-</w:t>
            </w:r>
            <w:r>
              <w:rPr>
                <w:rFonts w:hint="eastAsia"/>
                <w:b/>
                <w:bCs/>
                <w:color w:val="auto"/>
                <w:szCs w:val="21"/>
                <w:lang w:val="en-US" w:eastAsia="zh-CN"/>
              </w:rPr>
              <w:t>11</w:t>
            </w:r>
            <w:r>
              <w:rPr>
                <w:b/>
                <w:bCs/>
                <w:color w:val="auto"/>
                <w:szCs w:val="21"/>
              </w:rPr>
              <w:t xml:space="preserve">  总量控制表（单位：t/a）</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53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9" w:type="pct"/>
                  <w:vAlign w:val="center"/>
                </w:tcPr>
                <w:p>
                  <w:pPr>
                    <w:pStyle w:val="19"/>
                    <w:rPr>
                      <w:color w:val="auto"/>
                      <w:sz w:val="21"/>
                      <w:szCs w:val="21"/>
                    </w:rPr>
                  </w:pPr>
                  <w:r>
                    <w:rPr>
                      <w:color w:val="auto"/>
                      <w:sz w:val="21"/>
                      <w:szCs w:val="21"/>
                    </w:rPr>
                    <w:t>污染物</w:t>
                  </w:r>
                </w:p>
              </w:tc>
              <w:tc>
                <w:tcPr>
                  <w:tcW w:w="3070" w:type="pct"/>
                  <w:vAlign w:val="center"/>
                </w:tcPr>
                <w:p>
                  <w:pPr>
                    <w:pStyle w:val="19"/>
                    <w:rPr>
                      <w:color w:val="auto"/>
                      <w:sz w:val="21"/>
                      <w:szCs w:val="21"/>
                    </w:rPr>
                  </w:pPr>
                  <w:r>
                    <w:rPr>
                      <w:rFonts w:hint="eastAsia"/>
                      <w:color w:val="auto"/>
                      <w:sz w:val="21"/>
                      <w:szCs w:val="21"/>
                      <w:lang w:val="en-US" w:eastAsia="zh-CN"/>
                    </w:rPr>
                    <w:t>预测</w:t>
                  </w:r>
                  <w:r>
                    <w:rPr>
                      <w:color w:val="auto"/>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9" w:type="pct"/>
                  <w:vAlign w:val="center"/>
                </w:tcPr>
                <w:p>
                  <w:pPr>
                    <w:pStyle w:val="19"/>
                    <w:rPr>
                      <w:color w:val="auto"/>
                      <w:kern w:val="2"/>
                      <w:sz w:val="21"/>
                      <w:szCs w:val="21"/>
                    </w:rPr>
                  </w:pPr>
                  <w:r>
                    <w:rPr>
                      <w:color w:val="auto"/>
                      <w:sz w:val="21"/>
                      <w:szCs w:val="21"/>
                    </w:rPr>
                    <w:t>颗粒物</w:t>
                  </w:r>
                </w:p>
              </w:tc>
              <w:tc>
                <w:tcPr>
                  <w:tcW w:w="532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green"/>
                      <w:u w:val="none"/>
                      <w:lang w:val="en-US" w:eastAsia="zh-CN" w:bidi="ar-SA"/>
                    </w:rPr>
                  </w:pPr>
                  <w:r>
                    <w:rPr>
                      <w:rFonts w:hint="eastAsia"/>
                      <w:color w:val="auto"/>
                      <w:sz w:val="18"/>
                      <w:szCs w:val="18"/>
                      <w:lang w:val="en-US" w:eastAsia="zh-CN"/>
                    </w:rPr>
                    <w:t>0.6233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9" w:type="pct"/>
                  <w:vAlign w:val="center"/>
                </w:tcPr>
                <w:p>
                  <w:pPr>
                    <w:pStyle w:val="19"/>
                    <w:rPr>
                      <w:color w:val="auto"/>
                      <w:kern w:val="2"/>
                      <w:sz w:val="21"/>
                      <w:szCs w:val="21"/>
                    </w:rPr>
                  </w:pPr>
                  <w:r>
                    <w:rPr>
                      <w:color w:val="auto"/>
                      <w:sz w:val="21"/>
                      <w:szCs w:val="21"/>
                    </w:rPr>
                    <w:t>二氧化硫</w:t>
                  </w:r>
                </w:p>
              </w:tc>
              <w:tc>
                <w:tcPr>
                  <w:tcW w:w="532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green"/>
                      <w:u w:val="none"/>
                      <w:lang w:val="en-US" w:eastAsia="zh-CN" w:bidi="ar-SA"/>
                    </w:rPr>
                  </w:pPr>
                  <w:r>
                    <w:rPr>
                      <w:rFonts w:hint="eastAsia"/>
                      <w:color w:val="auto"/>
                      <w:sz w:val="18"/>
                      <w:szCs w:val="18"/>
                      <w:lang w:val="en-US" w:eastAsia="zh-CN"/>
                    </w:rPr>
                    <w:t>0.113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9" w:type="pct"/>
                  <w:vAlign w:val="center"/>
                </w:tcPr>
                <w:p>
                  <w:pPr>
                    <w:pStyle w:val="19"/>
                    <w:rPr>
                      <w:color w:val="auto"/>
                      <w:kern w:val="2"/>
                      <w:sz w:val="21"/>
                      <w:szCs w:val="21"/>
                    </w:rPr>
                  </w:pPr>
                  <w:r>
                    <w:rPr>
                      <w:color w:val="auto"/>
                      <w:sz w:val="21"/>
                      <w:szCs w:val="21"/>
                    </w:rPr>
                    <w:t>氮氧化物</w:t>
                  </w:r>
                </w:p>
              </w:tc>
              <w:tc>
                <w:tcPr>
                  <w:tcW w:w="532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green"/>
                      <w:u w:val="none"/>
                      <w:lang w:val="en-US" w:eastAsia="zh-CN" w:bidi="ar-SA"/>
                    </w:rPr>
                  </w:pPr>
                  <w:r>
                    <w:rPr>
                      <w:rFonts w:hint="eastAsia"/>
                      <w:color w:val="auto"/>
                      <w:sz w:val="18"/>
                      <w:szCs w:val="18"/>
                      <w:lang w:val="en-US" w:eastAsia="zh-CN"/>
                    </w:rPr>
                    <w:t>0.589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9" w:type="pct"/>
                  <w:vAlign w:val="center"/>
                </w:tcPr>
                <w:p>
                  <w:pPr>
                    <w:pStyle w:val="19"/>
                    <w:rPr>
                      <w:color w:val="auto"/>
                      <w:sz w:val="21"/>
                      <w:szCs w:val="21"/>
                    </w:rPr>
                  </w:pPr>
                  <w:r>
                    <w:rPr>
                      <w:color w:val="auto"/>
                      <w:sz w:val="21"/>
                      <w:szCs w:val="21"/>
                    </w:rPr>
                    <w:t>并[a]芘</w:t>
                  </w:r>
                </w:p>
              </w:tc>
              <w:tc>
                <w:tcPr>
                  <w:tcW w:w="5328" w:type="dxa"/>
                  <w:vAlign w:val="center"/>
                </w:tcPr>
                <w:p>
                  <w:pPr>
                    <w:keepNext w:val="0"/>
                    <w:keepLines w:val="0"/>
                    <w:widowControl/>
                    <w:suppressLineNumbers w:val="0"/>
                    <w:jc w:val="center"/>
                    <w:textAlignment w:val="center"/>
                    <w:rPr>
                      <w:color w:val="auto"/>
                      <w:sz w:val="21"/>
                      <w:szCs w:val="21"/>
                      <w:highlight w:val="green"/>
                    </w:rPr>
                  </w:pPr>
                  <w:r>
                    <w:rPr>
                      <w:rFonts w:hint="eastAsia"/>
                      <w:color w:val="auto"/>
                      <w:sz w:val="18"/>
                      <w:szCs w:val="18"/>
                      <w:lang w:val="en-US" w:eastAsia="zh-CN"/>
                    </w:rPr>
                    <w:t>4.5</w:t>
                  </w:r>
                  <w:r>
                    <w:rPr>
                      <w:rFonts w:hint="eastAsia" w:ascii="宋体" w:hAnsi="宋体" w:cs="宋体"/>
                      <w:color w:val="auto"/>
                      <w:sz w:val="18"/>
                      <w:szCs w:val="18"/>
                    </w:rPr>
                    <w:t>×</w:t>
                  </w:r>
                  <w:r>
                    <w:rPr>
                      <w:color w:val="auto"/>
                      <w:sz w:val="18"/>
                      <w:szCs w:val="18"/>
                    </w:rPr>
                    <w:t>10</w:t>
                  </w:r>
                  <w:r>
                    <w:rPr>
                      <w:color w:val="auto"/>
                      <w:sz w:val="18"/>
                      <w:szCs w:val="18"/>
                      <w:vertAlign w:val="superscript"/>
                    </w:rPr>
                    <w:t>-</w:t>
                  </w:r>
                  <w:r>
                    <w:rPr>
                      <w:rFonts w:hint="eastAsia"/>
                      <w:color w:val="auto"/>
                      <w:sz w:val="18"/>
                      <w:szCs w:val="18"/>
                      <w:vertAlign w:val="superscript"/>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9" w:type="pct"/>
                  <w:vAlign w:val="center"/>
                </w:tcPr>
                <w:p>
                  <w:pPr>
                    <w:pStyle w:val="19"/>
                    <w:rPr>
                      <w:rFonts w:hint="default" w:eastAsia="宋体"/>
                      <w:color w:val="auto"/>
                      <w:sz w:val="21"/>
                      <w:szCs w:val="21"/>
                      <w:lang w:val="en-US" w:eastAsia="zh-CN"/>
                    </w:rPr>
                  </w:pPr>
                  <w:r>
                    <w:rPr>
                      <w:rFonts w:hint="eastAsia"/>
                      <w:color w:val="auto"/>
                      <w:sz w:val="21"/>
                      <w:szCs w:val="21"/>
                      <w:lang w:val="en-US" w:eastAsia="zh-CN"/>
                    </w:rPr>
                    <w:t>NMHC</w:t>
                  </w:r>
                </w:p>
              </w:tc>
              <w:tc>
                <w:tcPr>
                  <w:tcW w:w="5328" w:type="dxa"/>
                  <w:vAlign w:val="center"/>
                </w:tcPr>
                <w:p>
                  <w:pPr>
                    <w:keepNext w:val="0"/>
                    <w:keepLines w:val="0"/>
                    <w:widowControl/>
                    <w:suppressLineNumbers w:val="0"/>
                    <w:jc w:val="center"/>
                    <w:textAlignment w:val="center"/>
                    <w:rPr>
                      <w:rFonts w:hint="eastAsia"/>
                      <w:color w:val="auto"/>
                      <w:sz w:val="21"/>
                      <w:szCs w:val="21"/>
                      <w:highlight w:val="green"/>
                    </w:rPr>
                  </w:pPr>
                  <w:r>
                    <w:rPr>
                      <w:rFonts w:hint="eastAsia" w:cs="Times New Roman"/>
                      <w:color w:val="auto"/>
                      <w:kern w:val="2"/>
                      <w:sz w:val="18"/>
                      <w:szCs w:val="18"/>
                      <w:highlight w:val="none"/>
                      <w:lang w:val="en-US" w:eastAsia="zh-CN" w:bidi="ar-SA"/>
                    </w:rPr>
                    <w:t>0.0012</w:t>
                  </w:r>
                </w:p>
              </w:tc>
            </w:tr>
            <w:bookmarkEnd w:id="57"/>
          </w:tbl>
          <w:p>
            <w:pPr>
              <w:rPr>
                <w:color w:val="auto"/>
              </w:rPr>
            </w:pPr>
          </w:p>
        </w:tc>
      </w:tr>
    </w:tbl>
    <w:p>
      <w:pPr>
        <w:pStyle w:val="29"/>
        <w:spacing w:before="0" w:beforeAutospacing="0" w:after="0" w:afterAutospacing="0" w:line="360" w:lineRule="auto"/>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58" w:name="_Toc22693"/>
      <w:bookmarkStart w:id="59" w:name="_Toc24965"/>
      <w:bookmarkStart w:id="60" w:name="_Toc25678"/>
      <w:r>
        <w:rPr>
          <w:rFonts w:ascii="Times New Roman" w:hAnsi="Times New Roman" w:eastAsia="黑体"/>
          <w:snapToGrid w:val="0"/>
          <w:color w:val="auto"/>
          <w:sz w:val="30"/>
          <w:szCs w:val="30"/>
        </w:rPr>
        <w:t>四、主要环境影响和保护措施</w:t>
      </w:r>
      <w:bookmarkEnd w:id="58"/>
      <w:bookmarkEnd w:id="59"/>
      <w:bookmarkEnd w:id="60"/>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9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14" w:type="pct"/>
            <w:tcMar>
              <w:left w:w="28" w:type="dxa"/>
              <w:right w:w="28" w:type="dxa"/>
            </w:tcMar>
            <w:vAlign w:val="center"/>
          </w:tcPr>
          <w:p>
            <w:pPr>
              <w:pStyle w:val="29"/>
              <w:adjustRightInd w:val="0"/>
              <w:snapToGrid w:val="0"/>
              <w:spacing w:before="0" w:beforeAutospacing="0" w:after="0" w:afterAutospacing="0"/>
              <w:jc w:val="center"/>
              <w:rPr>
                <w:rFonts w:ascii="Times New Roman" w:hAnsi="Times New Roman"/>
                <w:bCs/>
                <w:color w:val="auto"/>
                <w:kern w:val="2"/>
                <w:szCs w:val="21"/>
              </w:rPr>
            </w:pPr>
            <w:r>
              <w:rPr>
                <w:rFonts w:ascii="Times New Roman" w:hAnsi="Times New Roman"/>
                <w:color w:val="auto"/>
                <w:kern w:val="2"/>
                <w:szCs w:val="21"/>
              </w:rPr>
              <w:t>施工期环境保护措施</w:t>
            </w:r>
          </w:p>
        </w:tc>
        <w:tc>
          <w:tcPr>
            <w:tcW w:w="4485" w:type="pct"/>
            <w:vAlign w:val="center"/>
          </w:tcPr>
          <w:p>
            <w:pPr>
              <w:pStyle w:val="116"/>
              <w:ind w:firstLine="480" w:firstLineChars="200"/>
              <w:jc w:val="both"/>
              <w:rPr>
                <w:rFonts w:hint="default" w:ascii="Times New Roman" w:eastAsia="宋体"/>
                <w:color w:val="auto"/>
                <w:szCs w:val="22"/>
                <w:lang w:val="en-US" w:eastAsia="zh-CN"/>
              </w:rPr>
            </w:pPr>
            <w:r>
              <w:rPr>
                <w:rFonts w:hint="eastAsia" w:ascii="Times New Roman" w:eastAsia="宋体"/>
                <w:color w:val="auto"/>
                <w:szCs w:val="22"/>
                <w:lang w:val="en-US" w:eastAsia="zh-CN"/>
              </w:rPr>
              <w:t>本项目在现有厂区进行改扩建，主要是进行设备更新和环保设备的建设，施工期环境影响较小。</w:t>
            </w:r>
          </w:p>
          <w:p>
            <w:pPr>
              <w:pStyle w:val="116"/>
              <w:ind w:firstLine="480" w:firstLineChars="200"/>
              <w:jc w:val="both"/>
              <w:rPr>
                <w:rFonts w:ascii="Times New Roman" w:eastAsia="宋体"/>
                <w:color w:val="auto"/>
                <w:szCs w:val="22"/>
              </w:rPr>
            </w:pPr>
            <w:r>
              <w:rPr>
                <w:rFonts w:ascii="Times New Roman" w:eastAsia="宋体"/>
                <w:color w:val="auto"/>
                <w:szCs w:val="22"/>
              </w:rPr>
              <w:t>一、施工期废水污染防治措施</w:t>
            </w:r>
          </w:p>
          <w:p>
            <w:pPr>
              <w:pStyle w:val="116"/>
              <w:ind w:firstLine="480" w:firstLineChars="200"/>
              <w:jc w:val="both"/>
              <w:rPr>
                <w:rFonts w:ascii="Times New Roman" w:eastAsia="宋体"/>
                <w:color w:val="auto"/>
                <w:szCs w:val="22"/>
              </w:rPr>
            </w:pPr>
            <w:r>
              <w:rPr>
                <w:rFonts w:ascii="Times New Roman" w:eastAsia="宋体"/>
                <w:color w:val="auto"/>
                <w:szCs w:val="22"/>
              </w:rPr>
              <w:t>工程施工期间，施工单位应严格执行《建设工程施工场地文明施工及环境管理暂行规定》，对地面污水的排放进行组织设计，严禁乱排和污染道路、环境等，严禁将施工污水散排。施工过程中产生的施工废水应进行收集、沉淀处理后用于场内洒水压尘。生活污水排入</w:t>
            </w:r>
            <w:r>
              <w:rPr>
                <w:rFonts w:hint="eastAsia" w:ascii="Times New Roman" w:eastAsia="宋体"/>
                <w:color w:val="auto"/>
                <w:szCs w:val="22"/>
                <w:lang w:val="en-US" w:eastAsia="zh-CN"/>
              </w:rPr>
              <w:t>防渗旱厕</w:t>
            </w:r>
            <w:r>
              <w:rPr>
                <w:rFonts w:ascii="Times New Roman" w:eastAsia="宋体"/>
                <w:color w:val="auto"/>
                <w:szCs w:val="22"/>
              </w:rPr>
              <w:t>。在认真落实上述措施的基础上，施工废水对施工现场周围的环境影响较小，伴随施工期的结束也将结束。</w:t>
            </w:r>
          </w:p>
          <w:p>
            <w:pPr>
              <w:pStyle w:val="116"/>
              <w:ind w:firstLine="480" w:firstLineChars="200"/>
              <w:jc w:val="both"/>
              <w:rPr>
                <w:rFonts w:ascii="Times New Roman" w:eastAsia="宋体"/>
                <w:color w:val="auto"/>
                <w:szCs w:val="22"/>
              </w:rPr>
            </w:pPr>
            <w:r>
              <w:rPr>
                <w:rFonts w:ascii="Times New Roman" w:eastAsia="宋体"/>
                <w:color w:val="auto"/>
                <w:szCs w:val="22"/>
              </w:rPr>
              <w:t>二、施工期大气污染防治措施</w:t>
            </w:r>
          </w:p>
          <w:p>
            <w:pPr>
              <w:pStyle w:val="116"/>
              <w:ind w:firstLine="480" w:firstLineChars="200"/>
              <w:jc w:val="both"/>
              <w:rPr>
                <w:rFonts w:ascii="Times New Roman" w:eastAsia="宋体"/>
                <w:color w:val="auto"/>
                <w:szCs w:val="22"/>
              </w:rPr>
            </w:pPr>
            <w:r>
              <w:rPr>
                <w:rFonts w:ascii="Times New Roman" w:eastAsia="宋体"/>
                <w:color w:val="auto"/>
                <w:szCs w:val="22"/>
              </w:rPr>
              <w:t>为使施工过程中产生的</w:t>
            </w:r>
            <w:r>
              <w:rPr>
                <w:rFonts w:hint="eastAsia" w:ascii="Times New Roman" w:eastAsia="宋体"/>
                <w:color w:val="auto"/>
                <w:szCs w:val="22"/>
                <w:lang w:val="en-US" w:eastAsia="zh-CN"/>
              </w:rPr>
              <w:t>扬</w:t>
            </w:r>
            <w:r>
              <w:rPr>
                <w:rFonts w:ascii="Times New Roman" w:eastAsia="宋体"/>
                <w:color w:val="auto"/>
                <w:szCs w:val="22"/>
              </w:rPr>
              <w:t>尘和废气对周围环境空气的影响降低到最小程度，建议采取以下防护措施：</w:t>
            </w:r>
          </w:p>
          <w:p>
            <w:pPr>
              <w:pStyle w:val="116"/>
              <w:ind w:firstLine="480" w:firstLineChars="200"/>
              <w:jc w:val="both"/>
              <w:rPr>
                <w:rFonts w:ascii="Times New Roman" w:eastAsia="宋体"/>
                <w:color w:val="auto"/>
                <w:szCs w:val="22"/>
              </w:rPr>
            </w:pPr>
            <w:r>
              <w:rPr>
                <w:rFonts w:ascii="Times New Roman" w:eastAsia="宋体"/>
                <w:color w:val="auto"/>
                <w:szCs w:val="22"/>
              </w:rPr>
              <w:t>（1）在施工作业现场设置围挡。容易产生粉尘的施工过程应洒水作业，使作业面保持一定的湿度；</w:t>
            </w:r>
          </w:p>
          <w:p>
            <w:pPr>
              <w:pStyle w:val="116"/>
              <w:ind w:firstLine="480" w:firstLineChars="200"/>
              <w:jc w:val="both"/>
              <w:rPr>
                <w:rFonts w:ascii="Times New Roman" w:eastAsia="宋体"/>
                <w:color w:val="auto"/>
                <w:szCs w:val="22"/>
              </w:rPr>
            </w:pPr>
            <w:r>
              <w:rPr>
                <w:rFonts w:ascii="Times New Roman" w:eastAsia="宋体"/>
                <w:color w:val="auto"/>
                <w:szCs w:val="22"/>
              </w:rPr>
              <w:t>（</w:t>
            </w:r>
            <w:r>
              <w:rPr>
                <w:rFonts w:hint="eastAsia" w:ascii="Times New Roman" w:eastAsia="宋体"/>
                <w:color w:val="auto"/>
                <w:szCs w:val="22"/>
                <w:lang w:val="en-US" w:eastAsia="zh-CN"/>
              </w:rPr>
              <w:t>2</w:t>
            </w:r>
            <w:r>
              <w:rPr>
                <w:rFonts w:ascii="Times New Roman" w:eastAsia="宋体"/>
                <w:color w:val="auto"/>
                <w:szCs w:val="22"/>
              </w:rPr>
              <w:t>）运输车辆加蓬盖，且出装、卸场地前应先冲洗干净，减少车轮、底盘等携带泥土散落路面；</w:t>
            </w:r>
          </w:p>
          <w:p>
            <w:pPr>
              <w:pStyle w:val="116"/>
              <w:ind w:firstLine="480" w:firstLineChars="200"/>
              <w:jc w:val="both"/>
              <w:rPr>
                <w:rFonts w:hint="eastAsia" w:ascii="Times New Roman" w:eastAsia="宋体"/>
                <w:color w:val="auto"/>
                <w:szCs w:val="22"/>
                <w:lang w:eastAsia="zh-CN"/>
              </w:rPr>
            </w:pPr>
            <w:r>
              <w:rPr>
                <w:rFonts w:ascii="Times New Roman" w:eastAsia="宋体"/>
                <w:color w:val="auto"/>
                <w:szCs w:val="22"/>
              </w:rPr>
              <w:t>（</w:t>
            </w:r>
            <w:r>
              <w:rPr>
                <w:rFonts w:hint="eastAsia" w:ascii="Times New Roman" w:eastAsia="宋体"/>
                <w:color w:val="auto"/>
                <w:szCs w:val="22"/>
                <w:lang w:val="en-US" w:eastAsia="zh-CN"/>
              </w:rPr>
              <w:t>3</w:t>
            </w:r>
            <w:r>
              <w:rPr>
                <w:rFonts w:ascii="Times New Roman" w:eastAsia="宋体"/>
                <w:color w:val="auto"/>
                <w:szCs w:val="22"/>
              </w:rPr>
              <w:t>）施工过程中，应严禁将废弃的建筑材料作为燃料燃烧</w:t>
            </w:r>
            <w:r>
              <w:rPr>
                <w:rFonts w:hint="eastAsia" w:ascii="Times New Roman" w:eastAsia="宋体"/>
                <w:color w:val="auto"/>
                <w:szCs w:val="22"/>
                <w:lang w:eastAsia="zh-CN"/>
              </w:rPr>
              <w:t>。</w:t>
            </w:r>
          </w:p>
          <w:p>
            <w:pPr>
              <w:pStyle w:val="116"/>
              <w:ind w:firstLine="480" w:firstLineChars="200"/>
              <w:jc w:val="both"/>
              <w:rPr>
                <w:rFonts w:ascii="Times New Roman" w:eastAsia="宋体"/>
                <w:color w:val="auto"/>
                <w:szCs w:val="22"/>
              </w:rPr>
            </w:pPr>
            <w:r>
              <w:rPr>
                <w:rFonts w:ascii="Times New Roman" w:eastAsia="宋体"/>
                <w:color w:val="auto"/>
                <w:szCs w:val="22"/>
              </w:rPr>
              <w:t>经上述治理后，施工期产生的扬对环境空气及敏感点的影响较小。</w:t>
            </w:r>
          </w:p>
          <w:p>
            <w:pPr>
              <w:pStyle w:val="116"/>
              <w:ind w:firstLine="480" w:firstLineChars="200"/>
              <w:jc w:val="both"/>
              <w:rPr>
                <w:rFonts w:ascii="Times New Roman" w:eastAsia="宋体"/>
                <w:color w:val="auto"/>
                <w:szCs w:val="22"/>
              </w:rPr>
            </w:pPr>
            <w:r>
              <w:rPr>
                <w:rFonts w:ascii="Times New Roman" w:eastAsia="宋体"/>
                <w:color w:val="auto"/>
                <w:szCs w:val="22"/>
              </w:rPr>
              <w:t>三、施工期噪声污染防治措施</w:t>
            </w:r>
          </w:p>
          <w:p>
            <w:pPr>
              <w:pStyle w:val="116"/>
              <w:ind w:firstLine="480" w:firstLineChars="200"/>
              <w:jc w:val="both"/>
              <w:rPr>
                <w:rFonts w:ascii="Times New Roman" w:eastAsia="宋体"/>
                <w:color w:val="auto"/>
                <w:szCs w:val="22"/>
              </w:rPr>
            </w:pPr>
            <w:r>
              <w:rPr>
                <w:rFonts w:ascii="Times New Roman" w:eastAsia="宋体"/>
                <w:color w:val="auto"/>
                <w:szCs w:val="22"/>
              </w:rPr>
              <w:t>施工噪声的防治主要是通过合理安排施工时间、距离防护、使用低噪声机械设备等措施来实施的。</w:t>
            </w:r>
          </w:p>
          <w:p>
            <w:pPr>
              <w:pStyle w:val="116"/>
              <w:ind w:firstLine="480" w:firstLineChars="200"/>
              <w:jc w:val="both"/>
              <w:rPr>
                <w:rFonts w:ascii="Times New Roman" w:eastAsia="宋体"/>
                <w:color w:val="auto"/>
                <w:szCs w:val="22"/>
              </w:rPr>
            </w:pPr>
            <w:r>
              <w:rPr>
                <w:rFonts w:ascii="Times New Roman" w:eastAsia="宋体"/>
                <w:color w:val="auto"/>
                <w:szCs w:val="22"/>
              </w:rPr>
              <w:t>（1）合理安排施工时间，可避免施工噪声扰民。</w:t>
            </w:r>
          </w:p>
          <w:p>
            <w:pPr>
              <w:pStyle w:val="116"/>
              <w:ind w:firstLine="480" w:firstLineChars="200"/>
              <w:jc w:val="both"/>
              <w:rPr>
                <w:rFonts w:ascii="Times New Roman" w:eastAsia="宋体"/>
                <w:color w:val="auto"/>
                <w:szCs w:val="22"/>
              </w:rPr>
            </w:pPr>
            <w:r>
              <w:rPr>
                <w:rFonts w:ascii="Times New Roman" w:eastAsia="宋体"/>
                <w:color w:val="auto"/>
                <w:szCs w:val="22"/>
              </w:rPr>
              <w:t>（2）选用低噪声机械、设备是从声源上对噪声进行控制，淘汰高噪声施工机械，推广使用低噪声的施工机械，产生噪声的施工设备加强维护和维修工作，对控制施工噪声的影响很有效。夜间22时至次日6时禁止施工。</w:t>
            </w:r>
          </w:p>
          <w:p>
            <w:pPr>
              <w:pStyle w:val="116"/>
              <w:ind w:firstLine="480" w:firstLineChars="200"/>
              <w:jc w:val="both"/>
              <w:rPr>
                <w:rFonts w:ascii="Times New Roman" w:eastAsia="宋体"/>
                <w:color w:val="auto"/>
                <w:szCs w:val="22"/>
              </w:rPr>
            </w:pPr>
            <w:r>
              <w:rPr>
                <w:rFonts w:ascii="Times New Roman" w:eastAsia="宋体"/>
                <w:color w:val="auto"/>
                <w:szCs w:val="22"/>
              </w:rPr>
              <w:t>经上述治理后，施工期产生的噪声满足</w:t>
            </w:r>
            <w:r>
              <w:rPr>
                <w:rFonts w:hint="default" w:ascii="Times New Roman" w:hAnsi="Times New Roman" w:eastAsia="宋体" w:cs="Times New Roman"/>
                <w:color w:val="auto"/>
                <w:sz w:val="24"/>
                <w:szCs w:val="24"/>
                <w:highlight w:val="none"/>
                <w:lang w:val="en-US" w:eastAsia="zh-CN"/>
              </w:rPr>
              <w:t>《建筑施工噪声排放标准》（GB12523-2025）</w:t>
            </w:r>
            <w:r>
              <w:rPr>
                <w:rFonts w:ascii="Times New Roman" w:eastAsia="宋体"/>
                <w:color w:val="auto"/>
                <w:szCs w:val="22"/>
              </w:rPr>
              <w:t>。</w:t>
            </w:r>
          </w:p>
          <w:p>
            <w:pPr>
              <w:pStyle w:val="116"/>
              <w:ind w:firstLine="480" w:firstLineChars="200"/>
              <w:jc w:val="both"/>
              <w:rPr>
                <w:rFonts w:ascii="Times New Roman" w:eastAsia="宋体"/>
                <w:color w:val="auto"/>
                <w:szCs w:val="22"/>
              </w:rPr>
            </w:pPr>
            <w:r>
              <w:rPr>
                <w:rFonts w:ascii="Times New Roman" w:eastAsia="宋体"/>
                <w:color w:val="auto"/>
                <w:szCs w:val="22"/>
              </w:rPr>
              <w:t>四、施工期固体废物防治措施</w:t>
            </w:r>
          </w:p>
          <w:p>
            <w:pPr>
              <w:pStyle w:val="116"/>
              <w:ind w:firstLine="480" w:firstLineChars="200"/>
              <w:jc w:val="both"/>
              <w:rPr>
                <w:rFonts w:ascii="Times New Roman" w:eastAsia="宋体"/>
                <w:color w:val="auto"/>
                <w:szCs w:val="22"/>
              </w:rPr>
            </w:pPr>
            <w:r>
              <w:rPr>
                <w:rFonts w:hint="eastAsia" w:ascii="Times New Roman" w:eastAsia="宋体"/>
                <w:color w:val="auto"/>
                <w:szCs w:val="22"/>
                <w:lang w:val="en-US" w:eastAsia="zh-CN"/>
              </w:rPr>
              <w:t>拆除设备外售综合利用。废弃包装材料外卖综合利用</w:t>
            </w:r>
            <w:r>
              <w:rPr>
                <w:rFonts w:ascii="Times New Roman" w:eastAsia="宋体"/>
                <w:color w:val="auto"/>
                <w:szCs w:val="22"/>
              </w:rPr>
              <w:t>。</w:t>
            </w:r>
            <w:r>
              <w:rPr>
                <w:rFonts w:hint="eastAsia" w:ascii="Times New Roman" w:eastAsia="宋体"/>
                <w:color w:val="auto"/>
                <w:szCs w:val="22"/>
                <w:lang w:val="en-US" w:eastAsia="zh-CN"/>
              </w:rPr>
              <w:t>生活垃圾委托市政部门处理。</w:t>
            </w:r>
            <w:r>
              <w:rPr>
                <w:rFonts w:ascii="Times New Roman" w:eastAsia="宋体"/>
                <w:color w:val="auto"/>
                <w:szCs w:val="22"/>
              </w:rPr>
              <w:t>经上述治理后，施工期产生的固体废物对周围环境的影响较小。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14" w:type="pct"/>
            <w:tcMar>
              <w:left w:w="28" w:type="dxa"/>
              <w:right w:w="28" w:type="dxa"/>
            </w:tcMar>
            <w:vAlign w:val="center"/>
          </w:tcPr>
          <w:p>
            <w:pPr>
              <w:adjustRightInd w:val="0"/>
              <w:snapToGrid w:val="0"/>
              <w:jc w:val="center"/>
              <w:rPr>
                <w:bCs/>
                <w:color w:val="auto"/>
                <w:sz w:val="24"/>
                <w:szCs w:val="21"/>
              </w:rPr>
            </w:pPr>
            <w:r>
              <w:rPr>
                <w:bCs/>
                <w:color w:val="auto"/>
                <w:sz w:val="24"/>
                <w:szCs w:val="21"/>
              </w:rPr>
              <w:t>运营</w:t>
            </w:r>
          </w:p>
          <w:p>
            <w:pPr>
              <w:adjustRightInd w:val="0"/>
              <w:snapToGrid w:val="0"/>
              <w:jc w:val="center"/>
              <w:rPr>
                <w:bCs/>
                <w:color w:val="auto"/>
                <w:sz w:val="24"/>
                <w:szCs w:val="21"/>
              </w:rPr>
            </w:pPr>
            <w:r>
              <w:rPr>
                <w:bCs/>
                <w:color w:val="auto"/>
                <w:sz w:val="24"/>
                <w:szCs w:val="21"/>
              </w:rPr>
              <w:t>期环</w:t>
            </w:r>
          </w:p>
          <w:p>
            <w:pPr>
              <w:adjustRightInd w:val="0"/>
              <w:snapToGrid w:val="0"/>
              <w:jc w:val="center"/>
              <w:rPr>
                <w:bCs/>
                <w:color w:val="auto"/>
                <w:sz w:val="24"/>
                <w:szCs w:val="21"/>
              </w:rPr>
            </w:pPr>
            <w:r>
              <w:rPr>
                <w:bCs/>
                <w:color w:val="auto"/>
                <w:sz w:val="24"/>
                <w:szCs w:val="21"/>
              </w:rPr>
              <w:t>境影</w:t>
            </w:r>
          </w:p>
          <w:p>
            <w:pPr>
              <w:adjustRightInd w:val="0"/>
              <w:snapToGrid w:val="0"/>
              <w:jc w:val="center"/>
              <w:rPr>
                <w:bCs/>
                <w:color w:val="auto"/>
                <w:sz w:val="24"/>
                <w:szCs w:val="21"/>
              </w:rPr>
            </w:pPr>
            <w:r>
              <w:rPr>
                <w:bCs/>
                <w:color w:val="auto"/>
                <w:sz w:val="24"/>
                <w:szCs w:val="21"/>
              </w:rPr>
              <w:t>响和</w:t>
            </w:r>
          </w:p>
          <w:p>
            <w:pPr>
              <w:adjustRightInd w:val="0"/>
              <w:snapToGrid w:val="0"/>
              <w:jc w:val="center"/>
              <w:rPr>
                <w:bCs/>
                <w:color w:val="auto"/>
                <w:sz w:val="24"/>
                <w:szCs w:val="21"/>
              </w:rPr>
            </w:pPr>
            <w:r>
              <w:rPr>
                <w:bCs/>
                <w:color w:val="auto"/>
                <w:sz w:val="24"/>
                <w:szCs w:val="21"/>
              </w:rPr>
              <w:t>保护</w:t>
            </w:r>
          </w:p>
          <w:p>
            <w:pPr>
              <w:adjustRightInd w:val="0"/>
              <w:snapToGrid w:val="0"/>
              <w:jc w:val="center"/>
              <w:rPr>
                <w:bCs/>
                <w:color w:val="auto"/>
                <w:sz w:val="24"/>
                <w:szCs w:val="21"/>
              </w:rPr>
            </w:pPr>
            <w:r>
              <w:rPr>
                <w:bCs/>
                <w:color w:val="auto"/>
                <w:sz w:val="24"/>
                <w:szCs w:val="21"/>
              </w:rPr>
              <w:t>措施</w:t>
            </w:r>
          </w:p>
        </w:tc>
        <w:tc>
          <w:tcPr>
            <w:tcW w:w="4485" w:type="pct"/>
            <w:vAlign w:val="center"/>
          </w:tcPr>
          <w:p>
            <w:pPr>
              <w:pStyle w:val="117"/>
              <w:numPr>
                <w:ilvl w:val="0"/>
                <w:numId w:val="1"/>
              </w:numPr>
              <w:spacing w:line="360" w:lineRule="auto"/>
              <w:rPr>
                <w:color w:val="auto"/>
                <w:szCs w:val="24"/>
              </w:rPr>
            </w:pPr>
            <w:r>
              <w:rPr>
                <w:color w:val="auto"/>
                <w:szCs w:val="24"/>
              </w:rPr>
              <w:t>大气污染源及污染物分析</w:t>
            </w:r>
          </w:p>
          <w:p>
            <w:pPr>
              <w:spacing w:line="360" w:lineRule="auto"/>
              <w:ind w:firstLine="480" w:firstLineChars="200"/>
              <w:contextualSpacing/>
              <w:jc w:val="left"/>
              <w:rPr>
                <w:bCs/>
                <w:color w:val="auto"/>
                <w:sz w:val="24"/>
              </w:rPr>
            </w:pPr>
            <w:r>
              <w:rPr>
                <w:color w:val="auto"/>
                <w:sz w:val="24"/>
              </w:rPr>
              <w:t>（1）</w:t>
            </w:r>
            <w:r>
              <w:rPr>
                <w:bCs/>
                <w:color w:val="auto"/>
                <w:sz w:val="24"/>
              </w:rPr>
              <w:t>碎石加热粉尘、筛分粉尘、热料仓落料粉尘、</w:t>
            </w:r>
            <w:r>
              <w:rPr>
                <w:rFonts w:hint="eastAsia"/>
                <w:bCs/>
                <w:color w:val="auto"/>
                <w:sz w:val="24"/>
              </w:rPr>
              <w:t>矿粉筒仓装卸粉尘、</w:t>
            </w:r>
            <w:r>
              <w:rPr>
                <w:bCs/>
                <w:color w:val="auto"/>
                <w:sz w:val="24"/>
              </w:rPr>
              <w:t>燃烧器烟气、</w:t>
            </w:r>
            <w:r>
              <w:rPr>
                <w:rFonts w:hint="eastAsia"/>
                <w:bCs/>
                <w:color w:val="auto"/>
                <w:sz w:val="24"/>
              </w:rPr>
              <w:t>冷料仓上料粉尘</w:t>
            </w:r>
          </w:p>
          <w:p>
            <w:pPr>
              <w:spacing w:line="360" w:lineRule="auto"/>
              <w:ind w:firstLine="480" w:firstLineChars="200"/>
              <w:contextualSpacing/>
              <w:jc w:val="left"/>
              <w:rPr>
                <w:color w:val="auto"/>
                <w:sz w:val="24"/>
              </w:rPr>
            </w:pPr>
            <w:r>
              <w:rPr>
                <w:rFonts w:hint="eastAsia"/>
                <w:color w:val="auto"/>
                <w:sz w:val="24"/>
              </w:rPr>
              <w:t>本项目碎石筛分、烘干废气、热料仓落料废气、矿粉筒仓装卸废气、冷料仓上料废气、燃烧器烟气经除尘系统（</w:t>
            </w:r>
            <w:r>
              <w:rPr>
                <w:rFonts w:hint="eastAsia"/>
                <w:color w:val="auto"/>
                <w:sz w:val="24"/>
                <w:lang w:val="en-US" w:eastAsia="zh-CN"/>
              </w:rPr>
              <w:t>重力</w:t>
            </w:r>
            <w:r>
              <w:rPr>
                <w:rFonts w:hint="eastAsia"/>
                <w:color w:val="auto"/>
                <w:sz w:val="24"/>
                <w:lang w:eastAsia="zh-CN"/>
              </w:rPr>
              <w:t>+布袋</w:t>
            </w:r>
            <w:r>
              <w:rPr>
                <w:rFonts w:hint="eastAsia"/>
                <w:color w:val="auto"/>
                <w:sz w:val="24"/>
              </w:rPr>
              <w:t>）处理后，由</w:t>
            </w:r>
            <w:r>
              <w:rPr>
                <w:rFonts w:hint="eastAsia"/>
                <w:color w:val="auto"/>
                <w:sz w:val="24"/>
                <w:lang w:val="en-US" w:eastAsia="zh-CN"/>
              </w:rPr>
              <w:t>15</w:t>
            </w:r>
            <w:r>
              <w:rPr>
                <w:rFonts w:hint="eastAsia"/>
                <w:color w:val="auto"/>
                <w:sz w:val="24"/>
                <w:lang w:eastAsia="zh-CN"/>
              </w:rPr>
              <w:t>m</w:t>
            </w:r>
            <w:r>
              <w:rPr>
                <w:rFonts w:hint="eastAsia"/>
                <w:color w:val="auto"/>
                <w:sz w:val="24"/>
              </w:rPr>
              <w:t>高除尘系统烟囱（DA001）排放，除尘效率为99%；</w:t>
            </w:r>
            <w:r>
              <w:rPr>
                <w:color w:val="auto"/>
                <w:sz w:val="24"/>
                <w:highlight w:val="none"/>
              </w:rPr>
              <w:t>颗粒物排放浓度</w:t>
            </w:r>
            <w:r>
              <w:rPr>
                <w:rFonts w:hint="eastAsia"/>
                <w:color w:val="auto"/>
                <w:sz w:val="24"/>
                <w:highlight w:val="none"/>
                <w:lang w:val="en-US" w:eastAsia="zh-CN"/>
              </w:rPr>
              <w:t>18.4</w:t>
            </w:r>
            <w:r>
              <w:rPr>
                <w:color w:val="auto"/>
                <w:sz w:val="24"/>
                <w:highlight w:val="none"/>
              </w:rPr>
              <w:t>mg/m</w:t>
            </w:r>
            <w:r>
              <w:rPr>
                <w:color w:val="auto"/>
                <w:sz w:val="24"/>
                <w:highlight w:val="none"/>
                <w:vertAlign w:val="superscript"/>
              </w:rPr>
              <w:t>3</w:t>
            </w:r>
            <w:r>
              <w:rPr>
                <w:color w:val="auto"/>
                <w:sz w:val="24"/>
                <w:highlight w:val="none"/>
              </w:rPr>
              <w:t>，排放</w:t>
            </w:r>
            <w:r>
              <w:rPr>
                <w:rFonts w:hint="eastAsia"/>
                <w:color w:val="auto"/>
                <w:sz w:val="24"/>
                <w:highlight w:val="none"/>
              </w:rPr>
              <w:t>速率</w:t>
            </w:r>
            <w:r>
              <w:rPr>
                <w:color w:val="auto"/>
                <w:sz w:val="24"/>
                <w:highlight w:val="none"/>
              </w:rPr>
              <w:t>为</w:t>
            </w:r>
            <w:r>
              <w:rPr>
                <w:rFonts w:hint="eastAsia"/>
                <w:color w:val="auto"/>
                <w:sz w:val="24"/>
                <w:highlight w:val="none"/>
                <w:lang w:val="en-US" w:eastAsia="zh-CN"/>
              </w:rPr>
              <w:t>0.502</w:t>
            </w:r>
            <w:r>
              <w:rPr>
                <w:rFonts w:hint="eastAsia"/>
                <w:color w:val="auto"/>
                <w:sz w:val="24"/>
                <w:highlight w:val="none"/>
              </w:rPr>
              <w:t>kg</w:t>
            </w:r>
            <w:r>
              <w:rPr>
                <w:color w:val="auto"/>
                <w:sz w:val="24"/>
                <w:highlight w:val="none"/>
              </w:rPr>
              <w:t>/</w:t>
            </w:r>
            <w:r>
              <w:rPr>
                <w:rFonts w:hint="eastAsia"/>
                <w:color w:val="auto"/>
                <w:sz w:val="24"/>
                <w:highlight w:val="none"/>
              </w:rPr>
              <w:t>h</w:t>
            </w:r>
            <w:r>
              <w:rPr>
                <w:color w:val="auto"/>
                <w:sz w:val="24"/>
                <w:highlight w:val="none"/>
              </w:rPr>
              <w:t>；SO</w:t>
            </w:r>
            <w:r>
              <w:rPr>
                <w:color w:val="auto"/>
                <w:sz w:val="24"/>
                <w:highlight w:val="none"/>
                <w:vertAlign w:val="subscript"/>
              </w:rPr>
              <w:t>2</w:t>
            </w:r>
            <w:r>
              <w:rPr>
                <w:color w:val="auto"/>
                <w:sz w:val="24"/>
                <w:highlight w:val="none"/>
              </w:rPr>
              <w:t>排放浓度</w:t>
            </w:r>
            <w:r>
              <w:rPr>
                <w:rFonts w:hint="eastAsia"/>
                <w:color w:val="auto"/>
                <w:sz w:val="24"/>
                <w:highlight w:val="none"/>
              </w:rPr>
              <w:t>0.</w:t>
            </w:r>
            <w:r>
              <w:rPr>
                <w:rFonts w:hint="eastAsia"/>
                <w:color w:val="auto"/>
                <w:sz w:val="24"/>
                <w:highlight w:val="none"/>
                <w:lang w:val="en-US" w:eastAsia="zh-CN"/>
              </w:rPr>
              <w:t>44</w:t>
            </w:r>
            <w:r>
              <w:rPr>
                <w:color w:val="auto"/>
                <w:sz w:val="24"/>
                <w:highlight w:val="none"/>
              </w:rPr>
              <w:t>mg/m</w:t>
            </w:r>
            <w:r>
              <w:rPr>
                <w:color w:val="auto"/>
                <w:sz w:val="24"/>
                <w:highlight w:val="none"/>
                <w:vertAlign w:val="superscript"/>
              </w:rPr>
              <w:t>3</w:t>
            </w:r>
            <w:r>
              <w:rPr>
                <w:color w:val="auto"/>
                <w:sz w:val="24"/>
                <w:highlight w:val="none"/>
              </w:rPr>
              <w:t>，排放</w:t>
            </w:r>
            <w:r>
              <w:rPr>
                <w:rFonts w:hint="eastAsia"/>
                <w:color w:val="auto"/>
                <w:sz w:val="24"/>
                <w:highlight w:val="none"/>
              </w:rPr>
              <w:t>速率</w:t>
            </w:r>
            <w:r>
              <w:rPr>
                <w:color w:val="auto"/>
                <w:sz w:val="24"/>
                <w:highlight w:val="none"/>
              </w:rPr>
              <w:t>为</w:t>
            </w:r>
            <w:r>
              <w:rPr>
                <w:rFonts w:hint="eastAsia"/>
                <w:color w:val="auto"/>
                <w:sz w:val="24"/>
                <w:highlight w:val="none"/>
              </w:rPr>
              <w:t>0.0</w:t>
            </w:r>
            <w:r>
              <w:rPr>
                <w:rFonts w:hint="eastAsia"/>
                <w:color w:val="auto"/>
                <w:sz w:val="24"/>
                <w:highlight w:val="none"/>
                <w:lang w:val="en-US" w:eastAsia="zh-CN"/>
              </w:rPr>
              <w:t>12</w:t>
            </w:r>
            <w:r>
              <w:rPr>
                <w:rFonts w:hint="eastAsia"/>
                <w:color w:val="auto"/>
                <w:sz w:val="24"/>
                <w:highlight w:val="none"/>
              </w:rPr>
              <w:t>kg</w:t>
            </w:r>
            <w:r>
              <w:rPr>
                <w:color w:val="auto"/>
                <w:sz w:val="24"/>
                <w:highlight w:val="none"/>
              </w:rPr>
              <w:t>/</w:t>
            </w:r>
            <w:r>
              <w:rPr>
                <w:rFonts w:hint="eastAsia"/>
                <w:color w:val="auto"/>
                <w:sz w:val="24"/>
                <w:highlight w:val="none"/>
              </w:rPr>
              <w:t>h</w:t>
            </w:r>
            <w:r>
              <w:rPr>
                <w:color w:val="auto"/>
                <w:sz w:val="24"/>
                <w:highlight w:val="none"/>
              </w:rPr>
              <w:t>；NO</w:t>
            </w:r>
            <w:r>
              <w:rPr>
                <w:color w:val="auto"/>
                <w:sz w:val="24"/>
                <w:highlight w:val="none"/>
                <w:vertAlign w:val="subscript"/>
              </w:rPr>
              <w:t>X</w:t>
            </w:r>
            <w:r>
              <w:rPr>
                <w:color w:val="auto"/>
                <w:sz w:val="24"/>
                <w:highlight w:val="none"/>
              </w:rPr>
              <w:t>排放浓度</w:t>
            </w:r>
            <w:r>
              <w:rPr>
                <w:rFonts w:hint="eastAsia"/>
                <w:color w:val="auto"/>
                <w:sz w:val="24"/>
                <w:highlight w:val="none"/>
                <w:lang w:val="en-US" w:eastAsia="zh-CN"/>
              </w:rPr>
              <w:t>13.9</w:t>
            </w:r>
            <w:r>
              <w:rPr>
                <w:color w:val="auto"/>
                <w:sz w:val="24"/>
                <w:highlight w:val="none"/>
              </w:rPr>
              <w:t>mg/m</w:t>
            </w:r>
            <w:r>
              <w:rPr>
                <w:color w:val="auto"/>
                <w:sz w:val="24"/>
                <w:highlight w:val="none"/>
                <w:vertAlign w:val="superscript"/>
              </w:rPr>
              <w:t>3</w:t>
            </w:r>
            <w:r>
              <w:rPr>
                <w:color w:val="auto"/>
                <w:sz w:val="24"/>
                <w:highlight w:val="none"/>
              </w:rPr>
              <w:t>，</w:t>
            </w:r>
            <w:r>
              <w:rPr>
                <w:color w:val="auto"/>
                <w:sz w:val="24"/>
                <w:szCs w:val="24"/>
                <w:highlight w:val="none"/>
              </w:rPr>
              <w:t>排放</w:t>
            </w:r>
            <w:r>
              <w:rPr>
                <w:rFonts w:hint="eastAsia"/>
                <w:color w:val="auto"/>
                <w:sz w:val="24"/>
                <w:szCs w:val="24"/>
                <w:highlight w:val="none"/>
              </w:rPr>
              <w:t>速率</w:t>
            </w:r>
            <w:r>
              <w:rPr>
                <w:color w:val="auto"/>
                <w:sz w:val="24"/>
                <w:szCs w:val="24"/>
                <w:highlight w:val="none"/>
              </w:rPr>
              <w:t>为</w:t>
            </w:r>
            <w:r>
              <w:rPr>
                <w:rFonts w:hint="eastAsia"/>
                <w:color w:val="auto"/>
                <w:sz w:val="24"/>
                <w:szCs w:val="24"/>
                <w:highlight w:val="none"/>
              </w:rPr>
              <w:t>0.379kg</w:t>
            </w:r>
            <w:r>
              <w:rPr>
                <w:color w:val="auto"/>
                <w:sz w:val="24"/>
                <w:szCs w:val="24"/>
                <w:highlight w:val="none"/>
              </w:rPr>
              <w:t>/</w:t>
            </w:r>
            <w:r>
              <w:rPr>
                <w:rFonts w:hint="eastAsia"/>
                <w:color w:val="auto"/>
                <w:sz w:val="24"/>
                <w:szCs w:val="24"/>
                <w:highlight w:val="none"/>
              </w:rPr>
              <w:t>h</w:t>
            </w:r>
            <w:r>
              <w:rPr>
                <w:color w:val="auto"/>
                <w:sz w:val="24"/>
              </w:rPr>
              <w:t>；满足《大气污染物综合排放标准》（GB16297-1996）表2中排放标准限值。</w:t>
            </w:r>
          </w:p>
          <w:p>
            <w:pPr>
              <w:spacing w:line="360" w:lineRule="auto"/>
              <w:ind w:firstLine="480" w:firstLineChars="200"/>
              <w:contextualSpacing/>
              <w:jc w:val="left"/>
              <w:rPr>
                <w:color w:val="auto"/>
                <w:sz w:val="24"/>
              </w:rPr>
            </w:pPr>
            <w:r>
              <w:rPr>
                <w:color w:val="auto"/>
                <w:sz w:val="24"/>
              </w:rPr>
              <w:t>（2）加热沥青导热油炉烟气</w:t>
            </w:r>
          </w:p>
          <w:p>
            <w:pPr>
              <w:spacing w:line="360" w:lineRule="auto"/>
              <w:ind w:firstLine="480" w:firstLineChars="200"/>
              <w:contextualSpacing/>
              <w:jc w:val="left"/>
              <w:rPr>
                <w:color w:val="auto"/>
                <w:sz w:val="24"/>
              </w:rPr>
            </w:pPr>
            <w:r>
              <w:rPr>
                <w:color w:val="auto"/>
                <w:sz w:val="24"/>
              </w:rPr>
              <w:t>本项目加热沥青热源由</w:t>
            </w:r>
            <w:r>
              <w:rPr>
                <w:rFonts w:hint="eastAsia"/>
                <w:color w:val="auto"/>
                <w:sz w:val="24"/>
              </w:rPr>
              <w:t>1台导热油炉</w:t>
            </w:r>
            <w:r>
              <w:rPr>
                <w:color w:val="auto"/>
                <w:sz w:val="24"/>
              </w:rPr>
              <w:t>提供，</w:t>
            </w:r>
            <w:r>
              <w:rPr>
                <w:rFonts w:hint="eastAsia"/>
                <w:color w:val="auto"/>
                <w:sz w:val="24"/>
              </w:rPr>
              <w:t>导热油炉</w:t>
            </w:r>
            <w:r>
              <w:rPr>
                <w:rFonts w:hint="eastAsia" w:eastAsiaTheme="minorEastAsia"/>
                <w:bCs/>
                <w:color w:val="auto"/>
                <w:sz w:val="24"/>
                <w:szCs w:val="24"/>
                <w:lang w:val="en-US" w:eastAsia="zh-CN"/>
              </w:rPr>
              <w:t>燃料</w:t>
            </w:r>
            <w:r>
              <w:rPr>
                <w:rFonts w:hint="eastAsia"/>
                <w:snapToGrid w:val="0"/>
                <w:color w:val="auto"/>
                <w:spacing w:val="0"/>
                <w:kern w:val="0"/>
                <w:sz w:val="24"/>
                <w:szCs w:val="24"/>
                <w:lang w:val="en-US" w:eastAsia="zh-CN"/>
              </w:rPr>
              <w:t>为低硫油、设置低氮燃烧器和布袋除尘器</w:t>
            </w:r>
            <w:r>
              <w:rPr>
                <w:rFonts w:hint="eastAsia"/>
                <w:snapToGrid w:val="0"/>
                <w:color w:val="auto"/>
                <w:spacing w:val="0"/>
                <w:kern w:val="0"/>
                <w:sz w:val="21"/>
                <w:szCs w:val="21"/>
                <w:lang w:val="en-US" w:eastAsia="zh-CN"/>
              </w:rPr>
              <w:t>，</w:t>
            </w:r>
            <w:r>
              <w:rPr>
                <w:rFonts w:hint="eastAsia"/>
                <w:color w:val="auto"/>
                <w:sz w:val="24"/>
              </w:rPr>
              <w:t>烟气由1根</w:t>
            </w:r>
            <w:r>
              <w:rPr>
                <w:rFonts w:hint="eastAsia"/>
                <w:color w:val="auto"/>
                <w:sz w:val="24"/>
                <w:lang w:val="en-US" w:eastAsia="zh-CN"/>
              </w:rPr>
              <w:t>15</w:t>
            </w:r>
            <w:r>
              <w:rPr>
                <w:rFonts w:hint="eastAsia"/>
                <w:color w:val="auto"/>
                <w:sz w:val="24"/>
                <w:lang w:eastAsia="zh-CN"/>
              </w:rPr>
              <w:t>m</w:t>
            </w:r>
            <w:r>
              <w:rPr>
                <w:rFonts w:hint="eastAsia"/>
                <w:color w:val="auto"/>
                <w:sz w:val="24"/>
              </w:rPr>
              <w:t>高排气筒（DA002）排放</w:t>
            </w:r>
            <w:r>
              <w:rPr>
                <w:color w:val="auto"/>
                <w:sz w:val="24"/>
              </w:rPr>
              <w:t>。颗粒物排放浓度</w:t>
            </w:r>
            <w:r>
              <w:rPr>
                <w:rFonts w:hint="eastAsia"/>
                <w:color w:val="auto"/>
                <w:sz w:val="24"/>
                <w:lang w:val="en-US" w:eastAsia="zh-CN"/>
              </w:rPr>
              <w:t>0.02</w:t>
            </w:r>
            <w:r>
              <w:rPr>
                <w:color w:val="auto"/>
                <w:sz w:val="24"/>
              </w:rPr>
              <w:t>mg/m</w:t>
            </w:r>
            <w:r>
              <w:rPr>
                <w:color w:val="auto"/>
                <w:sz w:val="24"/>
                <w:vertAlign w:val="superscript"/>
              </w:rPr>
              <w:t>3</w:t>
            </w:r>
            <w:r>
              <w:rPr>
                <w:color w:val="auto"/>
                <w:sz w:val="24"/>
              </w:rPr>
              <w:t>，SO</w:t>
            </w:r>
            <w:r>
              <w:rPr>
                <w:color w:val="auto"/>
                <w:sz w:val="24"/>
                <w:vertAlign w:val="subscript"/>
              </w:rPr>
              <w:t>2</w:t>
            </w:r>
            <w:r>
              <w:rPr>
                <w:color w:val="auto"/>
                <w:sz w:val="24"/>
              </w:rPr>
              <w:t>排放浓度</w:t>
            </w:r>
            <w:r>
              <w:rPr>
                <w:rFonts w:hint="eastAsia"/>
                <w:color w:val="auto"/>
                <w:sz w:val="24"/>
                <w:lang w:val="en-US" w:eastAsia="zh-CN"/>
              </w:rPr>
              <w:t>52.1</w:t>
            </w:r>
            <w:r>
              <w:rPr>
                <w:color w:val="auto"/>
                <w:sz w:val="24"/>
              </w:rPr>
              <w:t>mg/m</w:t>
            </w:r>
            <w:r>
              <w:rPr>
                <w:color w:val="auto"/>
                <w:sz w:val="24"/>
                <w:vertAlign w:val="superscript"/>
              </w:rPr>
              <w:t>3</w:t>
            </w:r>
            <w:r>
              <w:rPr>
                <w:color w:val="auto"/>
                <w:sz w:val="24"/>
              </w:rPr>
              <w:t>，NO</w:t>
            </w:r>
            <w:r>
              <w:rPr>
                <w:color w:val="auto"/>
                <w:sz w:val="24"/>
                <w:vertAlign w:val="subscript"/>
              </w:rPr>
              <w:t>X</w:t>
            </w:r>
            <w:r>
              <w:rPr>
                <w:color w:val="auto"/>
                <w:sz w:val="24"/>
              </w:rPr>
              <w:t>排放浓度</w:t>
            </w:r>
            <w:r>
              <w:rPr>
                <w:rFonts w:hint="eastAsia"/>
                <w:color w:val="auto"/>
                <w:sz w:val="24"/>
                <w:lang w:val="en-US" w:eastAsia="zh-CN"/>
              </w:rPr>
              <w:t>70</w:t>
            </w:r>
            <w:r>
              <w:rPr>
                <w:color w:val="auto"/>
                <w:sz w:val="24"/>
              </w:rPr>
              <w:t>mg/m</w:t>
            </w:r>
            <w:r>
              <w:rPr>
                <w:color w:val="auto"/>
                <w:sz w:val="24"/>
                <w:vertAlign w:val="superscript"/>
              </w:rPr>
              <w:t>3</w:t>
            </w:r>
            <w:r>
              <w:rPr>
                <w:color w:val="auto"/>
                <w:sz w:val="24"/>
              </w:rPr>
              <w:t>，</w:t>
            </w:r>
            <w:r>
              <w:rPr>
                <w:rFonts w:hint="eastAsia"/>
                <w:color w:val="auto"/>
                <w:sz w:val="24"/>
              </w:rPr>
              <w:t>烟气黑度＜1；</w:t>
            </w:r>
            <w:r>
              <w:rPr>
                <w:color w:val="auto"/>
                <w:sz w:val="24"/>
              </w:rPr>
              <w:t>颗粒物、二氧化硫、氮氧化物及烟气黑度均满足《锅炉大气污染物排放标准》（GB13271-2014）表</w:t>
            </w:r>
            <w:r>
              <w:rPr>
                <w:rFonts w:hint="eastAsia"/>
                <w:color w:val="auto"/>
                <w:sz w:val="24"/>
              </w:rPr>
              <w:t>2</w:t>
            </w:r>
            <w:r>
              <w:rPr>
                <w:color w:val="auto"/>
                <w:sz w:val="24"/>
              </w:rPr>
              <w:t>燃</w:t>
            </w:r>
            <w:r>
              <w:rPr>
                <w:rFonts w:hint="eastAsia"/>
                <w:color w:val="auto"/>
                <w:sz w:val="24"/>
                <w:lang w:val="en-US" w:eastAsia="zh-CN"/>
              </w:rPr>
              <w:t>油</w:t>
            </w:r>
            <w:r>
              <w:rPr>
                <w:color w:val="auto"/>
                <w:sz w:val="24"/>
              </w:rPr>
              <w:t>锅炉大气污染物排放限值标准。</w:t>
            </w:r>
          </w:p>
          <w:p>
            <w:pPr>
              <w:spacing w:line="360" w:lineRule="auto"/>
              <w:ind w:firstLine="480" w:firstLineChars="200"/>
              <w:contextualSpacing/>
              <w:jc w:val="left"/>
              <w:rPr>
                <w:bCs/>
                <w:color w:val="auto"/>
                <w:sz w:val="24"/>
              </w:rPr>
            </w:pPr>
            <w:r>
              <w:rPr>
                <w:color w:val="auto"/>
                <w:sz w:val="24"/>
              </w:rPr>
              <w:t>（3）</w:t>
            </w:r>
            <w:r>
              <w:rPr>
                <w:bCs/>
                <w:color w:val="auto"/>
                <w:sz w:val="24"/>
              </w:rPr>
              <w:t>沥青烟气</w:t>
            </w:r>
          </w:p>
          <w:p>
            <w:pPr>
              <w:pStyle w:val="33"/>
              <w:spacing w:after="0" w:line="360" w:lineRule="auto"/>
              <w:ind w:left="0" w:leftChars="0" w:firstLine="480"/>
              <w:rPr>
                <w:color w:val="auto"/>
                <w:sz w:val="24"/>
              </w:rPr>
            </w:pPr>
            <w:r>
              <w:rPr>
                <w:bCs/>
                <w:color w:val="auto"/>
                <w:sz w:val="24"/>
              </w:rPr>
              <w:t>本项目在沥青混凝土拌和、沥青储罐处会产生沥青烟气、苯并[a]芘和</w:t>
            </w:r>
            <w:r>
              <w:rPr>
                <w:color w:val="auto"/>
                <w:sz w:val="24"/>
              </w:rPr>
              <w:t>非甲烷总烃</w:t>
            </w:r>
            <w:r>
              <w:rPr>
                <w:bCs/>
                <w:color w:val="auto"/>
                <w:sz w:val="24"/>
              </w:rPr>
              <w:t>，本项目搅拌机出料口处进行</w:t>
            </w:r>
            <w:r>
              <w:rPr>
                <w:rFonts w:hint="eastAsia"/>
                <w:bCs/>
                <w:color w:val="auto"/>
                <w:sz w:val="24"/>
                <w:lang w:val="en-US" w:eastAsia="zh-CN"/>
              </w:rPr>
              <w:t>负压集气</w:t>
            </w:r>
            <w:r>
              <w:rPr>
                <w:bCs/>
                <w:color w:val="auto"/>
                <w:sz w:val="24"/>
              </w:rPr>
              <w:t>（收集效率9</w:t>
            </w:r>
            <w:r>
              <w:rPr>
                <w:rFonts w:hint="eastAsia"/>
                <w:bCs/>
                <w:color w:val="auto"/>
                <w:sz w:val="24"/>
                <w:lang w:val="en-US" w:eastAsia="zh-CN"/>
              </w:rPr>
              <w:t>0</w:t>
            </w:r>
            <w:r>
              <w:rPr>
                <w:bCs/>
                <w:color w:val="auto"/>
                <w:sz w:val="24"/>
              </w:rPr>
              <w:t>%），</w:t>
            </w:r>
            <w:r>
              <w:rPr>
                <w:color w:val="auto"/>
                <w:sz w:val="24"/>
              </w:rPr>
              <w:t>沥青在密闭储罐中储存过程中产生的烟气以及出料产生的烟气</w:t>
            </w:r>
            <w:r>
              <w:rPr>
                <w:bCs/>
                <w:color w:val="auto"/>
                <w:sz w:val="24"/>
              </w:rPr>
              <w:t>经</w:t>
            </w:r>
            <w:r>
              <w:rPr>
                <w:rFonts w:hint="eastAsia"/>
                <w:color w:val="auto"/>
                <w:sz w:val="24"/>
                <w:lang w:eastAsia="zh-CN"/>
              </w:rPr>
              <w:t>活性炭吸附</w:t>
            </w:r>
            <w:r>
              <w:rPr>
                <w:rFonts w:hint="eastAsia"/>
                <w:color w:val="auto"/>
                <w:sz w:val="24"/>
              </w:rPr>
              <w:t>（处理效率95%）处理后，经</w:t>
            </w:r>
            <w:r>
              <w:rPr>
                <w:rFonts w:hint="eastAsia"/>
                <w:color w:val="auto"/>
                <w:sz w:val="24"/>
                <w:lang w:val="en-US" w:eastAsia="zh-CN"/>
              </w:rPr>
              <w:t>15</w:t>
            </w:r>
            <w:r>
              <w:rPr>
                <w:rFonts w:hint="eastAsia"/>
                <w:color w:val="auto"/>
                <w:sz w:val="24"/>
                <w:lang w:eastAsia="zh-CN"/>
              </w:rPr>
              <w:t>m</w:t>
            </w:r>
            <w:r>
              <w:rPr>
                <w:rFonts w:hint="eastAsia"/>
                <w:color w:val="auto"/>
                <w:sz w:val="24"/>
              </w:rPr>
              <w:t>高排气筒（DA00</w:t>
            </w:r>
            <w:r>
              <w:rPr>
                <w:rFonts w:hint="eastAsia"/>
                <w:color w:val="auto"/>
                <w:sz w:val="24"/>
                <w:lang w:val="en-US" w:eastAsia="zh-CN"/>
              </w:rPr>
              <w:t>1</w:t>
            </w:r>
            <w:r>
              <w:rPr>
                <w:rFonts w:hint="eastAsia"/>
                <w:color w:val="auto"/>
                <w:sz w:val="24"/>
              </w:rPr>
              <w:t>）排放。</w:t>
            </w:r>
            <w:r>
              <w:rPr>
                <w:color w:val="auto"/>
                <w:sz w:val="24"/>
              </w:rPr>
              <w:t>风机风量为</w:t>
            </w:r>
            <w:r>
              <w:rPr>
                <w:rFonts w:hint="eastAsia"/>
                <w:color w:val="auto"/>
                <w:sz w:val="24"/>
              </w:rPr>
              <w:t>40000</w:t>
            </w:r>
            <w:r>
              <w:rPr>
                <w:color w:val="auto"/>
                <w:sz w:val="24"/>
              </w:rPr>
              <w:t>m</w:t>
            </w:r>
            <w:r>
              <w:rPr>
                <w:color w:val="auto"/>
                <w:sz w:val="24"/>
                <w:vertAlign w:val="superscript"/>
              </w:rPr>
              <w:t>3</w:t>
            </w:r>
            <w:r>
              <w:rPr>
                <w:color w:val="auto"/>
                <w:sz w:val="24"/>
              </w:rPr>
              <w:t>/h，有组织沥青烟</w:t>
            </w:r>
            <w:r>
              <w:rPr>
                <w:rFonts w:hint="eastAsia"/>
                <w:color w:val="auto"/>
                <w:sz w:val="24"/>
              </w:rPr>
              <w:t>排放</w:t>
            </w:r>
            <w:r>
              <w:rPr>
                <w:color w:val="auto"/>
                <w:sz w:val="24"/>
              </w:rPr>
              <w:t>速率为</w:t>
            </w:r>
            <w:r>
              <w:rPr>
                <w:rFonts w:hint="eastAsia"/>
                <w:color w:val="auto"/>
                <w:sz w:val="24"/>
              </w:rPr>
              <w:t>0.0</w:t>
            </w:r>
            <w:r>
              <w:rPr>
                <w:rFonts w:hint="eastAsia"/>
                <w:color w:val="auto"/>
                <w:sz w:val="24"/>
                <w:lang w:val="en-US" w:eastAsia="zh-CN"/>
              </w:rPr>
              <w:t>18</w:t>
            </w:r>
            <w:r>
              <w:rPr>
                <w:color w:val="auto"/>
                <w:sz w:val="24"/>
              </w:rPr>
              <w:t>kg/h，</w:t>
            </w:r>
            <w:r>
              <w:rPr>
                <w:rFonts w:hint="eastAsia"/>
                <w:color w:val="auto"/>
                <w:sz w:val="24"/>
              </w:rPr>
              <w:t>排放</w:t>
            </w:r>
            <w:r>
              <w:rPr>
                <w:color w:val="auto"/>
                <w:sz w:val="24"/>
              </w:rPr>
              <w:t>浓度为</w:t>
            </w:r>
            <w:r>
              <w:rPr>
                <w:rFonts w:hint="eastAsia"/>
                <w:color w:val="auto"/>
                <w:sz w:val="24"/>
                <w:lang w:val="en-US" w:eastAsia="zh-CN"/>
              </w:rPr>
              <w:t>0.45</w:t>
            </w:r>
            <w:r>
              <w:rPr>
                <w:color w:val="auto"/>
                <w:sz w:val="24"/>
              </w:rPr>
              <w:t>mg/m</w:t>
            </w:r>
            <w:r>
              <w:rPr>
                <w:color w:val="auto"/>
                <w:sz w:val="24"/>
                <w:vertAlign w:val="superscript"/>
              </w:rPr>
              <w:t>3</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芘排放速率为</w:t>
            </w:r>
            <w:r>
              <w:rPr>
                <w:rFonts w:hint="eastAsia"/>
                <w:color w:val="auto"/>
                <w:sz w:val="24"/>
                <w:lang w:val="en-US" w:eastAsia="zh-CN"/>
              </w:rPr>
              <w:t>3.75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7</w:t>
            </w:r>
            <w:r>
              <w:rPr>
                <w:color w:val="auto"/>
                <w:sz w:val="24"/>
              </w:rPr>
              <w:t>kg/h</w:t>
            </w:r>
            <w:r>
              <w:rPr>
                <w:rFonts w:hint="eastAsia" w:ascii="宋体" w:hAnsi="宋体" w:cs="宋体"/>
                <w:color w:val="auto"/>
                <w:sz w:val="24"/>
              </w:rPr>
              <w:t>，排放浓度为</w:t>
            </w:r>
            <w:r>
              <w:rPr>
                <w:rFonts w:hint="eastAsia"/>
                <w:color w:val="auto"/>
                <w:sz w:val="24"/>
              </w:rPr>
              <w:t>0.000</w:t>
            </w:r>
            <w:r>
              <w:rPr>
                <w:rFonts w:hint="eastAsia"/>
                <w:color w:val="auto"/>
                <w:sz w:val="24"/>
                <w:lang w:val="en-US" w:eastAsia="zh-CN"/>
              </w:rPr>
              <w:t>01</w:t>
            </w:r>
            <w:r>
              <w:rPr>
                <w:color w:val="auto"/>
                <w:sz w:val="24"/>
              </w:rPr>
              <w:t>mg/m</w:t>
            </w:r>
            <w:r>
              <w:rPr>
                <w:color w:val="auto"/>
                <w:sz w:val="24"/>
                <w:vertAlign w:val="superscript"/>
              </w:rPr>
              <w:t>3</w:t>
            </w:r>
            <w:r>
              <w:rPr>
                <w:color w:val="auto"/>
                <w:sz w:val="24"/>
              </w:rPr>
              <w:t>；非甲烷总烃</w:t>
            </w:r>
            <w:r>
              <w:rPr>
                <w:rFonts w:hint="eastAsia" w:ascii="宋体" w:hAnsi="宋体" w:cs="宋体"/>
                <w:color w:val="auto"/>
                <w:sz w:val="24"/>
              </w:rPr>
              <w:t>排放速率为</w:t>
            </w:r>
            <w:r>
              <w:rPr>
                <w:rFonts w:hint="eastAsia"/>
                <w:color w:val="auto"/>
                <w:sz w:val="24"/>
              </w:rPr>
              <w:t>0.00</w:t>
            </w:r>
            <w:r>
              <w:rPr>
                <w:rFonts w:hint="eastAsia"/>
                <w:color w:val="auto"/>
                <w:sz w:val="24"/>
                <w:lang w:val="en-US" w:eastAsia="zh-CN"/>
              </w:rPr>
              <w:t>1</w:t>
            </w:r>
            <w:r>
              <w:rPr>
                <w:color w:val="auto"/>
                <w:sz w:val="24"/>
              </w:rPr>
              <w:t>kg/h</w:t>
            </w:r>
            <w:r>
              <w:rPr>
                <w:rFonts w:hint="eastAsia" w:ascii="宋体" w:hAnsi="宋体" w:cs="宋体"/>
                <w:color w:val="auto"/>
                <w:sz w:val="24"/>
              </w:rPr>
              <w:t>，排放浓度为</w:t>
            </w:r>
            <w:r>
              <w:rPr>
                <w:rFonts w:hint="eastAsia"/>
                <w:color w:val="auto"/>
                <w:sz w:val="24"/>
              </w:rPr>
              <w:t>0.0</w:t>
            </w:r>
            <w:r>
              <w:rPr>
                <w:rFonts w:hint="eastAsia"/>
                <w:color w:val="auto"/>
                <w:sz w:val="24"/>
                <w:lang w:val="en-US" w:eastAsia="zh-CN"/>
              </w:rPr>
              <w:t>25</w:t>
            </w:r>
            <w:r>
              <w:rPr>
                <w:color w:val="auto"/>
                <w:sz w:val="24"/>
              </w:rPr>
              <w:t>mg/m</w:t>
            </w:r>
            <w:r>
              <w:rPr>
                <w:color w:val="auto"/>
                <w:sz w:val="24"/>
                <w:vertAlign w:val="superscript"/>
              </w:rPr>
              <w:t>3</w:t>
            </w:r>
            <w:r>
              <w:rPr>
                <w:rFonts w:hint="eastAsia"/>
                <w:color w:val="auto"/>
                <w:sz w:val="24"/>
                <w:lang w:val="en-US" w:eastAsia="zh-CN"/>
              </w:rPr>
              <w:t>,</w:t>
            </w:r>
            <w:r>
              <w:rPr>
                <w:color w:val="auto"/>
                <w:sz w:val="24"/>
              </w:rPr>
              <w:t>满足《大气污染物综合排放标准》（GB16297-1996）表2中排放标准限值。</w:t>
            </w:r>
          </w:p>
          <w:p>
            <w:pPr>
              <w:pStyle w:val="33"/>
              <w:spacing w:after="0" w:line="360" w:lineRule="auto"/>
              <w:ind w:left="0" w:leftChars="0" w:firstLine="480"/>
              <w:rPr>
                <w:color w:val="auto"/>
                <w:sz w:val="24"/>
              </w:rPr>
            </w:pPr>
            <w:r>
              <w:rPr>
                <w:color w:val="auto"/>
                <w:sz w:val="24"/>
              </w:rPr>
              <w:t>（</w:t>
            </w:r>
            <w:r>
              <w:rPr>
                <w:rFonts w:hint="eastAsia"/>
                <w:color w:val="auto"/>
                <w:sz w:val="24"/>
              </w:rPr>
              <w:t>4</w:t>
            </w:r>
            <w:r>
              <w:rPr>
                <w:color w:val="auto"/>
                <w:sz w:val="24"/>
              </w:rPr>
              <w:t>）无组织</w:t>
            </w:r>
            <w:r>
              <w:rPr>
                <w:rFonts w:hint="eastAsia"/>
                <w:color w:val="auto"/>
                <w:sz w:val="24"/>
              </w:rPr>
              <w:t>废气</w:t>
            </w:r>
          </w:p>
          <w:p>
            <w:pPr>
              <w:pStyle w:val="33"/>
              <w:spacing w:after="0" w:line="360" w:lineRule="auto"/>
              <w:ind w:left="0" w:leftChars="0" w:firstLine="480"/>
              <w:rPr>
                <w:rFonts w:hint="default"/>
                <w:color w:val="auto"/>
                <w:lang w:val="en-US" w:eastAsia="zh-CN"/>
              </w:rPr>
            </w:pPr>
            <w:r>
              <w:rPr>
                <w:color w:val="auto"/>
                <w:sz w:val="24"/>
              </w:rPr>
              <w:t>全厂</w:t>
            </w:r>
            <w:r>
              <w:rPr>
                <w:color w:val="auto"/>
                <w:sz w:val="24"/>
                <w:szCs w:val="24"/>
              </w:rPr>
              <w:t>无</w:t>
            </w:r>
            <w:r>
              <w:rPr>
                <w:rFonts w:hint="eastAsia"/>
                <w:color w:val="auto"/>
                <w:sz w:val="24"/>
                <w:szCs w:val="24"/>
              </w:rPr>
              <w:t>组织</w:t>
            </w:r>
            <w:r>
              <w:rPr>
                <w:rFonts w:ascii="Times New Roman" w:hAnsi="Times New Roman" w:eastAsia="宋体" w:cs="Times New Roman"/>
                <w:color w:val="auto"/>
                <w:sz w:val="24"/>
              </w:rPr>
              <w:t>粉尘</w:t>
            </w:r>
            <w:r>
              <w:rPr>
                <w:color w:val="auto"/>
                <w:sz w:val="24"/>
                <w:szCs w:val="24"/>
              </w:rPr>
              <w:t>排放量为</w:t>
            </w:r>
            <w:r>
              <w:rPr>
                <w:rFonts w:hint="eastAsia"/>
                <w:color w:val="auto"/>
                <w:sz w:val="24"/>
                <w:szCs w:val="24"/>
              </w:rPr>
              <w:t>0.1072</w:t>
            </w:r>
            <w:r>
              <w:rPr>
                <w:rFonts w:hint="eastAsia"/>
                <w:color w:val="auto"/>
                <w:sz w:val="24"/>
                <w:szCs w:val="24"/>
                <w:lang w:val="en-US" w:eastAsia="zh-CN"/>
              </w:rPr>
              <w:t>t/a</w:t>
            </w:r>
            <w:r>
              <w:rPr>
                <w:color w:val="auto"/>
                <w:sz w:val="24"/>
                <w:szCs w:val="24"/>
              </w:rPr>
              <w:t>。</w:t>
            </w:r>
            <w:r>
              <w:rPr>
                <w:bCs/>
                <w:color w:val="auto"/>
                <w:sz w:val="24"/>
                <w:szCs w:val="24"/>
              </w:rPr>
              <w:t>经预测，</w:t>
            </w:r>
            <w:r>
              <w:rPr>
                <w:rFonts w:hint="eastAsia" w:ascii="Times New Roman" w:hAnsi="Times New Roman" w:cs="Times New Roman"/>
                <w:color w:val="auto"/>
                <w:sz w:val="24"/>
                <w:szCs w:val="24"/>
                <w:lang w:val="en-US" w:eastAsia="zh-CN"/>
              </w:rPr>
              <w:t>沥青预处理系统、拌合系统</w:t>
            </w:r>
            <w:r>
              <w:rPr>
                <w:rFonts w:hint="default" w:ascii="Times New Roman" w:hAnsi="Times New Roman" w:cs="Times New Roman"/>
                <w:color w:val="auto"/>
                <w:sz w:val="24"/>
                <w:szCs w:val="24"/>
                <w:lang w:val="en-US" w:eastAsia="zh-CN"/>
              </w:rPr>
              <w:t>无组织沥青烟</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val="en-US" w:eastAsia="zh-CN"/>
              </w:rPr>
              <w:t>量</w:t>
            </w:r>
            <w:r>
              <w:rPr>
                <w:rFonts w:hint="default" w:ascii="Times New Roman" w:hAnsi="Times New Roman" w:cs="Times New Roman"/>
                <w:color w:val="auto"/>
                <w:sz w:val="24"/>
                <w:szCs w:val="24"/>
              </w:rPr>
              <w:t>为0.0</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rPr>
              <w:t>t/a，苯并[a]芘排放量为0.00</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rPr>
              <w:t>t/a，非甲烷总烃排放量为0.0</w:t>
            </w:r>
            <w:r>
              <w:rPr>
                <w:rFonts w:hint="default" w:ascii="Times New Roman" w:hAnsi="Times New Roman" w:cs="Times New Roman"/>
                <w:color w:val="auto"/>
                <w:sz w:val="24"/>
                <w:szCs w:val="24"/>
                <w:lang w:val="en-US" w:eastAsia="zh-CN"/>
              </w:rPr>
              <w:t>027</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本项目柴油储罐</w:t>
            </w:r>
            <w:r>
              <w:rPr>
                <w:rFonts w:hint="eastAsia" w:cs="Times New Roman"/>
                <w:color w:val="auto"/>
                <w:sz w:val="24"/>
                <w:szCs w:val="24"/>
                <w:highlight w:val="none"/>
                <w:lang w:val="en-US" w:eastAsia="zh-CN"/>
              </w:rPr>
              <w:t>无组织</w:t>
            </w:r>
            <w:r>
              <w:rPr>
                <w:rFonts w:hint="default" w:ascii="Times New Roman" w:hAnsi="Times New Roman" w:cs="Times New Roman"/>
                <w:color w:val="auto"/>
                <w:sz w:val="24"/>
                <w:szCs w:val="24"/>
                <w:highlight w:val="none"/>
                <w:lang w:val="en-US" w:eastAsia="zh-CN"/>
              </w:rPr>
              <w:t>非甲烷总烃量为0.1</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bCs/>
                <w:color w:val="auto"/>
                <w:sz w:val="24"/>
                <w:szCs w:val="24"/>
              </w:rPr>
              <w:t>厂界无组织颗粒物</w:t>
            </w:r>
            <w:r>
              <w:rPr>
                <w:rFonts w:hint="eastAsia"/>
                <w:bCs/>
                <w:color w:val="auto"/>
                <w:sz w:val="24"/>
                <w:szCs w:val="24"/>
                <w:lang w:eastAsia="zh-CN"/>
              </w:rPr>
              <w:t>、</w:t>
            </w:r>
            <w:r>
              <w:rPr>
                <w:rFonts w:hint="default" w:ascii="Times New Roman" w:hAnsi="Times New Roman" w:cs="Times New Roman"/>
                <w:color w:val="auto"/>
                <w:sz w:val="24"/>
                <w:szCs w:val="24"/>
                <w:lang w:val="en-US" w:eastAsia="zh-CN"/>
              </w:rPr>
              <w:t>沥青烟</w:t>
            </w:r>
            <w:r>
              <w:rPr>
                <w:rFonts w:hint="eastAsia" w:cs="Times New Roman"/>
                <w:color w:val="auto"/>
                <w:sz w:val="24"/>
                <w:szCs w:val="24"/>
                <w:lang w:val="en-US" w:eastAsia="zh-CN"/>
              </w:rPr>
              <w:t>、</w:t>
            </w:r>
            <w:r>
              <w:rPr>
                <w:rFonts w:hint="default" w:ascii="Times New Roman" w:hAnsi="Times New Roman" w:cs="Times New Roman"/>
                <w:color w:val="auto"/>
                <w:sz w:val="24"/>
                <w:szCs w:val="24"/>
              </w:rPr>
              <w:t>苯并[a]芘</w:t>
            </w:r>
            <w:r>
              <w:rPr>
                <w:rFonts w:hint="eastAsia" w:cs="Times New Roman"/>
                <w:color w:val="auto"/>
                <w:sz w:val="24"/>
                <w:szCs w:val="24"/>
                <w:lang w:eastAsia="zh-CN"/>
              </w:rPr>
              <w:t>、</w:t>
            </w:r>
            <w:r>
              <w:rPr>
                <w:rFonts w:hint="default" w:ascii="Times New Roman" w:hAnsi="Times New Roman" w:cs="Times New Roman"/>
                <w:color w:val="auto"/>
                <w:sz w:val="24"/>
                <w:szCs w:val="24"/>
              </w:rPr>
              <w:t>非甲烷总烃</w:t>
            </w:r>
            <w:r>
              <w:rPr>
                <w:bCs/>
                <w:color w:val="auto"/>
                <w:sz w:val="24"/>
                <w:szCs w:val="24"/>
              </w:rPr>
              <w:t>排放监控值满足《大气污染物综合排放标准》（GB16297-1996）表</w:t>
            </w:r>
            <w:r>
              <w:rPr>
                <w:rFonts w:hint="eastAsia"/>
                <w:bCs/>
                <w:color w:val="auto"/>
                <w:sz w:val="24"/>
                <w:szCs w:val="24"/>
              </w:rPr>
              <w:t>2</w:t>
            </w:r>
            <w:r>
              <w:rPr>
                <w:bCs/>
                <w:color w:val="auto"/>
                <w:sz w:val="24"/>
                <w:szCs w:val="24"/>
              </w:rPr>
              <w:t>无组织排放监控浓度限值要求。</w:t>
            </w:r>
            <w:r>
              <w:rPr>
                <w:rFonts w:hint="eastAsia"/>
                <w:color w:val="auto"/>
                <w:sz w:val="24"/>
                <w:szCs w:val="24"/>
              </w:rPr>
              <w:t>厂区</w:t>
            </w:r>
            <w:r>
              <w:rPr>
                <w:color w:val="auto"/>
                <w:sz w:val="24"/>
                <w:szCs w:val="24"/>
              </w:rPr>
              <w:t>内无组织非甲烷总烃</w:t>
            </w:r>
            <w:r>
              <w:rPr>
                <w:rFonts w:hint="eastAsia"/>
                <w:color w:val="auto"/>
                <w:sz w:val="24"/>
                <w:szCs w:val="24"/>
                <w:lang w:val="en-US" w:eastAsia="zh-CN"/>
              </w:rPr>
              <w:t>满足</w:t>
            </w:r>
            <w:r>
              <w:rPr>
                <w:color w:val="auto"/>
                <w:sz w:val="24"/>
                <w:szCs w:val="24"/>
              </w:rPr>
              <w:t>《挥发性有机物无组织排放标准》（GB</w:t>
            </w:r>
            <w:r>
              <w:rPr>
                <w:rFonts w:hint="eastAsia"/>
                <w:color w:val="auto"/>
                <w:sz w:val="24"/>
                <w:szCs w:val="24"/>
              </w:rPr>
              <w:t>37822</w:t>
            </w:r>
            <w:r>
              <w:rPr>
                <w:color w:val="auto"/>
                <w:sz w:val="24"/>
                <w:szCs w:val="24"/>
              </w:rPr>
              <w:t>-20</w:t>
            </w:r>
            <w:r>
              <w:rPr>
                <w:rFonts w:hint="eastAsia"/>
                <w:color w:val="auto"/>
                <w:sz w:val="24"/>
                <w:szCs w:val="24"/>
              </w:rPr>
              <w:t>19</w:t>
            </w:r>
            <w:r>
              <w:rPr>
                <w:color w:val="auto"/>
                <w:sz w:val="24"/>
                <w:szCs w:val="24"/>
              </w:rPr>
              <w:t>）中表</w:t>
            </w:r>
            <w:r>
              <w:rPr>
                <w:rFonts w:hint="eastAsia"/>
                <w:color w:val="auto"/>
                <w:sz w:val="24"/>
                <w:szCs w:val="24"/>
              </w:rPr>
              <w:t>A.1无组织排放限值</w:t>
            </w:r>
            <w:r>
              <w:rPr>
                <w:rFonts w:hint="eastAsia"/>
                <w:color w:val="auto"/>
                <w:sz w:val="24"/>
                <w:szCs w:val="24"/>
                <w:lang w:eastAsia="zh-CN"/>
              </w:rPr>
              <w:t>。</w:t>
            </w:r>
          </w:p>
          <w:p>
            <w:pPr>
              <w:pStyle w:val="117"/>
              <w:bidi w:val="0"/>
              <w:rPr>
                <w:rFonts w:ascii="Times New Roman" w:hAnsi="Times New Roman" w:eastAsia="宋体" w:cs="Times New Roman"/>
                <w:bCs/>
                <w:color w:val="auto"/>
                <w:sz w:val="24"/>
              </w:rPr>
            </w:pPr>
            <w:r>
              <w:rPr>
                <w:rFonts w:hint="default" w:ascii="Times New Roman" w:hAnsi="Times New Roman" w:eastAsia="宋体" w:cs="Times New Roman"/>
                <w:bCs/>
                <w:color w:val="auto"/>
                <w:sz w:val="24"/>
              </w:rPr>
              <w:t>源强计算过程</w:t>
            </w:r>
            <w:r>
              <w:rPr>
                <w:rFonts w:hint="eastAsia" w:ascii="Times New Roman" w:hAnsi="Times New Roman" w:eastAsia="宋体" w:cs="Times New Roman"/>
                <w:bCs/>
                <w:color w:val="auto"/>
                <w:sz w:val="24"/>
                <w:lang w:val="en-US" w:eastAsia="zh-CN"/>
              </w:rPr>
              <w:t>及影响分析等内容</w:t>
            </w:r>
            <w:r>
              <w:rPr>
                <w:rFonts w:hint="default" w:ascii="Times New Roman" w:hAnsi="Times New Roman" w:eastAsia="宋体" w:cs="Times New Roman"/>
                <w:bCs/>
                <w:color w:val="auto"/>
                <w:sz w:val="24"/>
              </w:rPr>
              <w:t>见大气专项评价。</w:t>
            </w:r>
          </w:p>
          <w:p>
            <w:pPr>
              <w:pStyle w:val="117"/>
              <w:numPr>
                <w:ilvl w:val="0"/>
                <w:numId w:val="1"/>
              </w:numPr>
              <w:spacing w:line="360" w:lineRule="auto"/>
              <w:rPr>
                <w:color w:val="auto"/>
                <w:sz w:val="24"/>
              </w:rPr>
            </w:pPr>
            <w:r>
              <w:rPr>
                <w:rFonts w:ascii="Times New Roman" w:hAnsi="Times New Roman" w:eastAsia="宋体" w:cs="Times New Roman"/>
                <w:color w:val="auto"/>
                <w:szCs w:val="24"/>
              </w:rPr>
              <w:t>废水</w:t>
            </w:r>
          </w:p>
          <w:p>
            <w:pPr>
              <w:adjustRightInd w:val="0"/>
              <w:snapToGrid w:val="0"/>
              <w:spacing w:line="360" w:lineRule="auto"/>
              <w:ind w:firstLine="480" w:firstLineChars="200"/>
              <w:rPr>
                <w:rFonts w:hint="default" w:eastAsiaTheme="majorEastAsia"/>
                <w:color w:val="auto"/>
                <w:kern w:val="0"/>
                <w:sz w:val="24"/>
                <w:szCs w:val="24"/>
                <w:lang w:val="en-US" w:eastAsia="zh-CN"/>
              </w:rPr>
            </w:pPr>
            <w:r>
              <w:rPr>
                <w:rFonts w:hint="eastAsia" w:eastAsiaTheme="majorEastAsia"/>
                <w:color w:val="auto"/>
                <w:kern w:val="0"/>
                <w:sz w:val="24"/>
                <w:szCs w:val="24"/>
                <w:lang w:val="en-US" w:eastAsia="zh-CN"/>
              </w:rPr>
              <w:t>1、</w:t>
            </w:r>
            <w:r>
              <w:rPr>
                <w:b/>
                <w:bCs/>
                <w:color w:val="auto"/>
                <w:sz w:val="24"/>
              </w:rPr>
              <w:t>废水产排及治理措施情况</w:t>
            </w:r>
          </w:p>
          <w:p>
            <w:pPr>
              <w:adjustRightInd w:val="0"/>
              <w:snapToGrid w:val="0"/>
              <w:spacing w:line="360" w:lineRule="auto"/>
              <w:ind w:firstLine="480" w:firstLineChars="200"/>
              <w:rPr>
                <w:rFonts w:hint="eastAsia"/>
                <w:bCs/>
                <w:color w:val="auto"/>
                <w:sz w:val="24"/>
                <w:szCs w:val="24"/>
              </w:rPr>
            </w:pPr>
            <w:r>
              <w:rPr>
                <w:rFonts w:hint="eastAsia" w:eastAsiaTheme="majorEastAsia"/>
                <w:color w:val="auto"/>
                <w:kern w:val="0"/>
                <w:sz w:val="24"/>
                <w:szCs w:val="24"/>
                <w:lang w:val="en-US" w:eastAsia="zh-CN"/>
              </w:rPr>
              <w:t>本次改扩建不新增生活污水排放量</w:t>
            </w:r>
            <w:r>
              <w:rPr>
                <w:rFonts w:hint="eastAsia" w:eastAsiaTheme="majorEastAsia"/>
                <w:color w:val="auto"/>
                <w:kern w:val="0"/>
                <w:sz w:val="24"/>
                <w:szCs w:val="24"/>
              </w:rPr>
              <w:t>。</w:t>
            </w:r>
          </w:p>
          <w:p>
            <w:pPr>
              <w:adjustRightInd w:val="0"/>
              <w:snapToGrid w:val="0"/>
              <w:spacing w:line="360" w:lineRule="auto"/>
              <w:ind w:firstLine="480" w:firstLineChars="200"/>
              <w:rPr>
                <w:bCs/>
                <w:color w:val="auto"/>
                <w:sz w:val="24"/>
              </w:rPr>
            </w:pPr>
            <w:r>
              <w:rPr>
                <w:rFonts w:hint="eastAsia"/>
                <w:bCs/>
                <w:color w:val="auto"/>
                <w:sz w:val="24"/>
              </w:rPr>
              <w:t>设备</w:t>
            </w:r>
            <w:r>
              <w:rPr>
                <w:rFonts w:hint="eastAsia"/>
                <w:bCs/>
                <w:color w:val="auto"/>
                <w:sz w:val="24"/>
                <w:lang w:eastAsia="zh-CN"/>
              </w:rPr>
              <w:t>、</w:t>
            </w:r>
            <w:r>
              <w:rPr>
                <w:rFonts w:hint="eastAsia"/>
                <w:bCs/>
                <w:color w:val="auto"/>
                <w:sz w:val="24"/>
              </w:rPr>
              <w:t>车辆清洗废水：则废水排放量为</w:t>
            </w:r>
            <w:r>
              <w:rPr>
                <w:rFonts w:hint="eastAsia"/>
                <w:b w:val="0"/>
                <w:bCs/>
                <w:color w:val="auto"/>
                <w:sz w:val="24"/>
                <w:lang w:val="en-US" w:eastAsia="zh-CN"/>
              </w:rPr>
              <w:t>240</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r>
              <w:rPr>
                <w:rFonts w:hint="eastAsia"/>
                <w:b w:val="0"/>
                <w:bCs/>
                <w:color w:val="auto"/>
                <w:sz w:val="24"/>
                <w:lang w:val="en-US" w:eastAsia="zh-CN"/>
              </w:rPr>
              <w:t>2</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/d</w:t>
            </w:r>
            <w:r>
              <w:rPr>
                <w:rFonts w:hint="eastAsia"/>
                <w:bCs/>
                <w:color w:val="auto"/>
                <w:sz w:val="24"/>
              </w:rPr>
              <w:t>，其主要水质污染因子为SS和石油类，SS浓度约为1000mg/L，石油类浓度约为10mg/L。</w:t>
            </w:r>
          </w:p>
          <w:p>
            <w:pPr>
              <w:adjustRightInd w:val="0"/>
              <w:snapToGrid w:val="0"/>
              <w:spacing w:line="360" w:lineRule="auto"/>
              <w:ind w:firstLine="480" w:firstLineChars="200"/>
              <w:rPr>
                <w:bCs/>
                <w:color w:val="auto"/>
                <w:sz w:val="24"/>
              </w:rPr>
            </w:pPr>
            <w:r>
              <w:rPr>
                <w:rFonts w:hint="eastAsia"/>
                <w:bCs/>
                <w:color w:val="auto"/>
                <w:sz w:val="24"/>
              </w:rPr>
              <w:t>本项目建设</w:t>
            </w:r>
            <w:r>
              <w:rPr>
                <w:rFonts w:hint="eastAsia"/>
                <w:bCs/>
                <w:color w:val="auto"/>
                <w:sz w:val="24"/>
                <w:lang w:val="en-US" w:eastAsia="zh-CN"/>
              </w:rPr>
              <w:t>100m</w:t>
            </w:r>
            <w:r>
              <w:rPr>
                <w:rFonts w:hint="eastAsia"/>
                <w:bCs/>
                <w:color w:val="auto"/>
                <w:sz w:val="24"/>
                <w:vertAlign w:val="superscript"/>
                <w:lang w:val="en-US" w:eastAsia="zh-CN"/>
              </w:rPr>
              <w:t>3</w:t>
            </w:r>
            <w:r>
              <w:rPr>
                <w:rFonts w:hint="eastAsia"/>
                <w:bCs/>
                <w:color w:val="auto"/>
                <w:sz w:val="24"/>
              </w:rPr>
              <w:t>隔油沉淀池</w:t>
            </w:r>
            <w:r>
              <w:rPr>
                <w:rFonts w:hint="eastAsia"/>
                <w:bCs/>
                <w:color w:val="auto"/>
                <w:sz w:val="24"/>
                <w:lang w:val="en-US" w:eastAsia="zh-CN"/>
              </w:rPr>
              <w:t>1座</w:t>
            </w:r>
            <w:r>
              <w:rPr>
                <w:rFonts w:hint="eastAsia"/>
                <w:bCs/>
                <w:color w:val="auto"/>
                <w:sz w:val="24"/>
              </w:rPr>
              <w:t>，用于处理</w:t>
            </w:r>
            <w:r>
              <w:rPr>
                <w:rFonts w:hint="eastAsia"/>
                <w:bCs/>
                <w:color w:val="auto"/>
                <w:sz w:val="24"/>
                <w:lang w:val="en-US" w:eastAsia="zh-CN"/>
              </w:rPr>
              <w:t>初期雨水、</w:t>
            </w:r>
            <w:r>
              <w:rPr>
                <w:rFonts w:hint="eastAsia"/>
                <w:bCs/>
                <w:color w:val="auto"/>
                <w:sz w:val="24"/>
              </w:rPr>
              <w:t>设备及车辆清洗水，处理后的废水回用于</w:t>
            </w:r>
            <w:r>
              <w:rPr>
                <w:rFonts w:hint="eastAsia"/>
                <w:bCs/>
                <w:color w:val="auto"/>
                <w:sz w:val="24"/>
                <w:lang w:val="en-US" w:eastAsia="zh-CN"/>
              </w:rPr>
              <w:t>降尘、</w:t>
            </w:r>
            <w:r>
              <w:rPr>
                <w:rFonts w:hint="eastAsia"/>
                <w:bCs/>
                <w:color w:val="auto"/>
                <w:sz w:val="24"/>
              </w:rPr>
              <w:t>设备和车辆冲洗</w:t>
            </w:r>
            <w:r>
              <w:rPr>
                <w:rFonts w:hint="eastAsia"/>
                <w:bCs/>
                <w:color w:val="auto"/>
                <w:sz w:val="24"/>
                <w:lang w:eastAsia="zh-CN"/>
              </w:rPr>
              <w:t>，</w:t>
            </w:r>
            <w:r>
              <w:rPr>
                <w:rFonts w:hint="eastAsia"/>
                <w:bCs/>
                <w:color w:val="auto"/>
                <w:sz w:val="24"/>
                <w:lang w:val="en-US" w:eastAsia="zh-CN"/>
              </w:rPr>
              <w:t>不外排</w:t>
            </w:r>
            <w:r>
              <w:rPr>
                <w:rFonts w:hint="eastAsia"/>
                <w:bCs/>
                <w:color w:val="auto"/>
                <w:sz w:val="24"/>
              </w:rPr>
              <w:t>。</w:t>
            </w:r>
          </w:p>
          <w:p>
            <w:pPr>
              <w:pStyle w:val="111"/>
              <w:spacing w:line="240" w:lineRule="auto"/>
              <w:contextualSpacing/>
              <w:rPr>
                <w:rFonts w:ascii="Times New Roman" w:hAnsi="Times New Roman" w:eastAsia="宋体"/>
                <w:b/>
                <w:color w:val="auto"/>
              </w:rPr>
            </w:pPr>
            <w:r>
              <w:rPr>
                <w:rFonts w:ascii="Times New Roman" w:hAnsi="Times New Roman" w:eastAsia="宋体"/>
                <w:b/>
                <w:color w:val="auto"/>
              </w:rPr>
              <w:t>表4-</w:t>
            </w:r>
            <w:r>
              <w:rPr>
                <w:rFonts w:hint="eastAsia" w:ascii="Times New Roman" w:hAnsi="Times New Roman" w:eastAsia="宋体"/>
                <w:b/>
                <w:color w:val="auto"/>
                <w:lang w:val="en-US" w:eastAsia="zh-CN"/>
              </w:rPr>
              <w:t>6</w:t>
            </w:r>
            <w:r>
              <w:rPr>
                <w:rFonts w:ascii="Times New Roman" w:hAnsi="Times New Roman" w:eastAsia="宋体"/>
                <w:b/>
                <w:color w:val="auto"/>
              </w:rPr>
              <w:t xml:space="preserve"> 废水污染源源强核算结果及相关参数一览表</w:t>
            </w:r>
          </w:p>
          <w:tbl>
            <w:tblPr>
              <w:tblStyle w:val="34"/>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636"/>
              <w:gridCol w:w="811"/>
              <w:gridCol w:w="692"/>
              <w:gridCol w:w="832"/>
              <w:gridCol w:w="973"/>
              <w:gridCol w:w="426"/>
              <w:gridCol w:w="426"/>
              <w:gridCol w:w="809"/>
              <w:gridCol w:w="680"/>
              <w:gridCol w:w="78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3" w:type="dxa"/>
                  <w:vMerge w:val="restart"/>
                  <w:vAlign w:val="center"/>
                </w:tcPr>
                <w:p>
                  <w:pPr>
                    <w:contextualSpacing/>
                    <w:jc w:val="center"/>
                    <w:rPr>
                      <w:rFonts w:eastAsiaTheme="minorEastAsia"/>
                      <w:color w:val="auto"/>
                      <w:szCs w:val="21"/>
                    </w:rPr>
                  </w:pPr>
                  <w:r>
                    <w:rPr>
                      <w:rFonts w:eastAsiaTheme="minorEastAsia"/>
                      <w:color w:val="auto"/>
                      <w:szCs w:val="21"/>
                    </w:rPr>
                    <w:t>产污环节</w:t>
                  </w:r>
                </w:p>
              </w:tc>
              <w:tc>
                <w:tcPr>
                  <w:tcW w:w="426" w:type="dxa"/>
                  <w:vMerge w:val="restart"/>
                  <w:vAlign w:val="center"/>
                </w:tcPr>
                <w:p>
                  <w:pPr>
                    <w:contextualSpacing/>
                    <w:jc w:val="center"/>
                    <w:rPr>
                      <w:rFonts w:eastAsiaTheme="minorEastAsia"/>
                      <w:color w:val="auto"/>
                      <w:szCs w:val="21"/>
                    </w:rPr>
                  </w:pPr>
                  <w:r>
                    <w:rPr>
                      <w:rFonts w:eastAsiaTheme="minorEastAsia"/>
                      <w:color w:val="auto"/>
                      <w:szCs w:val="21"/>
                    </w:rPr>
                    <w:t>类别</w:t>
                  </w:r>
                </w:p>
              </w:tc>
              <w:tc>
                <w:tcPr>
                  <w:tcW w:w="850" w:type="dxa"/>
                  <w:vMerge w:val="restart"/>
                  <w:vAlign w:val="center"/>
                </w:tcPr>
                <w:p>
                  <w:pPr>
                    <w:autoSpaceDE w:val="0"/>
                    <w:autoSpaceDN w:val="0"/>
                    <w:contextualSpacing/>
                    <w:jc w:val="center"/>
                    <w:rPr>
                      <w:rFonts w:eastAsiaTheme="minorEastAsia"/>
                      <w:color w:val="auto"/>
                      <w:szCs w:val="21"/>
                    </w:rPr>
                  </w:pPr>
                  <w:r>
                    <w:rPr>
                      <w:rFonts w:eastAsiaTheme="minorEastAsia"/>
                      <w:color w:val="auto"/>
                      <w:szCs w:val="21"/>
                    </w:rPr>
                    <w:t>污染物种类</w:t>
                  </w:r>
                </w:p>
              </w:tc>
              <w:tc>
                <w:tcPr>
                  <w:tcW w:w="2552" w:type="dxa"/>
                  <w:gridSpan w:val="3"/>
                  <w:vAlign w:val="center"/>
                </w:tcPr>
                <w:p>
                  <w:pPr>
                    <w:autoSpaceDE w:val="0"/>
                    <w:autoSpaceDN w:val="0"/>
                    <w:contextualSpacing/>
                    <w:jc w:val="center"/>
                    <w:rPr>
                      <w:rFonts w:eastAsiaTheme="minorEastAsia"/>
                      <w:color w:val="auto"/>
                      <w:szCs w:val="21"/>
                    </w:rPr>
                  </w:pPr>
                  <w:r>
                    <w:rPr>
                      <w:rFonts w:eastAsiaTheme="minorEastAsia"/>
                      <w:color w:val="auto"/>
                      <w:szCs w:val="21"/>
                    </w:rPr>
                    <w:t>污染物产生</w:t>
                  </w:r>
                </w:p>
              </w:tc>
              <w:tc>
                <w:tcPr>
                  <w:tcW w:w="1701" w:type="dxa"/>
                  <w:gridSpan w:val="3"/>
                  <w:vAlign w:val="center"/>
                </w:tcPr>
                <w:p>
                  <w:pPr>
                    <w:autoSpaceDE w:val="0"/>
                    <w:autoSpaceDN w:val="0"/>
                    <w:contextualSpacing/>
                    <w:jc w:val="center"/>
                    <w:rPr>
                      <w:rFonts w:eastAsiaTheme="minorEastAsia"/>
                      <w:color w:val="auto"/>
                      <w:szCs w:val="21"/>
                    </w:rPr>
                  </w:pPr>
                  <w:r>
                    <w:rPr>
                      <w:rFonts w:eastAsiaTheme="minorEastAsia"/>
                      <w:color w:val="auto"/>
                      <w:szCs w:val="21"/>
                    </w:rPr>
                    <w:t>治理措施</w:t>
                  </w:r>
                </w:p>
              </w:tc>
              <w:tc>
                <w:tcPr>
                  <w:tcW w:w="2256" w:type="dxa"/>
                  <w:gridSpan w:val="3"/>
                  <w:vAlign w:val="center"/>
                </w:tcPr>
                <w:p>
                  <w:pPr>
                    <w:autoSpaceDE w:val="0"/>
                    <w:autoSpaceDN w:val="0"/>
                    <w:contextualSpacing/>
                    <w:jc w:val="center"/>
                    <w:rPr>
                      <w:rFonts w:eastAsiaTheme="minorEastAsia"/>
                      <w:color w:val="auto"/>
                      <w:szCs w:val="21"/>
                    </w:rPr>
                  </w:pPr>
                  <w:r>
                    <w:rPr>
                      <w:rFonts w:eastAsiaTheme="minorEastAsia"/>
                      <w:color w:val="auto"/>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73" w:type="dxa"/>
                  <w:vMerge w:val="continue"/>
                  <w:vAlign w:val="center"/>
                </w:tcPr>
                <w:p>
                  <w:pPr>
                    <w:autoSpaceDE w:val="0"/>
                    <w:autoSpaceDN w:val="0"/>
                    <w:spacing w:line="240" w:lineRule="atLeast"/>
                    <w:contextualSpacing/>
                    <w:jc w:val="center"/>
                    <w:rPr>
                      <w:rFonts w:eastAsiaTheme="minorEastAsia"/>
                      <w:color w:val="auto"/>
                      <w:szCs w:val="21"/>
                    </w:rPr>
                  </w:pPr>
                </w:p>
              </w:tc>
              <w:tc>
                <w:tcPr>
                  <w:tcW w:w="426" w:type="dxa"/>
                  <w:vMerge w:val="continue"/>
                  <w:vAlign w:val="center"/>
                </w:tcPr>
                <w:p>
                  <w:pPr>
                    <w:autoSpaceDE w:val="0"/>
                    <w:autoSpaceDN w:val="0"/>
                    <w:spacing w:line="240" w:lineRule="atLeast"/>
                    <w:contextualSpacing/>
                    <w:jc w:val="center"/>
                    <w:rPr>
                      <w:rFonts w:eastAsiaTheme="minorEastAsia"/>
                      <w:color w:val="auto"/>
                      <w:szCs w:val="21"/>
                    </w:rPr>
                  </w:pPr>
                </w:p>
              </w:tc>
              <w:tc>
                <w:tcPr>
                  <w:tcW w:w="850" w:type="dxa"/>
                  <w:vMerge w:val="continue"/>
                  <w:vAlign w:val="center"/>
                </w:tcPr>
                <w:p>
                  <w:pPr>
                    <w:autoSpaceDE w:val="0"/>
                    <w:autoSpaceDN w:val="0"/>
                    <w:spacing w:line="240" w:lineRule="atLeast"/>
                    <w:contextualSpacing/>
                    <w:jc w:val="center"/>
                    <w:rPr>
                      <w:rFonts w:eastAsiaTheme="minorEastAsia"/>
                      <w:color w:val="auto"/>
                      <w:szCs w:val="21"/>
                    </w:rPr>
                  </w:pPr>
                </w:p>
              </w:tc>
              <w:tc>
                <w:tcPr>
                  <w:tcW w:w="709" w:type="dxa"/>
                  <w:vAlign w:val="center"/>
                </w:tcPr>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废水产生量t/a</w:t>
                  </w:r>
                </w:p>
              </w:tc>
              <w:tc>
                <w:tcPr>
                  <w:tcW w:w="850" w:type="dxa"/>
                  <w:vAlign w:val="center"/>
                </w:tcPr>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产生浓度</w:t>
                  </w:r>
                </w:p>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mg/L</w:t>
                  </w:r>
                </w:p>
              </w:tc>
              <w:tc>
                <w:tcPr>
                  <w:tcW w:w="993" w:type="dxa"/>
                  <w:vAlign w:val="center"/>
                </w:tcPr>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产生量</w:t>
                  </w:r>
                </w:p>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t/a</w:t>
                  </w:r>
                </w:p>
              </w:tc>
              <w:tc>
                <w:tcPr>
                  <w:tcW w:w="425" w:type="dxa"/>
                  <w:vAlign w:val="center"/>
                </w:tcPr>
                <w:p>
                  <w:pPr>
                    <w:autoSpaceDE w:val="0"/>
                    <w:autoSpaceDN w:val="0"/>
                    <w:spacing w:line="240" w:lineRule="atLeast"/>
                    <w:contextualSpacing/>
                    <w:jc w:val="center"/>
                    <w:rPr>
                      <w:rFonts w:eastAsiaTheme="minorEastAsia"/>
                      <w:color w:val="auto"/>
                      <w:szCs w:val="21"/>
                    </w:rPr>
                  </w:pPr>
                  <w:r>
                    <w:rPr>
                      <w:rFonts w:eastAsiaTheme="minorEastAsia"/>
                      <w:color w:val="auto"/>
                      <w:szCs w:val="21"/>
                    </w:rPr>
                    <w:t>工艺</w:t>
                  </w:r>
                </w:p>
              </w:tc>
              <w:tc>
                <w:tcPr>
                  <w:tcW w:w="425" w:type="dxa"/>
                  <w:vAlign w:val="center"/>
                </w:tcPr>
                <w:p>
                  <w:pPr>
                    <w:autoSpaceDE w:val="0"/>
                    <w:autoSpaceDN w:val="0"/>
                    <w:spacing w:line="240" w:lineRule="atLeast"/>
                    <w:contextualSpacing/>
                    <w:jc w:val="center"/>
                    <w:rPr>
                      <w:rFonts w:eastAsiaTheme="minorEastAsia"/>
                      <w:color w:val="auto"/>
                      <w:szCs w:val="21"/>
                    </w:rPr>
                  </w:pPr>
                  <w:r>
                    <w:rPr>
                      <w:rFonts w:eastAsiaTheme="minorEastAsia"/>
                      <w:color w:val="auto"/>
                      <w:szCs w:val="21"/>
                    </w:rPr>
                    <w:t>效率</w:t>
                  </w:r>
                </w:p>
              </w:tc>
              <w:tc>
                <w:tcPr>
                  <w:tcW w:w="851" w:type="dxa"/>
                  <w:vAlign w:val="center"/>
                </w:tcPr>
                <w:p>
                  <w:pPr>
                    <w:autoSpaceDE w:val="0"/>
                    <w:autoSpaceDN w:val="0"/>
                    <w:spacing w:line="240" w:lineRule="atLeast"/>
                    <w:contextualSpacing/>
                    <w:jc w:val="center"/>
                    <w:rPr>
                      <w:rFonts w:eastAsiaTheme="minorEastAsia"/>
                      <w:color w:val="auto"/>
                      <w:szCs w:val="21"/>
                    </w:rPr>
                  </w:pPr>
                  <w:r>
                    <w:rPr>
                      <w:rFonts w:eastAsiaTheme="minorEastAsia"/>
                      <w:color w:val="auto"/>
                      <w:szCs w:val="21"/>
                    </w:rPr>
                    <w:t>是否为可行性技术</w:t>
                  </w:r>
                </w:p>
              </w:tc>
              <w:tc>
                <w:tcPr>
                  <w:tcW w:w="708" w:type="dxa"/>
                  <w:vAlign w:val="center"/>
                </w:tcPr>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废水排放量t/a</w:t>
                  </w:r>
                </w:p>
              </w:tc>
              <w:tc>
                <w:tcPr>
                  <w:tcW w:w="792" w:type="dxa"/>
                  <w:vAlign w:val="center"/>
                </w:tcPr>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排放浓度mg/L</w:t>
                  </w:r>
                </w:p>
              </w:tc>
              <w:tc>
                <w:tcPr>
                  <w:tcW w:w="756" w:type="dxa"/>
                  <w:vAlign w:val="center"/>
                </w:tcPr>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排放量</w:t>
                  </w:r>
                </w:p>
                <w:p>
                  <w:pPr>
                    <w:pStyle w:val="111"/>
                    <w:contextualSpacing/>
                    <w:rPr>
                      <w:rFonts w:ascii="Times New Roman" w:hAnsi="Times New Roman" w:eastAsiaTheme="minorEastAsia"/>
                      <w:color w:val="auto"/>
                      <w:sz w:val="21"/>
                      <w:szCs w:val="21"/>
                    </w:rPr>
                  </w:pPr>
                  <w:r>
                    <w:rPr>
                      <w:rFonts w:ascii="Times New Roman" w:hAnsi="Times New Roman" w:eastAsiaTheme="minorEastAsia"/>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473" w:type="dxa"/>
                  <w:vMerge w:val="restart"/>
                  <w:vAlign w:val="center"/>
                </w:tcPr>
                <w:p>
                  <w:pPr>
                    <w:autoSpaceDE w:val="0"/>
                    <w:autoSpaceDN w:val="0"/>
                    <w:spacing w:line="240" w:lineRule="atLeast"/>
                    <w:contextualSpacing/>
                    <w:jc w:val="center"/>
                    <w:rPr>
                      <w:rFonts w:hint="eastAsia" w:eastAsiaTheme="minorEastAsia"/>
                      <w:color w:val="auto"/>
                      <w:szCs w:val="21"/>
                      <w:lang w:val="en-US" w:eastAsia="zh-CN"/>
                    </w:rPr>
                  </w:pPr>
                  <w:r>
                    <w:rPr>
                      <w:rFonts w:hint="eastAsia" w:eastAsiaTheme="minorEastAsia"/>
                      <w:color w:val="auto"/>
                      <w:szCs w:val="21"/>
                      <w:lang w:val="en-US" w:eastAsia="zh-CN"/>
                    </w:rPr>
                    <w:t>生产</w:t>
                  </w:r>
                </w:p>
              </w:tc>
              <w:tc>
                <w:tcPr>
                  <w:tcW w:w="426" w:type="dxa"/>
                  <w:vMerge w:val="restart"/>
                  <w:vAlign w:val="center"/>
                </w:tcPr>
                <w:p>
                  <w:pPr>
                    <w:autoSpaceDE w:val="0"/>
                    <w:autoSpaceDN w:val="0"/>
                    <w:spacing w:line="240" w:lineRule="atLeast"/>
                    <w:contextualSpacing/>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设备、车辆清洗废水</w:t>
                  </w:r>
                </w:p>
              </w:tc>
              <w:tc>
                <w:tcPr>
                  <w:tcW w:w="850" w:type="dxa"/>
                  <w:vAlign w:val="center"/>
                </w:tcPr>
                <w:p>
                  <w:pPr>
                    <w:autoSpaceDE w:val="0"/>
                    <w:autoSpaceDN w:val="0"/>
                    <w:spacing w:line="240" w:lineRule="atLeast"/>
                    <w:contextualSpacing/>
                    <w:jc w:val="center"/>
                    <w:rPr>
                      <w:rFonts w:hint="eastAsia" w:ascii="Times New Roman" w:hAnsi="Times New Roman" w:cs="Times New Roman" w:eastAsiaTheme="minorEastAsia"/>
                      <w:color w:val="auto"/>
                      <w:sz w:val="21"/>
                      <w:szCs w:val="21"/>
                      <w:lang w:val="en-US" w:eastAsia="zh-CN"/>
                    </w:rPr>
                  </w:pPr>
                  <w:r>
                    <w:rPr>
                      <w:rFonts w:hint="eastAsia"/>
                      <w:bCs/>
                      <w:color w:val="auto"/>
                      <w:sz w:val="21"/>
                      <w:szCs w:val="21"/>
                    </w:rPr>
                    <w:t>SS</w:t>
                  </w:r>
                </w:p>
              </w:tc>
              <w:tc>
                <w:tcPr>
                  <w:tcW w:w="709" w:type="dxa"/>
                  <w:vMerge w:val="restart"/>
                  <w:vAlign w:val="center"/>
                </w:tcPr>
                <w:p>
                  <w:pPr>
                    <w:autoSpaceDE w:val="0"/>
                    <w:autoSpaceDN w:val="0"/>
                    <w:spacing w:line="240" w:lineRule="atLeast"/>
                    <w:contextualSpacing/>
                    <w:jc w:val="center"/>
                    <w:rPr>
                      <w:rFonts w:eastAsiaTheme="minorEastAsia"/>
                      <w:color w:val="auto"/>
                      <w:sz w:val="21"/>
                      <w:szCs w:val="21"/>
                    </w:rPr>
                  </w:pPr>
                  <w:r>
                    <w:rPr>
                      <w:rFonts w:hint="eastAsia"/>
                      <w:b w:val="0"/>
                      <w:bCs/>
                      <w:color w:val="auto"/>
                      <w:sz w:val="21"/>
                      <w:szCs w:val="21"/>
                      <w:lang w:val="en-US" w:eastAsia="zh-CN"/>
                    </w:rPr>
                    <w:t>240</w:t>
                  </w:r>
                </w:p>
              </w:tc>
              <w:tc>
                <w:tcPr>
                  <w:tcW w:w="850" w:type="dxa"/>
                  <w:vAlign w:val="center"/>
                </w:tcPr>
                <w:p>
                  <w:pPr>
                    <w:autoSpaceDE w:val="0"/>
                    <w:autoSpaceDN w:val="0"/>
                    <w:spacing w:line="240" w:lineRule="atLeast"/>
                    <w:contextualSpacing/>
                    <w:jc w:val="center"/>
                    <w:rPr>
                      <w:rFonts w:hint="eastAsia" w:eastAsiaTheme="minorEastAsia"/>
                      <w:color w:val="auto"/>
                      <w:sz w:val="21"/>
                      <w:szCs w:val="21"/>
                    </w:rPr>
                  </w:pPr>
                  <w:r>
                    <w:rPr>
                      <w:rFonts w:hint="eastAsia"/>
                      <w:bCs/>
                      <w:color w:val="auto"/>
                      <w:sz w:val="21"/>
                      <w:szCs w:val="21"/>
                    </w:rPr>
                    <w:t>1000</w:t>
                  </w:r>
                </w:p>
              </w:tc>
              <w:tc>
                <w:tcPr>
                  <w:tcW w:w="993" w:type="dxa"/>
                  <w:vAlign w:val="center"/>
                </w:tcPr>
                <w:p>
                  <w:pPr>
                    <w:autoSpaceDE w:val="0"/>
                    <w:autoSpaceDN w:val="0"/>
                    <w:spacing w:line="240" w:lineRule="atLeast"/>
                    <w:contextualSpacing/>
                    <w:jc w:val="center"/>
                    <w:rPr>
                      <w:rFonts w:hint="default" w:eastAsiaTheme="minorEastAsia"/>
                      <w:color w:val="auto"/>
                      <w:szCs w:val="21"/>
                      <w:lang w:val="en-US" w:eastAsia="zh-CN"/>
                    </w:rPr>
                  </w:pPr>
                  <w:r>
                    <w:rPr>
                      <w:rFonts w:hint="eastAsia" w:eastAsiaTheme="minorEastAsia"/>
                      <w:color w:val="auto"/>
                      <w:szCs w:val="21"/>
                      <w:lang w:val="en-US" w:eastAsia="zh-CN"/>
                    </w:rPr>
                    <w:t>0.24</w:t>
                  </w:r>
                </w:p>
              </w:tc>
              <w:tc>
                <w:tcPr>
                  <w:tcW w:w="425" w:type="dxa"/>
                  <w:vMerge w:val="restart"/>
                  <w:vAlign w:val="center"/>
                </w:tcPr>
                <w:p>
                  <w:pPr>
                    <w:autoSpaceDE w:val="0"/>
                    <w:autoSpaceDN w:val="0"/>
                    <w:spacing w:line="240" w:lineRule="atLeast"/>
                    <w:contextualSpacing/>
                    <w:jc w:val="center"/>
                    <w:rPr>
                      <w:rFonts w:hint="default" w:eastAsiaTheme="minorEastAsia"/>
                      <w:color w:val="auto"/>
                      <w:szCs w:val="21"/>
                      <w:lang w:val="en-US" w:eastAsia="zh-CN"/>
                    </w:rPr>
                  </w:pPr>
                  <w:r>
                    <w:rPr>
                      <w:rFonts w:hint="eastAsia" w:eastAsiaTheme="minorEastAsia"/>
                      <w:color w:val="auto"/>
                      <w:szCs w:val="21"/>
                      <w:lang w:val="en-US" w:eastAsia="zh-CN"/>
                    </w:rPr>
                    <w:t>隔油沉淀池处理后回用</w:t>
                  </w:r>
                </w:p>
              </w:tc>
              <w:tc>
                <w:tcPr>
                  <w:tcW w:w="425" w:type="dxa"/>
                  <w:vMerge w:val="restart"/>
                  <w:vAlign w:val="center"/>
                </w:tcPr>
                <w:p>
                  <w:pPr>
                    <w:pStyle w:val="185"/>
                    <w:adjustRightInd/>
                    <w:snapToGrid/>
                    <w:spacing w:line="240" w:lineRule="atLeast"/>
                    <w:ind w:firstLine="0" w:firstLineChars="0"/>
                    <w:contextualSpacing/>
                    <w:jc w:val="center"/>
                    <w:rPr>
                      <w:rFonts w:eastAsiaTheme="minorEastAsia"/>
                      <w:bCs/>
                      <w:color w:val="auto"/>
                      <w:sz w:val="21"/>
                      <w:szCs w:val="21"/>
                    </w:rPr>
                  </w:pPr>
                  <w:r>
                    <w:rPr>
                      <w:rFonts w:eastAsiaTheme="minorEastAsia"/>
                      <w:bCs/>
                      <w:color w:val="auto"/>
                      <w:sz w:val="21"/>
                      <w:szCs w:val="21"/>
                    </w:rPr>
                    <w:t>/</w:t>
                  </w:r>
                </w:p>
              </w:tc>
              <w:tc>
                <w:tcPr>
                  <w:tcW w:w="851" w:type="dxa"/>
                  <w:vMerge w:val="restart"/>
                  <w:vAlign w:val="center"/>
                </w:tcPr>
                <w:p>
                  <w:pPr>
                    <w:pStyle w:val="185"/>
                    <w:adjustRightInd/>
                    <w:snapToGrid/>
                    <w:spacing w:line="240" w:lineRule="atLeast"/>
                    <w:ind w:firstLine="0" w:firstLineChars="0"/>
                    <w:contextualSpacing/>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是</w:t>
                  </w:r>
                </w:p>
              </w:tc>
              <w:tc>
                <w:tcPr>
                  <w:tcW w:w="708" w:type="dxa"/>
                  <w:vMerge w:val="restart"/>
                  <w:shd w:val="clear" w:color="auto" w:fill="auto"/>
                  <w:vAlign w:val="center"/>
                </w:tcPr>
                <w:p>
                  <w:pPr>
                    <w:pStyle w:val="185"/>
                    <w:adjustRightInd/>
                    <w:snapToGrid/>
                    <w:spacing w:line="240" w:lineRule="atLeast"/>
                    <w:ind w:firstLine="0" w:firstLineChars="0"/>
                    <w:contextualSpacing/>
                    <w:jc w:val="center"/>
                    <w:rPr>
                      <w:rFonts w:hint="eastAsia" w:ascii="Times New Roman" w:hAnsi="Times New Roman" w:cs="Times New Roman" w:eastAsiaTheme="minorEastAsia"/>
                      <w:bCs/>
                      <w:color w:val="auto"/>
                      <w:kern w:val="2"/>
                      <w:sz w:val="21"/>
                      <w:szCs w:val="21"/>
                      <w:lang w:val="en-US" w:eastAsia="zh-CN" w:bidi="ar-SA"/>
                    </w:rPr>
                  </w:pPr>
                  <w:r>
                    <w:rPr>
                      <w:rFonts w:eastAsiaTheme="minorEastAsia"/>
                      <w:bCs/>
                      <w:color w:val="auto"/>
                      <w:sz w:val="21"/>
                      <w:szCs w:val="21"/>
                    </w:rPr>
                    <w:t>/</w:t>
                  </w:r>
                </w:p>
              </w:tc>
              <w:tc>
                <w:tcPr>
                  <w:tcW w:w="792" w:type="dxa"/>
                  <w:shd w:val="clear" w:color="auto" w:fill="auto"/>
                  <w:vAlign w:val="center"/>
                </w:tcPr>
                <w:p>
                  <w:pPr>
                    <w:pStyle w:val="185"/>
                    <w:adjustRightInd/>
                    <w:snapToGrid/>
                    <w:spacing w:line="240" w:lineRule="atLeast"/>
                    <w:ind w:firstLine="0" w:firstLineChars="0"/>
                    <w:contextualSpacing/>
                    <w:jc w:val="center"/>
                    <w:rPr>
                      <w:rFonts w:hint="eastAsia" w:ascii="Times New Roman" w:hAnsi="Times New Roman" w:cs="Times New Roman" w:eastAsiaTheme="minorEastAsia"/>
                      <w:bCs/>
                      <w:color w:val="auto"/>
                      <w:kern w:val="2"/>
                      <w:sz w:val="21"/>
                      <w:szCs w:val="21"/>
                      <w:lang w:val="en-US" w:eastAsia="zh-CN" w:bidi="ar-SA"/>
                    </w:rPr>
                  </w:pPr>
                  <w:r>
                    <w:rPr>
                      <w:rFonts w:eastAsiaTheme="minorEastAsia"/>
                      <w:color w:val="auto"/>
                      <w:sz w:val="21"/>
                      <w:szCs w:val="21"/>
                    </w:rPr>
                    <w:t>/</w:t>
                  </w:r>
                </w:p>
              </w:tc>
              <w:tc>
                <w:tcPr>
                  <w:tcW w:w="756" w:type="dxa"/>
                  <w:vAlign w:val="center"/>
                </w:tcPr>
                <w:p>
                  <w:pPr>
                    <w:autoSpaceDE w:val="0"/>
                    <w:autoSpaceDN w:val="0"/>
                    <w:spacing w:line="240" w:lineRule="atLeast"/>
                    <w:contextualSpacing/>
                    <w:jc w:val="center"/>
                    <w:rPr>
                      <w:rFonts w:hint="eastAsia" w:eastAsiaTheme="minorEastAsia"/>
                      <w:color w:val="auto"/>
                      <w:szCs w:val="21"/>
                    </w:rPr>
                  </w:pPr>
                  <w:r>
                    <w:rPr>
                      <w:rFonts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73" w:type="dxa"/>
                  <w:vMerge w:val="continue"/>
                  <w:vAlign w:val="center"/>
                </w:tcPr>
                <w:p>
                  <w:pPr>
                    <w:autoSpaceDE w:val="0"/>
                    <w:autoSpaceDN w:val="0"/>
                    <w:spacing w:line="240" w:lineRule="atLeast"/>
                    <w:contextualSpacing/>
                    <w:jc w:val="center"/>
                    <w:rPr>
                      <w:rFonts w:hint="eastAsia" w:eastAsiaTheme="minorEastAsia"/>
                      <w:color w:val="auto"/>
                      <w:szCs w:val="21"/>
                      <w:lang w:val="en-US" w:eastAsia="zh-CN"/>
                    </w:rPr>
                  </w:pPr>
                </w:p>
              </w:tc>
              <w:tc>
                <w:tcPr>
                  <w:tcW w:w="426" w:type="dxa"/>
                  <w:vMerge w:val="continue"/>
                  <w:vAlign w:val="center"/>
                </w:tcPr>
                <w:p>
                  <w:pPr>
                    <w:autoSpaceDE w:val="0"/>
                    <w:autoSpaceDN w:val="0"/>
                    <w:spacing w:line="240" w:lineRule="atLeast"/>
                    <w:contextualSpacing/>
                    <w:jc w:val="center"/>
                    <w:rPr>
                      <w:rFonts w:hint="eastAsia" w:ascii="Times New Roman" w:hAnsi="Times New Roman" w:cs="Times New Roman" w:eastAsiaTheme="minorEastAsia"/>
                      <w:color w:val="auto"/>
                      <w:szCs w:val="21"/>
                      <w:lang w:val="en-US" w:eastAsia="zh-CN"/>
                    </w:rPr>
                  </w:pPr>
                </w:p>
              </w:tc>
              <w:tc>
                <w:tcPr>
                  <w:tcW w:w="850" w:type="dxa"/>
                  <w:vAlign w:val="center"/>
                </w:tcPr>
                <w:p>
                  <w:pPr>
                    <w:autoSpaceDE w:val="0"/>
                    <w:autoSpaceDN w:val="0"/>
                    <w:spacing w:line="240" w:lineRule="atLeast"/>
                    <w:contextualSpacing/>
                    <w:jc w:val="center"/>
                    <w:rPr>
                      <w:rFonts w:hint="eastAsia" w:ascii="Times New Roman" w:hAnsi="Times New Roman" w:cs="Times New Roman" w:eastAsiaTheme="minorEastAsia"/>
                      <w:color w:val="auto"/>
                      <w:sz w:val="21"/>
                      <w:szCs w:val="21"/>
                      <w:lang w:val="en-US" w:eastAsia="zh-CN"/>
                    </w:rPr>
                  </w:pPr>
                  <w:r>
                    <w:rPr>
                      <w:rFonts w:hint="eastAsia"/>
                      <w:bCs/>
                      <w:color w:val="auto"/>
                      <w:sz w:val="21"/>
                      <w:szCs w:val="21"/>
                    </w:rPr>
                    <w:t>石油类</w:t>
                  </w:r>
                </w:p>
              </w:tc>
              <w:tc>
                <w:tcPr>
                  <w:tcW w:w="709" w:type="dxa"/>
                  <w:vMerge w:val="continue"/>
                  <w:vAlign w:val="center"/>
                </w:tcPr>
                <w:p>
                  <w:pPr>
                    <w:autoSpaceDE w:val="0"/>
                    <w:autoSpaceDN w:val="0"/>
                    <w:spacing w:line="240" w:lineRule="atLeast"/>
                    <w:contextualSpacing/>
                    <w:jc w:val="center"/>
                    <w:rPr>
                      <w:rFonts w:eastAsiaTheme="minorEastAsia"/>
                      <w:color w:val="auto"/>
                      <w:sz w:val="21"/>
                      <w:szCs w:val="21"/>
                    </w:rPr>
                  </w:pPr>
                </w:p>
              </w:tc>
              <w:tc>
                <w:tcPr>
                  <w:tcW w:w="850" w:type="dxa"/>
                  <w:vAlign w:val="center"/>
                </w:tcPr>
                <w:p>
                  <w:pPr>
                    <w:autoSpaceDE w:val="0"/>
                    <w:autoSpaceDN w:val="0"/>
                    <w:spacing w:line="240" w:lineRule="atLeast"/>
                    <w:contextualSpacing/>
                    <w:jc w:val="center"/>
                    <w:rPr>
                      <w:rFonts w:hint="eastAsia" w:eastAsiaTheme="minorEastAsia"/>
                      <w:color w:val="auto"/>
                      <w:sz w:val="21"/>
                      <w:szCs w:val="21"/>
                    </w:rPr>
                  </w:pPr>
                  <w:r>
                    <w:rPr>
                      <w:rFonts w:hint="eastAsia"/>
                      <w:bCs/>
                      <w:color w:val="auto"/>
                      <w:sz w:val="21"/>
                      <w:szCs w:val="21"/>
                    </w:rPr>
                    <w:t>10</w:t>
                  </w:r>
                </w:p>
              </w:tc>
              <w:tc>
                <w:tcPr>
                  <w:tcW w:w="993" w:type="dxa"/>
                  <w:vAlign w:val="center"/>
                </w:tcPr>
                <w:p>
                  <w:pPr>
                    <w:autoSpaceDE w:val="0"/>
                    <w:autoSpaceDN w:val="0"/>
                    <w:spacing w:line="240" w:lineRule="atLeast"/>
                    <w:contextualSpacing/>
                    <w:jc w:val="center"/>
                    <w:rPr>
                      <w:rFonts w:hint="default" w:eastAsiaTheme="minorEastAsia"/>
                      <w:color w:val="auto"/>
                      <w:szCs w:val="21"/>
                      <w:lang w:val="en-US" w:eastAsia="zh-CN"/>
                    </w:rPr>
                  </w:pPr>
                  <w:r>
                    <w:rPr>
                      <w:rFonts w:hint="eastAsia" w:eastAsiaTheme="minorEastAsia"/>
                      <w:color w:val="auto"/>
                      <w:szCs w:val="21"/>
                      <w:lang w:val="en-US" w:eastAsia="zh-CN"/>
                    </w:rPr>
                    <w:t>0.0024</w:t>
                  </w:r>
                </w:p>
              </w:tc>
              <w:tc>
                <w:tcPr>
                  <w:tcW w:w="425" w:type="dxa"/>
                  <w:vMerge w:val="continue"/>
                  <w:vAlign w:val="center"/>
                </w:tcPr>
                <w:p>
                  <w:pPr>
                    <w:autoSpaceDE w:val="0"/>
                    <w:autoSpaceDN w:val="0"/>
                    <w:spacing w:line="240" w:lineRule="atLeast"/>
                    <w:contextualSpacing/>
                    <w:jc w:val="center"/>
                    <w:rPr>
                      <w:rFonts w:eastAsiaTheme="minorEastAsia"/>
                      <w:color w:val="auto"/>
                      <w:szCs w:val="21"/>
                    </w:rPr>
                  </w:pPr>
                </w:p>
              </w:tc>
              <w:tc>
                <w:tcPr>
                  <w:tcW w:w="425" w:type="dxa"/>
                  <w:vMerge w:val="continue"/>
                  <w:vAlign w:val="center"/>
                </w:tcPr>
                <w:p>
                  <w:pPr>
                    <w:pStyle w:val="185"/>
                    <w:adjustRightInd/>
                    <w:snapToGrid/>
                    <w:spacing w:line="240" w:lineRule="atLeast"/>
                    <w:ind w:firstLine="0" w:firstLineChars="0"/>
                    <w:contextualSpacing/>
                    <w:jc w:val="center"/>
                    <w:rPr>
                      <w:rFonts w:eastAsiaTheme="minorEastAsia"/>
                      <w:bCs/>
                      <w:color w:val="auto"/>
                      <w:sz w:val="21"/>
                      <w:szCs w:val="21"/>
                    </w:rPr>
                  </w:pPr>
                </w:p>
              </w:tc>
              <w:tc>
                <w:tcPr>
                  <w:tcW w:w="851" w:type="dxa"/>
                  <w:vMerge w:val="continue"/>
                  <w:vAlign w:val="center"/>
                </w:tcPr>
                <w:p>
                  <w:pPr>
                    <w:pStyle w:val="185"/>
                    <w:adjustRightInd/>
                    <w:snapToGrid/>
                    <w:spacing w:line="240" w:lineRule="atLeast"/>
                    <w:ind w:firstLine="0" w:firstLineChars="0"/>
                    <w:contextualSpacing/>
                    <w:jc w:val="center"/>
                    <w:rPr>
                      <w:rFonts w:eastAsiaTheme="minorEastAsia"/>
                      <w:bCs/>
                      <w:color w:val="auto"/>
                      <w:sz w:val="21"/>
                      <w:szCs w:val="21"/>
                    </w:rPr>
                  </w:pPr>
                </w:p>
              </w:tc>
              <w:tc>
                <w:tcPr>
                  <w:tcW w:w="708" w:type="dxa"/>
                  <w:vMerge w:val="continue"/>
                  <w:vAlign w:val="center"/>
                </w:tcPr>
                <w:p>
                  <w:pPr>
                    <w:autoSpaceDE w:val="0"/>
                    <w:autoSpaceDN w:val="0"/>
                    <w:spacing w:line="240" w:lineRule="atLeast"/>
                    <w:contextualSpacing/>
                    <w:jc w:val="center"/>
                    <w:rPr>
                      <w:rFonts w:hint="eastAsia" w:ascii="Times New Roman" w:hAnsi="Times New Roman" w:eastAsia="宋体" w:cs="Times New Roman"/>
                      <w:bCs/>
                      <w:color w:val="auto"/>
                      <w:sz w:val="21"/>
                      <w:szCs w:val="21"/>
                    </w:rPr>
                  </w:pPr>
                </w:p>
              </w:tc>
              <w:tc>
                <w:tcPr>
                  <w:tcW w:w="792" w:type="dxa"/>
                  <w:vAlign w:val="center"/>
                </w:tcPr>
                <w:p>
                  <w:pPr>
                    <w:autoSpaceDE w:val="0"/>
                    <w:autoSpaceDN w:val="0"/>
                    <w:spacing w:line="240" w:lineRule="atLeast"/>
                    <w:contextualSpacing/>
                    <w:jc w:val="center"/>
                    <w:rPr>
                      <w:rFonts w:hint="eastAsia" w:ascii="Times New Roman" w:hAnsi="Times New Roman" w:eastAsia="宋体" w:cs="Times New Roman"/>
                      <w:bCs/>
                      <w:color w:val="auto"/>
                      <w:sz w:val="21"/>
                      <w:szCs w:val="21"/>
                    </w:rPr>
                  </w:pPr>
                  <w:r>
                    <w:rPr>
                      <w:rFonts w:eastAsiaTheme="minorEastAsia"/>
                      <w:color w:val="auto"/>
                      <w:sz w:val="21"/>
                      <w:szCs w:val="21"/>
                    </w:rPr>
                    <w:t>/</w:t>
                  </w:r>
                </w:p>
              </w:tc>
              <w:tc>
                <w:tcPr>
                  <w:tcW w:w="756" w:type="dxa"/>
                  <w:vAlign w:val="center"/>
                </w:tcPr>
                <w:p>
                  <w:pPr>
                    <w:autoSpaceDE w:val="0"/>
                    <w:autoSpaceDN w:val="0"/>
                    <w:spacing w:line="240" w:lineRule="atLeast"/>
                    <w:contextualSpacing/>
                    <w:jc w:val="center"/>
                    <w:rPr>
                      <w:rFonts w:hint="eastAsia" w:eastAsiaTheme="minorEastAsia"/>
                      <w:color w:val="auto"/>
                      <w:szCs w:val="21"/>
                    </w:rPr>
                  </w:pPr>
                  <w:r>
                    <w:rPr>
                      <w:rFonts w:eastAsiaTheme="minorEastAsia"/>
                      <w:color w:val="auto"/>
                      <w:sz w:val="21"/>
                      <w:szCs w:val="21"/>
                    </w:rPr>
                    <w:t>/</w:t>
                  </w:r>
                </w:p>
              </w:tc>
            </w:tr>
          </w:tbl>
          <w:p>
            <w:pPr>
              <w:adjustRightInd w:val="0"/>
              <w:snapToGrid w:val="0"/>
              <w:spacing w:line="360" w:lineRule="auto"/>
              <w:ind w:firstLine="480" w:firstLineChars="200"/>
              <w:rPr>
                <w:rFonts w:hint="eastAsia" w:eastAsia="宋体"/>
                <w:bCs/>
                <w:color w:val="auto"/>
                <w:sz w:val="24"/>
                <w:lang w:val="en-US" w:eastAsia="zh-CN"/>
              </w:rPr>
            </w:pPr>
            <w:r>
              <w:rPr>
                <w:rFonts w:hint="eastAsia"/>
                <w:bCs/>
                <w:color w:val="auto"/>
                <w:sz w:val="24"/>
                <w:lang w:val="en-US" w:eastAsia="zh-CN"/>
              </w:rPr>
              <w:t>2、</w:t>
            </w:r>
            <w:r>
              <w:rPr>
                <w:rFonts w:hint="eastAsia" w:eastAsiaTheme="minorEastAsia"/>
                <w:b/>
                <w:bCs/>
                <w:color w:val="auto"/>
                <w:sz w:val="24"/>
              </w:rPr>
              <w:t>环境影响分析</w:t>
            </w:r>
          </w:p>
          <w:p>
            <w:pPr>
              <w:adjustRightInd w:val="0"/>
              <w:snapToGrid w:val="0"/>
              <w:spacing w:line="360" w:lineRule="auto"/>
              <w:ind w:firstLine="480" w:firstLineChars="200"/>
              <w:rPr>
                <w:rFonts w:hint="default"/>
                <w:bCs/>
                <w:color w:val="auto"/>
                <w:sz w:val="24"/>
                <w:lang w:val="en-US"/>
              </w:rPr>
            </w:pPr>
            <w:r>
              <w:rPr>
                <w:rFonts w:hint="eastAsia"/>
                <w:bCs/>
                <w:color w:val="auto"/>
                <w:sz w:val="24"/>
              </w:rPr>
              <w:t>根据《排污许可证申请与核发技术规范 石墨及其他非金属矿物制品》（HJ1119-2020），隔油及沉淀池属于可行性技术。</w:t>
            </w:r>
            <w:r>
              <w:rPr>
                <w:rFonts w:hint="eastAsia" w:asciiTheme="minorHAnsi" w:hAnsiTheme="minorHAnsi" w:eastAsiaTheme="minorEastAsia" w:cstheme="minorBidi"/>
                <w:color w:val="auto"/>
                <w:kern w:val="0"/>
                <w:sz w:val="24"/>
                <w:szCs w:val="24"/>
                <w:lang w:val="en-US" w:eastAsia="zh-CN" w:bidi="ar-SA"/>
              </w:rPr>
              <w:t>本项目设备、车辆清洗废水经隔油沉淀后，满足生产用水水质要求，可直接回用。</w:t>
            </w:r>
          </w:p>
          <w:p>
            <w:pPr>
              <w:pStyle w:val="99"/>
              <w:spacing w:beforeLines="0" w:afterLines="0" w:line="360" w:lineRule="auto"/>
              <w:ind w:firstLine="480"/>
              <w:contextualSpacing/>
              <w:rPr>
                <w:rFonts w:hint="eastAsia" w:eastAsiaTheme="majorEastAsia"/>
                <w:color w:val="auto"/>
                <w:kern w:val="0"/>
              </w:rPr>
            </w:pPr>
            <w:r>
              <w:rPr>
                <w:rFonts w:hint="eastAsia" w:eastAsiaTheme="majorEastAsia"/>
                <w:color w:val="auto"/>
                <w:kern w:val="0"/>
              </w:rPr>
              <w:t>本项目堆场喷洒水自然蒸发不外排。对伊春河不会产生影响。</w:t>
            </w:r>
          </w:p>
          <w:p>
            <w:pPr>
              <w:spacing w:line="360" w:lineRule="auto"/>
              <w:ind w:firstLine="480" w:firstLineChars="200"/>
              <w:rPr>
                <w:b/>
                <w:bCs/>
                <w:color w:val="auto"/>
                <w:sz w:val="24"/>
              </w:rPr>
            </w:pPr>
            <w:r>
              <w:rPr>
                <w:b/>
                <w:bCs/>
                <w:color w:val="auto"/>
                <w:sz w:val="24"/>
              </w:rPr>
              <w:t>3监测计划</w:t>
            </w:r>
          </w:p>
          <w:p>
            <w:pPr>
              <w:spacing w:line="400" w:lineRule="exact"/>
              <w:ind w:firstLine="480" w:firstLineChars="200"/>
              <w:rPr>
                <w:rFonts w:hint="eastAsia"/>
                <w:color w:val="auto"/>
                <w:sz w:val="24"/>
                <w:szCs w:val="24"/>
                <w:lang w:eastAsia="zh-CN"/>
              </w:rPr>
            </w:pPr>
            <w:r>
              <w:rPr>
                <w:rFonts w:hint="eastAsia"/>
                <w:color w:val="auto"/>
                <w:sz w:val="24"/>
                <w:szCs w:val="24"/>
                <w:lang w:eastAsia="zh-CN"/>
              </w:rPr>
              <w:t>根据</w:t>
            </w:r>
            <w:r>
              <w:rPr>
                <w:rFonts w:hint="eastAsia"/>
                <w:bCs/>
                <w:color w:val="auto"/>
                <w:sz w:val="24"/>
              </w:rPr>
              <w:t>《排污许可证申请与核发技术规范 石墨及其他非金属矿物制品》（HJ1119-2020）</w:t>
            </w:r>
            <w:r>
              <w:rPr>
                <w:rFonts w:hint="eastAsia"/>
                <w:color w:val="auto"/>
                <w:sz w:val="24"/>
                <w:szCs w:val="24"/>
                <w:lang w:eastAsia="zh-CN"/>
              </w:rPr>
              <w:t>，项目运营期废水监测计划见下表4-</w:t>
            </w:r>
            <w:r>
              <w:rPr>
                <w:rFonts w:hint="eastAsia"/>
                <w:color w:val="auto"/>
                <w:sz w:val="24"/>
                <w:szCs w:val="24"/>
                <w:lang w:val="en-US" w:eastAsia="zh-CN"/>
              </w:rPr>
              <w:t>7</w:t>
            </w:r>
            <w:r>
              <w:rPr>
                <w:rFonts w:hint="eastAsia"/>
                <w:color w:val="auto"/>
                <w:sz w:val="24"/>
                <w:szCs w:val="24"/>
                <w:lang w:eastAsia="zh-CN"/>
              </w:rPr>
              <w:t>。</w:t>
            </w:r>
          </w:p>
          <w:p>
            <w:pPr>
              <w:pStyle w:val="137"/>
              <w:spacing w:line="400" w:lineRule="exact"/>
              <w:ind w:firstLine="420" w:firstLineChars="200"/>
              <w:jc w:val="center"/>
              <w:rPr>
                <w:rFonts w:ascii="Times New Roman" w:eastAsia="宋体"/>
                <w:bCs/>
                <w:color w:val="auto"/>
                <w:sz w:val="21"/>
                <w:szCs w:val="21"/>
                <w:lang w:val="zh-CN"/>
              </w:rPr>
            </w:pPr>
            <w:r>
              <w:rPr>
                <w:rFonts w:ascii="Times New Roman" w:eastAsia="宋体"/>
                <w:bCs/>
                <w:color w:val="auto"/>
                <w:sz w:val="21"/>
                <w:szCs w:val="21"/>
                <w:lang w:val="zh-CN"/>
              </w:rPr>
              <w:t>表4-</w:t>
            </w:r>
            <w:r>
              <w:rPr>
                <w:rFonts w:hint="eastAsia" w:ascii="Times New Roman" w:eastAsia="宋体"/>
                <w:bCs/>
                <w:color w:val="auto"/>
                <w:sz w:val="21"/>
                <w:szCs w:val="21"/>
                <w:lang w:val="en-US" w:eastAsia="zh-CN"/>
              </w:rPr>
              <w:t>7</w:t>
            </w:r>
            <w:r>
              <w:rPr>
                <w:rFonts w:ascii="Times New Roman" w:eastAsia="宋体"/>
                <w:bCs/>
                <w:color w:val="auto"/>
                <w:sz w:val="21"/>
                <w:szCs w:val="21"/>
                <w:lang w:val="zh-CN"/>
              </w:rPr>
              <w:t xml:space="preserve">  运营期</w:t>
            </w:r>
            <w:r>
              <w:rPr>
                <w:rFonts w:hint="eastAsia" w:ascii="Times New Roman" w:eastAsia="宋体"/>
                <w:bCs/>
                <w:color w:val="auto"/>
                <w:sz w:val="21"/>
                <w:szCs w:val="21"/>
                <w:lang w:val="zh-CN"/>
              </w:rPr>
              <w:t>废水</w:t>
            </w:r>
            <w:r>
              <w:rPr>
                <w:rFonts w:ascii="Times New Roman" w:eastAsia="宋体"/>
                <w:bCs/>
                <w:color w:val="auto"/>
                <w:sz w:val="21"/>
                <w:szCs w:val="21"/>
                <w:lang w:val="zh-CN"/>
              </w:rPr>
              <w:t>监测计划</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245"/>
              <w:gridCol w:w="2667"/>
              <w:gridCol w:w="1693"/>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tcBorders>
                    <w:tl2br w:val="nil"/>
                    <w:tr2bl w:val="nil"/>
                  </w:tcBorders>
                  <w:vAlign w:val="center"/>
                </w:tcPr>
                <w:p>
                  <w:pPr>
                    <w:jc w:val="center"/>
                    <w:rPr>
                      <w:b/>
                      <w:bCs/>
                      <w:color w:val="auto"/>
                      <w:sz w:val="21"/>
                      <w:szCs w:val="21"/>
                    </w:rPr>
                  </w:pPr>
                  <w:r>
                    <w:rPr>
                      <w:b/>
                      <w:bCs/>
                      <w:color w:val="auto"/>
                      <w:sz w:val="21"/>
                      <w:szCs w:val="21"/>
                    </w:rPr>
                    <w:t>污染源</w:t>
                  </w:r>
                </w:p>
              </w:tc>
              <w:tc>
                <w:tcPr>
                  <w:tcW w:w="706" w:type="pct"/>
                  <w:tcBorders>
                    <w:tl2br w:val="nil"/>
                    <w:tr2bl w:val="nil"/>
                  </w:tcBorders>
                  <w:vAlign w:val="center"/>
                </w:tcPr>
                <w:p>
                  <w:pPr>
                    <w:jc w:val="center"/>
                    <w:rPr>
                      <w:b/>
                      <w:bCs/>
                      <w:color w:val="auto"/>
                      <w:sz w:val="21"/>
                      <w:szCs w:val="21"/>
                    </w:rPr>
                  </w:pPr>
                  <w:r>
                    <w:rPr>
                      <w:b/>
                      <w:bCs/>
                      <w:color w:val="auto"/>
                      <w:sz w:val="21"/>
                      <w:szCs w:val="21"/>
                    </w:rPr>
                    <w:t>监测点位</w:t>
                  </w:r>
                </w:p>
              </w:tc>
              <w:tc>
                <w:tcPr>
                  <w:tcW w:w="1512" w:type="pct"/>
                  <w:tcBorders>
                    <w:tl2br w:val="nil"/>
                    <w:tr2bl w:val="nil"/>
                  </w:tcBorders>
                  <w:vAlign w:val="center"/>
                </w:tcPr>
                <w:p>
                  <w:pPr>
                    <w:jc w:val="center"/>
                    <w:rPr>
                      <w:b/>
                      <w:bCs/>
                      <w:color w:val="auto"/>
                      <w:sz w:val="21"/>
                      <w:szCs w:val="21"/>
                    </w:rPr>
                  </w:pPr>
                  <w:r>
                    <w:rPr>
                      <w:b/>
                      <w:bCs/>
                      <w:color w:val="auto"/>
                      <w:sz w:val="21"/>
                      <w:szCs w:val="21"/>
                    </w:rPr>
                    <w:t>监测因子</w:t>
                  </w:r>
                </w:p>
              </w:tc>
              <w:tc>
                <w:tcPr>
                  <w:tcW w:w="960" w:type="pct"/>
                  <w:tcBorders>
                    <w:tl2br w:val="nil"/>
                    <w:tr2bl w:val="nil"/>
                  </w:tcBorders>
                  <w:vAlign w:val="center"/>
                </w:tcPr>
                <w:p>
                  <w:pPr>
                    <w:jc w:val="center"/>
                    <w:rPr>
                      <w:b/>
                      <w:bCs/>
                      <w:color w:val="auto"/>
                      <w:sz w:val="21"/>
                      <w:szCs w:val="21"/>
                    </w:rPr>
                  </w:pPr>
                  <w:r>
                    <w:rPr>
                      <w:b/>
                      <w:bCs/>
                      <w:color w:val="auto"/>
                      <w:sz w:val="21"/>
                      <w:szCs w:val="21"/>
                    </w:rPr>
                    <w:t>监测频次</w:t>
                  </w:r>
                </w:p>
              </w:tc>
              <w:tc>
                <w:tcPr>
                  <w:tcW w:w="1349" w:type="pct"/>
                  <w:tcBorders>
                    <w:tl2br w:val="nil"/>
                    <w:tr2bl w:val="nil"/>
                  </w:tcBorders>
                  <w:vAlign w:val="center"/>
                </w:tcPr>
                <w:p>
                  <w:pPr>
                    <w:jc w:val="center"/>
                    <w:rPr>
                      <w:b/>
                      <w:bCs/>
                      <w:color w:val="auto"/>
                      <w:sz w:val="21"/>
                      <w:szCs w:val="21"/>
                    </w:rPr>
                  </w:pPr>
                  <w:r>
                    <w:rPr>
                      <w:b/>
                      <w:bCs/>
                      <w:color w:val="auto"/>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69" w:type="pct"/>
                  <w:tcBorders>
                    <w:tl2br w:val="nil"/>
                    <w:tr2bl w:val="nil"/>
                  </w:tcBorders>
                  <w:vAlign w:val="center"/>
                </w:tcPr>
                <w:p>
                  <w:pPr>
                    <w:pStyle w:val="1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沥青混合料</w:t>
                  </w:r>
                </w:p>
              </w:tc>
              <w:tc>
                <w:tcPr>
                  <w:tcW w:w="706" w:type="pct"/>
                  <w:tcBorders>
                    <w:tl2br w:val="nil"/>
                    <w:tr2bl w:val="nil"/>
                  </w:tcBorders>
                  <w:vAlign w:val="center"/>
                </w:tcPr>
                <w:p>
                  <w:pPr>
                    <w:pStyle w:val="197"/>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生活污水单独排放口</w:t>
                  </w:r>
                </w:p>
              </w:tc>
              <w:tc>
                <w:tcPr>
                  <w:tcW w:w="1512" w:type="pct"/>
                  <w:tcBorders>
                    <w:tl2br w:val="nil"/>
                    <w:tr2bl w:val="nil"/>
                  </w:tcBorders>
                  <w:vAlign w:val="center"/>
                </w:tcPr>
                <w:p>
                  <w:pPr>
                    <w:pStyle w:val="197"/>
                    <w:rPr>
                      <w:rFonts w:hint="default" w:eastAsia="宋体"/>
                      <w:color w:val="auto"/>
                      <w:sz w:val="21"/>
                      <w:szCs w:val="21"/>
                      <w:lang w:val="en-US" w:eastAsia="zh-CN"/>
                    </w:rPr>
                  </w:pPr>
                  <w:r>
                    <w:rPr>
                      <w:color w:val="auto"/>
                      <w:sz w:val="21"/>
                      <w:szCs w:val="21"/>
                    </w:rPr>
                    <w:t>pH、COD、氨氮、SS、BOD</w:t>
                  </w:r>
                  <w:r>
                    <w:rPr>
                      <w:color w:val="auto"/>
                      <w:sz w:val="21"/>
                      <w:szCs w:val="21"/>
                      <w:vertAlign w:val="subscript"/>
                    </w:rPr>
                    <w:t>5</w:t>
                  </w:r>
                  <w:r>
                    <w:rPr>
                      <w:rFonts w:hint="eastAsia"/>
                      <w:color w:val="auto"/>
                      <w:sz w:val="21"/>
                      <w:szCs w:val="21"/>
                      <w:vertAlign w:val="baseline"/>
                      <w:lang w:eastAsia="zh-CN"/>
                    </w:rPr>
                    <w:t>、</w:t>
                  </w:r>
                  <w:r>
                    <w:rPr>
                      <w:rFonts w:hint="eastAsia"/>
                      <w:color w:val="auto"/>
                      <w:sz w:val="21"/>
                      <w:szCs w:val="21"/>
                      <w:vertAlign w:val="baseline"/>
                      <w:lang w:val="en-US" w:eastAsia="zh-CN"/>
                    </w:rPr>
                    <w:t>总磷</w:t>
                  </w:r>
                </w:p>
              </w:tc>
              <w:tc>
                <w:tcPr>
                  <w:tcW w:w="960" w:type="pct"/>
                  <w:tcBorders>
                    <w:tl2br w:val="nil"/>
                    <w:tr2bl w:val="nil"/>
                  </w:tcBorders>
                  <w:vAlign w:val="center"/>
                </w:tcPr>
                <w:p>
                  <w:pPr>
                    <w:pStyle w:val="198"/>
                    <w:spacing w:before="0" w:beforeLines="0" w:line="240" w:lineRule="auto"/>
                    <w:rPr>
                      <w:rFonts w:hint="default" w:eastAsia="宋体"/>
                      <w:b w:val="0"/>
                      <w:color w:val="auto"/>
                      <w:sz w:val="21"/>
                      <w:szCs w:val="21"/>
                      <w:lang w:val="en-US" w:eastAsia="zh-CN"/>
                    </w:rPr>
                  </w:pPr>
                  <w:r>
                    <w:rPr>
                      <w:rFonts w:hint="eastAsia"/>
                      <w:b w:val="0"/>
                      <w:color w:val="auto"/>
                      <w:sz w:val="21"/>
                      <w:szCs w:val="21"/>
                      <w:lang w:val="en-US" w:eastAsia="zh-CN"/>
                    </w:rPr>
                    <w:t>半年</w:t>
                  </w:r>
                </w:p>
              </w:tc>
              <w:tc>
                <w:tcPr>
                  <w:tcW w:w="1349" w:type="pct"/>
                  <w:tcBorders>
                    <w:tl2br w:val="nil"/>
                    <w:tr2bl w:val="nil"/>
                  </w:tcBorders>
                  <w:vAlign w:val="center"/>
                </w:tcPr>
                <w:p>
                  <w:pPr>
                    <w:pStyle w:val="199"/>
                    <w:rPr>
                      <w:rFonts w:hint="default" w:eastAsia="宋体"/>
                      <w:color w:val="auto"/>
                      <w:sz w:val="21"/>
                      <w:szCs w:val="21"/>
                      <w:lang w:val="en-US" w:eastAsia="zh-CN"/>
                    </w:rPr>
                  </w:pPr>
                  <w:r>
                    <w:rPr>
                      <w:color w:val="auto"/>
                      <w:sz w:val="21"/>
                      <w:szCs w:val="21"/>
                    </w:rPr>
                    <w:t>《污水综合排放标准》（GB8978--1996）三级标准</w:t>
                  </w:r>
                </w:p>
              </w:tc>
            </w:tr>
          </w:tbl>
          <w:p>
            <w:pPr>
              <w:spacing w:line="360" w:lineRule="auto"/>
              <w:jc w:val="left"/>
              <w:rPr>
                <w:color w:val="auto"/>
                <w:sz w:val="24"/>
              </w:rPr>
            </w:pPr>
            <w:r>
              <w:rPr>
                <w:color w:val="auto"/>
                <w:sz w:val="24"/>
              </w:rPr>
              <w:t>三、噪声</w:t>
            </w:r>
          </w:p>
          <w:p>
            <w:pPr>
              <w:pStyle w:val="99"/>
              <w:spacing w:beforeLines="0" w:afterLines="0" w:line="360" w:lineRule="auto"/>
              <w:ind w:firstLine="480"/>
              <w:contextualSpacing/>
              <w:rPr>
                <w:rFonts w:eastAsiaTheme="majorEastAsia"/>
                <w:color w:val="auto"/>
                <w:kern w:val="0"/>
              </w:rPr>
            </w:pPr>
            <w:r>
              <w:rPr>
                <w:rFonts w:hint="eastAsia" w:eastAsiaTheme="majorEastAsia"/>
                <w:color w:val="auto"/>
                <w:kern w:val="0"/>
              </w:rPr>
              <w:t>1、噪声源强</w:t>
            </w:r>
          </w:p>
          <w:p>
            <w:pPr>
              <w:pStyle w:val="99"/>
              <w:spacing w:beforeLines="0" w:afterLines="0" w:line="360" w:lineRule="auto"/>
              <w:ind w:firstLine="480"/>
              <w:contextualSpacing/>
              <w:rPr>
                <w:rFonts w:eastAsiaTheme="majorEastAsia"/>
                <w:color w:val="auto"/>
                <w:kern w:val="0"/>
              </w:rPr>
            </w:pPr>
            <w:r>
              <w:rPr>
                <w:rFonts w:hint="eastAsia" w:eastAsiaTheme="majorEastAsia"/>
                <w:color w:val="auto"/>
                <w:kern w:val="0"/>
              </w:rPr>
              <w:t>该项目噪声源主要加工设备噪声，产生噪声的设备有搅拌机、运输车、泵车等，其噪声源强在75~90dB(A)。主要噪声源强见表4-</w:t>
            </w:r>
            <w:r>
              <w:rPr>
                <w:rFonts w:hint="eastAsia" w:eastAsiaTheme="majorEastAsia"/>
                <w:color w:val="auto"/>
                <w:kern w:val="0"/>
                <w:lang w:val="en-US" w:eastAsia="zh-CN"/>
              </w:rPr>
              <w:t>8</w:t>
            </w:r>
            <w:r>
              <w:rPr>
                <w:rFonts w:hint="eastAsia" w:eastAsiaTheme="majorEastAsia"/>
                <w:color w:val="auto"/>
                <w:kern w:val="0"/>
              </w:rPr>
              <w:t>。</w:t>
            </w:r>
          </w:p>
          <w:p>
            <w:pPr>
              <w:pStyle w:val="116"/>
              <w:rPr>
                <w:rFonts w:ascii="Times New Roman"/>
                <w:color w:val="auto"/>
              </w:rPr>
            </w:pPr>
            <w:r>
              <w:rPr>
                <w:rFonts w:hint="eastAsia" w:ascii="Times New Roman"/>
                <w:color w:val="auto"/>
              </w:rPr>
              <w:t>表4-</w:t>
            </w:r>
            <w:r>
              <w:rPr>
                <w:rFonts w:hint="eastAsia" w:ascii="Times New Roman"/>
                <w:color w:val="auto"/>
                <w:lang w:val="en-US" w:eastAsia="zh-CN"/>
              </w:rPr>
              <w:t>8</w:t>
            </w:r>
            <w:r>
              <w:rPr>
                <w:rFonts w:hint="eastAsia" w:ascii="Times New Roman"/>
                <w:color w:val="auto"/>
              </w:rPr>
              <w:t>主要设备噪声源强</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2272"/>
              <w:gridCol w:w="1477"/>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00"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编号</w:t>
                  </w:r>
                </w:p>
              </w:tc>
              <w:tc>
                <w:tcPr>
                  <w:tcW w:w="2272"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机械名称</w:t>
                  </w:r>
                </w:p>
              </w:tc>
              <w:tc>
                <w:tcPr>
                  <w:tcW w:w="1477"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数量</w:t>
                  </w:r>
                </w:p>
              </w:tc>
              <w:tc>
                <w:tcPr>
                  <w:tcW w:w="3357"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00"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1</w:t>
                  </w:r>
                </w:p>
              </w:tc>
              <w:tc>
                <w:tcPr>
                  <w:tcW w:w="2272"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搅拌机</w:t>
                  </w:r>
                </w:p>
              </w:tc>
              <w:tc>
                <w:tcPr>
                  <w:tcW w:w="1477" w:type="dxa"/>
                </w:tcPr>
                <w:p>
                  <w:pPr>
                    <w:pStyle w:val="92"/>
                    <w:rPr>
                      <w:rFonts w:ascii="Times New Roman" w:hAnsi="Times New Roman" w:eastAsia="宋体"/>
                      <w:b w:val="0"/>
                      <w:bCs/>
                      <w:color w:val="auto"/>
                    </w:rPr>
                  </w:pPr>
                  <w:r>
                    <w:rPr>
                      <w:rFonts w:hint="eastAsia" w:ascii="Times New Roman" w:hAnsi="Times New Roman" w:eastAsia="宋体" w:cs="Times New Roman"/>
                      <w:b w:val="0"/>
                      <w:bCs/>
                      <w:color w:val="auto"/>
                    </w:rPr>
                    <w:t>1</w:t>
                  </w:r>
                </w:p>
              </w:tc>
              <w:tc>
                <w:tcPr>
                  <w:tcW w:w="3357"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00"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2</w:t>
                  </w:r>
                </w:p>
              </w:tc>
              <w:tc>
                <w:tcPr>
                  <w:tcW w:w="2272"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振动筛</w:t>
                  </w:r>
                </w:p>
              </w:tc>
              <w:tc>
                <w:tcPr>
                  <w:tcW w:w="1477" w:type="dxa"/>
                </w:tcPr>
                <w:p>
                  <w:pPr>
                    <w:pStyle w:val="92"/>
                    <w:rPr>
                      <w:rFonts w:ascii="Times New Roman" w:hAnsi="Times New Roman" w:eastAsia="宋体"/>
                      <w:b w:val="0"/>
                      <w:bCs/>
                      <w:color w:val="auto"/>
                    </w:rPr>
                  </w:pPr>
                  <w:r>
                    <w:rPr>
                      <w:rFonts w:hint="eastAsia" w:ascii="Times New Roman" w:hAnsi="Times New Roman" w:eastAsia="宋体" w:cs="Times New Roman"/>
                      <w:b w:val="0"/>
                      <w:bCs/>
                      <w:color w:val="auto"/>
                    </w:rPr>
                    <w:t>1</w:t>
                  </w:r>
                </w:p>
              </w:tc>
              <w:tc>
                <w:tcPr>
                  <w:tcW w:w="3357"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00"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3</w:t>
                  </w:r>
                </w:p>
              </w:tc>
              <w:tc>
                <w:tcPr>
                  <w:tcW w:w="2272"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风机</w:t>
                  </w:r>
                </w:p>
              </w:tc>
              <w:tc>
                <w:tcPr>
                  <w:tcW w:w="1477" w:type="dxa"/>
                </w:tcPr>
                <w:p>
                  <w:pPr>
                    <w:pStyle w:val="92"/>
                    <w:rPr>
                      <w:rFonts w:ascii="Times New Roman" w:hAnsi="Times New Roman" w:eastAsia="宋体"/>
                      <w:b w:val="0"/>
                      <w:bCs/>
                      <w:color w:val="auto"/>
                    </w:rPr>
                  </w:pPr>
                  <w:r>
                    <w:rPr>
                      <w:rFonts w:hint="eastAsia" w:ascii="Times New Roman" w:hAnsi="Times New Roman" w:eastAsia="宋体" w:cs="Times New Roman"/>
                      <w:b w:val="0"/>
                      <w:bCs/>
                      <w:color w:val="auto"/>
                    </w:rPr>
                    <w:t>1</w:t>
                  </w:r>
                </w:p>
              </w:tc>
              <w:tc>
                <w:tcPr>
                  <w:tcW w:w="3357"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00" w:type="dxa"/>
                  <w:vAlign w:val="center"/>
                </w:tcPr>
                <w:p>
                  <w:pPr>
                    <w:pStyle w:val="92"/>
                    <w:rPr>
                      <w:rFonts w:ascii="Times New Roman" w:hAnsi="Times New Roman" w:eastAsia="宋体"/>
                      <w:b w:val="0"/>
                      <w:bCs/>
                      <w:color w:val="auto"/>
                    </w:rPr>
                  </w:pPr>
                  <w:r>
                    <w:rPr>
                      <w:rFonts w:ascii="Times New Roman" w:hAnsi="Times New Roman" w:eastAsia="宋体" w:cs="Times New Roman"/>
                      <w:b w:val="0"/>
                      <w:bCs/>
                      <w:color w:val="auto"/>
                    </w:rPr>
                    <w:t>4</w:t>
                  </w:r>
                </w:p>
              </w:tc>
              <w:tc>
                <w:tcPr>
                  <w:tcW w:w="2272"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烘干滚筒</w:t>
                  </w:r>
                </w:p>
              </w:tc>
              <w:tc>
                <w:tcPr>
                  <w:tcW w:w="1477" w:type="dxa"/>
                </w:tcPr>
                <w:p>
                  <w:pPr>
                    <w:pStyle w:val="92"/>
                    <w:rPr>
                      <w:rFonts w:ascii="Times New Roman" w:hAnsi="Times New Roman" w:eastAsia="宋体"/>
                      <w:b w:val="0"/>
                      <w:bCs/>
                      <w:color w:val="auto"/>
                    </w:rPr>
                  </w:pPr>
                  <w:r>
                    <w:rPr>
                      <w:rFonts w:hint="eastAsia" w:ascii="Times New Roman" w:hAnsi="Times New Roman" w:eastAsia="宋体" w:cs="Times New Roman"/>
                      <w:b w:val="0"/>
                      <w:bCs/>
                      <w:color w:val="auto"/>
                    </w:rPr>
                    <w:t>1</w:t>
                  </w:r>
                </w:p>
              </w:tc>
              <w:tc>
                <w:tcPr>
                  <w:tcW w:w="3357" w:type="dxa"/>
                </w:tcPr>
                <w:p>
                  <w:pPr>
                    <w:pStyle w:val="92"/>
                    <w:rPr>
                      <w:rFonts w:ascii="Times New Roman" w:hAnsi="Times New Roman" w:eastAsia="宋体"/>
                      <w:b w:val="0"/>
                      <w:bCs/>
                      <w:color w:val="auto"/>
                    </w:rPr>
                  </w:pPr>
                  <w:r>
                    <w:rPr>
                      <w:rFonts w:ascii="Times New Roman" w:hAnsi="Times New Roman" w:eastAsia="宋体" w:cs="Times New Roman"/>
                      <w:b w:val="0"/>
                      <w:bCs/>
                      <w:color w:val="auto"/>
                    </w:rPr>
                    <w:t>70-80</w:t>
                  </w:r>
                </w:p>
              </w:tc>
            </w:tr>
          </w:tbl>
          <w:p>
            <w:pPr>
              <w:pStyle w:val="99"/>
              <w:spacing w:beforeLines="0" w:afterLines="0" w:line="360" w:lineRule="auto"/>
              <w:ind w:firstLine="480"/>
              <w:contextualSpacing/>
              <w:rPr>
                <w:rFonts w:hint="default" w:eastAsiaTheme="majorEastAsia"/>
                <w:color w:val="auto"/>
                <w:kern w:val="0"/>
                <w:lang w:val="en-US" w:eastAsia="zh-CN"/>
              </w:rPr>
            </w:pPr>
            <w:r>
              <w:rPr>
                <w:rFonts w:hint="eastAsia" w:eastAsiaTheme="majorEastAsia"/>
                <w:color w:val="auto"/>
                <w:kern w:val="0"/>
                <w:lang w:val="en-US" w:eastAsia="zh-CN"/>
              </w:rPr>
              <w:t>2、噪声影响分析</w:t>
            </w:r>
          </w:p>
          <w:p>
            <w:pPr>
              <w:spacing w:line="360" w:lineRule="auto"/>
              <w:ind w:firstLine="480" w:firstLineChars="200"/>
              <w:rPr>
                <w:color w:val="auto"/>
                <w:sz w:val="24"/>
              </w:rPr>
            </w:pPr>
            <w:r>
              <w:rPr>
                <w:color w:val="auto"/>
                <w:sz w:val="24"/>
              </w:rPr>
              <w:t>根据《环境影响评价技术导则 声环境》（HJ2.4-2021）的要求，本项目声环境影响预测模型采用导则中附录A（规范性附录）户外声传播的衰减和附录B（规范性附录）中“B.1工业噪声预测计算模型”。</w:t>
            </w:r>
          </w:p>
          <w:p>
            <w:pPr>
              <w:pStyle w:val="196"/>
              <w:adjustRightInd w:val="0"/>
              <w:snapToGrid w:val="0"/>
              <w:spacing w:line="360" w:lineRule="auto"/>
              <w:ind w:firstLine="480" w:firstLineChars="200"/>
              <w:textAlignment w:val="center"/>
              <w:rPr>
                <w:color w:val="auto"/>
                <w:sz w:val="24"/>
                <w:szCs w:val="24"/>
              </w:rPr>
            </w:pPr>
            <w:r>
              <w:rPr>
                <w:rFonts w:hint="eastAsia" w:asciiTheme="minorEastAsia" w:hAnsiTheme="minorEastAsia" w:eastAsiaTheme="minorEastAsia"/>
                <w:color w:val="auto"/>
                <w:sz w:val="24"/>
              </w:rPr>
              <w:t>①</w:t>
            </w:r>
            <w:r>
              <w:rPr>
                <w:color w:val="auto"/>
                <w:sz w:val="24"/>
                <w:szCs w:val="24"/>
              </w:rPr>
              <w:t>无指向性点声源几何发散衰减的基本公式是：</w:t>
            </w:r>
          </w:p>
          <w:p>
            <w:pPr>
              <w:pStyle w:val="196"/>
              <w:adjustRightInd w:val="0"/>
              <w:snapToGrid w:val="0"/>
              <w:spacing w:line="360" w:lineRule="auto"/>
              <w:ind w:firstLine="198"/>
              <w:jc w:val="center"/>
              <w:textAlignment w:val="center"/>
              <w:rPr>
                <w:color w:val="auto"/>
                <w:sz w:val="24"/>
                <w:szCs w:val="24"/>
              </w:rPr>
            </w:pPr>
            <w:r>
              <w:rPr>
                <w:color w:val="auto"/>
                <w:position w:val="-30"/>
                <w:sz w:val="24"/>
                <w:szCs w:val="24"/>
              </w:rPr>
              <w:object>
                <v:shape id="_x0000_i1026" o:spt="75" type="#_x0000_t75" style="height:35.15pt;width:132.3pt;" o:ole="t" filled="f" coordsize="21600,21600">
                  <v:path/>
                  <v:fill on="f" focussize="0,0"/>
                  <v:stroke/>
                  <v:imagedata r:id="rId10" o:title=""/>
                  <o:lock v:ext="edit" aspectratio="t"/>
                  <w10:wrap type="none"/>
                  <w10:anchorlock/>
                </v:shape>
                <o:OLEObject Type="Embed" ProgID="Equation.3" ShapeID="_x0000_i1026" DrawAspect="Content" ObjectID="_1468075726" r:id="rId9">
                  <o:LockedField>false</o:LockedField>
                </o:OLEObject>
              </w:object>
            </w:r>
          </w:p>
          <w:p>
            <w:pPr>
              <w:spacing w:line="360" w:lineRule="auto"/>
              <w:ind w:firstLine="480"/>
              <w:textAlignment w:val="center"/>
              <w:rPr>
                <w:color w:val="auto"/>
                <w:sz w:val="24"/>
              </w:rPr>
            </w:pPr>
            <w:r>
              <w:rPr>
                <w:color w:val="auto"/>
                <w:sz w:val="24"/>
              </w:rPr>
              <w:t>式中：</w:t>
            </w:r>
            <w:r>
              <w:rPr>
                <w:i/>
                <w:color w:val="auto"/>
                <w:sz w:val="24"/>
              </w:rPr>
              <w:t>L</w:t>
            </w:r>
            <w:r>
              <w:rPr>
                <w:color w:val="auto"/>
                <w:sz w:val="24"/>
                <w:vertAlign w:val="subscript"/>
              </w:rPr>
              <w:t>p</w:t>
            </w:r>
            <w:r>
              <w:rPr>
                <w:color w:val="auto"/>
                <w:sz w:val="24"/>
              </w:rPr>
              <w:t>(</w:t>
            </w:r>
            <w:r>
              <w:rPr>
                <w:i/>
                <w:color w:val="auto"/>
                <w:sz w:val="24"/>
              </w:rPr>
              <w:t>r</w:t>
            </w:r>
            <w:r>
              <w:rPr>
                <w:color w:val="auto"/>
                <w:sz w:val="24"/>
              </w:rPr>
              <w:t>)—预测点处声压级，dB；</w:t>
            </w:r>
          </w:p>
          <w:p>
            <w:pPr>
              <w:spacing w:line="360" w:lineRule="auto"/>
              <w:ind w:firstLine="948" w:firstLineChars="395"/>
              <w:textAlignment w:val="center"/>
              <w:rPr>
                <w:color w:val="auto"/>
                <w:sz w:val="24"/>
              </w:rPr>
            </w:pPr>
            <w:r>
              <w:rPr>
                <w:i/>
                <w:color w:val="auto"/>
                <w:sz w:val="24"/>
              </w:rPr>
              <w:t>L</w:t>
            </w:r>
            <w:r>
              <w:rPr>
                <w:color w:val="auto"/>
                <w:sz w:val="24"/>
                <w:vertAlign w:val="subscript"/>
              </w:rPr>
              <w:t>p</w:t>
            </w:r>
            <w:r>
              <w:rPr>
                <w:color w:val="auto"/>
                <w:sz w:val="24"/>
              </w:rPr>
              <w:t>(</w:t>
            </w:r>
            <w:r>
              <w:rPr>
                <w:i/>
                <w:color w:val="auto"/>
                <w:sz w:val="24"/>
              </w:rPr>
              <w:t>r</w:t>
            </w:r>
            <w:r>
              <w:rPr>
                <w:i/>
                <w:color w:val="auto"/>
                <w:sz w:val="24"/>
                <w:vertAlign w:val="subscript"/>
              </w:rPr>
              <w:t>0</w:t>
            </w:r>
            <w:r>
              <w:rPr>
                <w:color w:val="auto"/>
                <w:sz w:val="24"/>
              </w:rPr>
              <w:t>)—参考位置</w:t>
            </w:r>
            <w:r>
              <w:rPr>
                <w:i/>
                <w:color w:val="auto"/>
                <w:sz w:val="24"/>
              </w:rPr>
              <w:t>r</w:t>
            </w:r>
            <w:r>
              <w:rPr>
                <w:color w:val="auto"/>
                <w:sz w:val="24"/>
                <w:vertAlign w:val="subscript"/>
              </w:rPr>
              <w:t>0</w:t>
            </w:r>
            <w:r>
              <w:rPr>
                <w:color w:val="auto"/>
                <w:sz w:val="24"/>
              </w:rPr>
              <w:t>处的声压级，dB；</w:t>
            </w:r>
          </w:p>
          <w:p>
            <w:pPr>
              <w:pStyle w:val="196"/>
              <w:spacing w:line="360" w:lineRule="auto"/>
              <w:ind w:firstLine="916" w:firstLineChars="382"/>
              <w:textAlignment w:val="center"/>
              <w:rPr>
                <w:color w:val="auto"/>
                <w:sz w:val="24"/>
                <w:szCs w:val="24"/>
              </w:rPr>
            </w:pPr>
            <w:r>
              <w:rPr>
                <w:i/>
                <w:color w:val="auto"/>
                <w:sz w:val="24"/>
                <w:szCs w:val="24"/>
              </w:rPr>
              <w:t>r</w:t>
            </w:r>
            <w:r>
              <w:rPr>
                <w:color w:val="auto"/>
                <w:sz w:val="24"/>
                <w:szCs w:val="24"/>
              </w:rPr>
              <w:t>—预测点距声源的距离；</w:t>
            </w:r>
          </w:p>
          <w:p>
            <w:pPr>
              <w:pStyle w:val="196"/>
              <w:spacing w:line="360" w:lineRule="auto"/>
              <w:ind w:firstLine="916" w:firstLineChars="382"/>
              <w:textAlignment w:val="center"/>
              <w:rPr>
                <w:color w:val="auto"/>
                <w:sz w:val="24"/>
                <w:szCs w:val="24"/>
              </w:rPr>
            </w:pPr>
            <w:r>
              <w:rPr>
                <w:i/>
                <w:color w:val="auto"/>
                <w:sz w:val="24"/>
                <w:szCs w:val="24"/>
              </w:rPr>
              <w:t>r</w:t>
            </w:r>
            <w:r>
              <w:rPr>
                <w:color w:val="auto"/>
                <w:sz w:val="24"/>
                <w:szCs w:val="24"/>
                <w:vertAlign w:val="subscript"/>
              </w:rPr>
              <w:t>0</w:t>
            </w:r>
            <w:r>
              <w:rPr>
                <w:color w:val="auto"/>
                <w:sz w:val="24"/>
                <w:szCs w:val="24"/>
              </w:rPr>
              <w:t>—参考位置距声源的距离，m。</w:t>
            </w:r>
          </w:p>
          <w:p>
            <w:pPr>
              <w:spacing w:line="360" w:lineRule="auto"/>
              <w:ind w:firstLine="480" w:firstLineChars="200"/>
              <w:rPr>
                <w:color w:val="auto"/>
                <w:sz w:val="24"/>
              </w:rPr>
            </w:pPr>
            <w:r>
              <w:rPr>
                <w:rFonts w:hint="eastAsia" w:ascii="宋体" w:hAnsi="宋体" w:cs="宋体"/>
                <w:color w:val="auto"/>
                <w:sz w:val="24"/>
              </w:rPr>
              <w:t>②</w:t>
            </w:r>
            <w:r>
              <w:rPr>
                <w:color w:val="auto"/>
                <w:sz w:val="24"/>
              </w:rPr>
              <w:t>建设项目声源在预测点产生的等效声级贡献值(L</w:t>
            </w:r>
            <w:r>
              <w:rPr>
                <w:color w:val="auto"/>
                <w:sz w:val="24"/>
                <w:vertAlign w:val="subscript"/>
              </w:rPr>
              <w:t>eqg</w:t>
            </w:r>
            <w:r>
              <w:rPr>
                <w:color w:val="auto"/>
                <w:sz w:val="24"/>
              </w:rPr>
              <w:t>)计算公式：</w:t>
            </w:r>
          </w:p>
          <w:p>
            <w:pPr>
              <w:spacing w:line="360" w:lineRule="auto"/>
              <w:jc w:val="center"/>
              <w:rPr>
                <w:color w:val="auto"/>
                <w:sz w:val="24"/>
              </w:rPr>
            </w:pPr>
            <w:r>
              <w:rPr>
                <w:color w:val="auto"/>
                <w:sz w:val="24"/>
              </w:rPr>
              <w:drawing>
                <wp:inline distT="0" distB="0" distL="0" distR="0">
                  <wp:extent cx="1837690" cy="466090"/>
                  <wp:effectExtent l="0" t="0" r="0" b="10795"/>
                  <wp:docPr id="23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1"/>
                          <pic:cNvPicPr>
                            <a:picLocks noChangeAspect="1" noChangeArrowheads="1"/>
                          </pic:cNvPicPr>
                        </pic:nvPicPr>
                        <pic:blipFill>
                          <a:blip r:embed="rId11" cstate="print"/>
                          <a:srcRect/>
                          <a:stretch>
                            <a:fillRect/>
                          </a:stretch>
                        </pic:blipFill>
                        <pic:spPr>
                          <a:xfrm>
                            <a:off x="0" y="0"/>
                            <a:ext cx="1837690" cy="466090"/>
                          </a:xfrm>
                          <a:prstGeom prst="rect">
                            <a:avLst/>
                          </a:prstGeom>
                          <a:noFill/>
                          <a:ln w="9525">
                            <a:noFill/>
                            <a:miter lim="800000"/>
                            <a:headEnd/>
                            <a:tailEnd/>
                          </a:ln>
                        </pic:spPr>
                      </pic:pic>
                    </a:graphicData>
                  </a:graphic>
                </wp:inline>
              </w:drawing>
            </w:r>
          </w:p>
          <w:p>
            <w:pPr>
              <w:spacing w:line="360" w:lineRule="auto"/>
              <w:ind w:firstLine="480" w:firstLineChars="200"/>
              <w:rPr>
                <w:color w:val="auto"/>
                <w:sz w:val="24"/>
              </w:rPr>
            </w:pPr>
            <w:r>
              <w:rPr>
                <w:color w:val="auto"/>
                <w:sz w:val="24"/>
              </w:rPr>
              <w:t>L</w:t>
            </w:r>
            <w:r>
              <w:rPr>
                <w:color w:val="auto"/>
                <w:sz w:val="24"/>
                <w:vertAlign w:val="subscript"/>
              </w:rPr>
              <w:t>eqg</w:t>
            </w:r>
            <w:r>
              <w:rPr>
                <w:color w:val="auto"/>
                <w:sz w:val="24"/>
              </w:rPr>
              <w:t>——建设项目声源在预测点的等效声级贡献值，dB(A)；</w:t>
            </w:r>
          </w:p>
          <w:p>
            <w:pPr>
              <w:spacing w:line="360" w:lineRule="auto"/>
              <w:ind w:firstLine="480" w:firstLineChars="200"/>
              <w:rPr>
                <w:color w:val="auto"/>
                <w:sz w:val="24"/>
              </w:rPr>
            </w:pPr>
            <w:r>
              <w:rPr>
                <w:color w:val="auto"/>
                <w:sz w:val="24"/>
              </w:rPr>
              <w:t>L</w:t>
            </w:r>
            <w:r>
              <w:rPr>
                <w:color w:val="auto"/>
                <w:sz w:val="24"/>
                <w:vertAlign w:val="subscript"/>
              </w:rPr>
              <w:t>Ai</w:t>
            </w:r>
            <w:r>
              <w:rPr>
                <w:color w:val="auto"/>
                <w:sz w:val="24"/>
              </w:rPr>
              <w:t>——i声源在预测点产生的A声级，dB(A)；</w:t>
            </w:r>
          </w:p>
          <w:p>
            <w:pPr>
              <w:spacing w:line="360" w:lineRule="auto"/>
              <w:ind w:firstLine="480" w:firstLineChars="200"/>
              <w:rPr>
                <w:color w:val="auto"/>
                <w:sz w:val="24"/>
              </w:rPr>
            </w:pPr>
            <w:r>
              <w:rPr>
                <w:color w:val="auto"/>
                <w:sz w:val="24"/>
              </w:rPr>
              <w:t>T——预测计算的时间段，s；</w:t>
            </w:r>
          </w:p>
          <w:p>
            <w:pPr>
              <w:spacing w:line="360" w:lineRule="auto"/>
              <w:ind w:firstLine="480" w:firstLineChars="200"/>
              <w:rPr>
                <w:color w:val="auto"/>
                <w:sz w:val="24"/>
              </w:rPr>
            </w:pPr>
            <w:r>
              <w:rPr>
                <w:color w:val="auto"/>
                <w:sz w:val="24"/>
              </w:rPr>
              <w:t>t</w:t>
            </w:r>
            <w:r>
              <w:rPr>
                <w:color w:val="auto"/>
                <w:sz w:val="24"/>
                <w:vertAlign w:val="subscript"/>
              </w:rPr>
              <w:t>i</w:t>
            </w:r>
            <w:r>
              <w:rPr>
                <w:color w:val="auto"/>
                <w:sz w:val="24"/>
              </w:rPr>
              <w:t>——i声源在T时段内的运行时间，s。</w:t>
            </w:r>
          </w:p>
          <w:p>
            <w:pPr>
              <w:spacing w:line="360" w:lineRule="auto"/>
              <w:ind w:firstLine="480" w:firstLineChars="200"/>
              <w:rPr>
                <w:color w:val="auto"/>
                <w:sz w:val="24"/>
              </w:rPr>
            </w:pPr>
            <w:r>
              <w:rPr>
                <w:rFonts w:hint="eastAsia" w:ascii="宋体" w:hAnsi="宋体" w:cs="宋体"/>
                <w:color w:val="auto"/>
                <w:sz w:val="24"/>
              </w:rPr>
              <w:t>③</w:t>
            </w:r>
            <w:r>
              <w:rPr>
                <w:color w:val="auto"/>
                <w:sz w:val="24"/>
              </w:rPr>
              <w:t>预测点的预测等效声级（L</w:t>
            </w:r>
            <w:r>
              <w:rPr>
                <w:color w:val="auto"/>
                <w:sz w:val="24"/>
                <w:vertAlign w:val="subscript"/>
              </w:rPr>
              <w:t>eq</w:t>
            </w:r>
            <w:r>
              <w:rPr>
                <w:color w:val="auto"/>
                <w:sz w:val="24"/>
              </w:rPr>
              <w:t>）计算公式：</w:t>
            </w:r>
          </w:p>
          <w:p>
            <w:pPr>
              <w:spacing w:line="360" w:lineRule="auto"/>
              <w:ind w:firstLine="480" w:firstLineChars="200"/>
              <w:jc w:val="center"/>
              <w:rPr>
                <w:color w:val="auto"/>
                <w:sz w:val="24"/>
              </w:rPr>
            </w:pPr>
            <w:r>
              <w:rPr>
                <w:color w:val="auto"/>
                <w:sz w:val="24"/>
              </w:rPr>
              <w:drawing>
                <wp:inline distT="0" distB="0" distL="0" distR="0">
                  <wp:extent cx="2087880" cy="284480"/>
                  <wp:effectExtent l="0" t="0" r="0" b="1270"/>
                  <wp:docPr id="23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2"/>
                          <pic:cNvPicPr>
                            <a:picLocks noChangeAspect="1" noChangeArrowheads="1"/>
                          </pic:cNvPicPr>
                        </pic:nvPicPr>
                        <pic:blipFill>
                          <a:blip r:embed="rId12" cstate="print"/>
                          <a:srcRect/>
                          <a:stretch>
                            <a:fillRect/>
                          </a:stretch>
                        </pic:blipFill>
                        <pic:spPr>
                          <a:xfrm>
                            <a:off x="0" y="0"/>
                            <a:ext cx="2087880" cy="284480"/>
                          </a:xfrm>
                          <a:prstGeom prst="rect">
                            <a:avLst/>
                          </a:prstGeom>
                          <a:noFill/>
                          <a:ln w="9525">
                            <a:noFill/>
                            <a:miter lim="800000"/>
                            <a:headEnd/>
                            <a:tailEnd/>
                          </a:ln>
                        </pic:spPr>
                      </pic:pic>
                    </a:graphicData>
                  </a:graphic>
                </wp:inline>
              </w:drawing>
            </w:r>
          </w:p>
          <w:p>
            <w:pPr>
              <w:spacing w:line="360" w:lineRule="auto"/>
              <w:ind w:firstLine="480" w:firstLineChars="200"/>
              <w:rPr>
                <w:color w:val="auto"/>
                <w:sz w:val="24"/>
              </w:rPr>
            </w:pPr>
            <w:r>
              <w:rPr>
                <w:color w:val="auto"/>
                <w:sz w:val="24"/>
              </w:rPr>
              <w:t>式中：L</w:t>
            </w:r>
            <w:r>
              <w:rPr>
                <w:color w:val="auto"/>
                <w:sz w:val="24"/>
                <w:vertAlign w:val="subscript"/>
              </w:rPr>
              <w:t>eqg</w:t>
            </w:r>
            <w:r>
              <w:rPr>
                <w:color w:val="auto"/>
                <w:sz w:val="24"/>
              </w:rPr>
              <w:t>——建设项目声源在预测点的等效声级贡献值，dB(A)；</w:t>
            </w:r>
          </w:p>
          <w:p>
            <w:pPr>
              <w:spacing w:line="360" w:lineRule="auto"/>
              <w:ind w:firstLine="480" w:firstLineChars="200"/>
              <w:rPr>
                <w:color w:val="auto"/>
                <w:sz w:val="24"/>
              </w:rPr>
            </w:pPr>
            <w:r>
              <w:rPr>
                <w:color w:val="auto"/>
                <w:sz w:val="24"/>
              </w:rPr>
              <w:t>L</w:t>
            </w:r>
            <w:r>
              <w:rPr>
                <w:color w:val="auto"/>
                <w:sz w:val="24"/>
                <w:vertAlign w:val="subscript"/>
              </w:rPr>
              <w:t>eqb</w:t>
            </w:r>
            <w:r>
              <w:rPr>
                <w:color w:val="auto"/>
                <w:sz w:val="24"/>
              </w:rPr>
              <w:t>——预测点的背景值，dB（A）。</w:t>
            </w:r>
          </w:p>
          <w:p>
            <w:pPr>
              <w:spacing w:line="360" w:lineRule="auto"/>
              <w:ind w:firstLine="480" w:firstLineChars="200"/>
              <w:rPr>
                <w:color w:val="auto"/>
                <w:sz w:val="24"/>
              </w:rPr>
            </w:pPr>
            <w:r>
              <w:rPr>
                <w:rFonts w:hint="eastAsia" w:ascii="宋体" w:hAnsi="宋体"/>
                <w:color w:val="auto"/>
                <w:sz w:val="24"/>
              </w:rPr>
              <w:t>④</w:t>
            </w:r>
            <w:r>
              <w:rPr>
                <w:color w:val="auto"/>
                <w:sz w:val="24"/>
              </w:rPr>
              <w:t>户外声传播衰减计算</w:t>
            </w:r>
          </w:p>
          <w:p>
            <w:pPr>
              <w:spacing w:line="360" w:lineRule="auto"/>
              <w:ind w:firstLine="480" w:firstLineChars="200"/>
              <w:rPr>
                <w:color w:val="auto"/>
                <w:sz w:val="24"/>
              </w:rPr>
            </w:pPr>
            <w:r>
              <w:rPr>
                <w:color w:val="auto"/>
                <w:sz w:val="24"/>
              </w:rPr>
              <w:t>户外声传播衰减包括几何发散（A</w:t>
            </w:r>
            <w:r>
              <w:rPr>
                <w:color w:val="auto"/>
                <w:sz w:val="24"/>
                <w:vertAlign w:val="subscript"/>
              </w:rPr>
              <w:t>div</w:t>
            </w:r>
            <w:r>
              <w:rPr>
                <w:color w:val="auto"/>
                <w:sz w:val="24"/>
              </w:rPr>
              <w:t>）、大气吸收（A</w:t>
            </w:r>
            <w:r>
              <w:rPr>
                <w:color w:val="auto"/>
                <w:sz w:val="24"/>
                <w:vertAlign w:val="subscript"/>
              </w:rPr>
              <w:t>atm</w:t>
            </w:r>
            <w:r>
              <w:rPr>
                <w:color w:val="auto"/>
                <w:sz w:val="24"/>
              </w:rPr>
              <w:t>）、地面效应（A</w:t>
            </w:r>
            <w:r>
              <w:rPr>
                <w:color w:val="auto"/>
                <w:sz w:val="24"/>
                <w:vertAlign w:val="subscript"/>
              </w:rPr>
              <w:t>gr</w:t>
            </w:r>
            <w:r>
              <w:rPr>
                <w:color w:val="auto"/>
                <w:sz w:val="24"/>
              </w:rPr>
              <w:t>）、屏障屏蔽（A</w:t>
            </w:r>
            <w:r>
              <w:rPr>
                <w:color w:val="auto"/>
                <w:sz w:val="24"/>
                <w:vertAlign w:val="subscript"/>
              </w:rPr>
              <w:t>bar</w:t>
            </w:r>
            <w:r>
              <w:rPr>
                <w:color w:val="auto"/>
                <w:sz w:val="24"/>
              </w:rPr>
              <w:t>）、其他多方面效应（A</w:t>
            </w:r>
            <w:r>
              <w:rPr>
                <w:color w:val="auto"/>
                <w:sz w:val="24"/>
                <w:vertAlign w:val="subscript"/>
              </w:rPr>
              <w:t>misc</w:t>
            </w:r>
            <w:r>
              <w:rPr>
                <w:color w:val="auto"/>
                <w:sz w:val="24"/>
              </w:rPr>
              <w:t>）引起的衰减。</w:t>
            </w:r>
          </w:p>
          <w:p>
            <w:pPr>
              <w:spacing w:line="360" w:lineRule="auto"/>
              <w:ind w:firstLine="480" w:firstLineChars="200"/>
              <w:rPr>
                <w:color w:val="auto"/>
                <w:sz w:val="24"/>
              </w:rPr>
            </w:pPr>
            <w:r>
              <w:rPr>
                <w:color w:val="auto"/>
                <w:sz w:val="24"/>
              </w:rPr>
              <w:t>距声源点r处的A声级按下式计算：</w:t>
            </w:r>
          </w:p>
          <w:p>
            <w:pPr>
              <w:spacing w:line="360" w:lineRule="auto"/>
              <w:jc w:val="center"/>
              <w:rPr>
                <w:color w:val="auto"/>
                <w:sz w:val="24"/>
              </w:rPr>
            </w:pPr>
            <w:r>
              <w:rPr>
                <w:color w:val="auto"/>
                <w:sz w:val="24"/>
              </w:rPr>
              <w:drawing>
                <wp:inline distT="0" distB="0" distL="0" distR="0">
                  <wp:extent cx="3924935" cy="336550"/>
                  <wp:effectExtent l="0" t="0" r="18415" b="6350"/>
                  <wp:docPr id="244"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144"/>
                          <pic:cNvPicPr>
                            <a:picLocks noChangeAspect="1" noChangeArrowheads="1"/>
                          </pic:cNvPicPr>
                        </pic:nvPicPr>
                        <pic:blipFill>
                          <a:blip r:embed="rId13" cstate="print"/>
                          <a:srcRect/>
                          <a:stretch>
                            <a:fillRect/>
                          </a:stretch>
                        </pic:blipFill>
                        <pic:spPr>
                          <a:xfrm>
                            <a:off x="0" y="0"/>
                            <a:ext cx="3924935" cy="336550"/>
                          </a:xfrm>
                          <a:prstGeom prst="rect">
                            <a:avLst/>
                          </a:prstGeom>
                          <a:noFill/>
                          <a:ln w="9525">
                            <a:noFill/>
                            <a:miter lim="800000"/>
                            <a:headEnd/>
                            <a:tailEnd/>
                          </a:ln>
                        </pic:spPr>
                      </pic:pic>
                    </a:graphicData>
                  </a:graphic>
                </wp:inline>
              </w:drawing>
            </w:r>
          </w:p>
          <w:p>
            <w:pPr>
              <w:spacing w:line="360" w:lineRule="auto"/>
              <w:ind w:firstLine="480" w:firstLineChars="200"/>
              <w:rPr>
                <w:color w:val="auto"/>
                <w:sz w:val="24"/>
              </w:rPr>
            </w:pPr>
            <w:r>
              <w:rPr>
                <w:color w:val="auto"/>
                <w:sz w:val="24"/>
              </w:rPr>
              <w:t>在预测中考虑反射引起的修正、屏障引起的衰减、双绕射、室内声源等效室外声源等影响和计算方法。</w:t>
            </w:r>
          </w:p>
          <w:p>
            <w:pPr>
              <w:jc w:val="center"/>
              <w:rPr>
                <w:b/>
                <w:color w:val="auto"/>
                <w:sz w:val="24"/>
              </w:rPr>
            </w:pPr>
            <w:r>
              <w:rPr>
                <w:b/>
                <w:color w:val="auto"/>
                <w:sz w:val="24"/>
              </w:rPr>
              <w:t>表4-</w:t>
            </w:r>
            <w:r>
              <w:rPr>
                <w:rFonts w:hint="eastAsia"/>
                <w:b/>
                <w:color w:val="auto"/>
                <w:sz w:val="24"/>
                <w:lang w:val="en-US" w:eastAsia="zh-CN"/>
              </w:rPr>
              <w:t>9</w:t>
            </w:r>
            <w:r>
              <w:rPr>
                <w:b/>
                <w:color w:val="auto"/>
                <w:sz w:val="24"/>
              </w:rPr>
              <w:t xml:space="preserve">噪声预测结果  </w:t>
            </w:r>
            <w:r>
              <w:rPr>
                <w:color w:val="auto"/>
                <w:sz w:val="24"/>
              </w:rPr>
              <w:t>单位：dB（A）</w:t>
            </w:r>
          </w:p>
          <w:tbl>
            <w:tblPr>
              <w:tblStyle w:val="34"/>
              <w:tblW w:w="8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361"/>
              <w:gridCol w:w="2887"/>
              <w:gridCol w:w="3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682" w:type="pct"/>
                  <w:vAlign w:val="center"/>
                </w:tcPr>
                <w:p>
                  <w:pPr>
                    <w:jc w:val="center"/>
                    <w:rPr>
                      <w:color w:val="auto"/>
                      <w:szCs w:val="21"/>
                    </w:rPr>
                  </w:pPr>
                  <w:r>
                    <w:rPr>
                      <w:color w:val="auto"/>
                    </w:rPr>
                    <w:t>预测点位</w:t>
                  </w:r>
                </w:p>
              </w:tc>
              <w:tc>
                <w:tcPr>
                  <w:tcW w:w="800" w:type="pct"/>
                  <w:vAlign w:val="center"/>
                </w:tcPr>
                <w:p>
                  <w:pPr>
                    <w:jc w:val="center"/>
                    <w:rPr>
                      <w:color w:val="auto"/>
                      <w:szCs w:val="21"/>
                    </w:rPr>
                  </w:pPr>
                  <w:r>
                    <w:rPr>
                      <w:color w:val="auto"/>
                    </w:rPr>
                    <w:t>预测时段</w:t>
                  </w:r>
                </w:p>
              </w:tc>
              <w:tc>
                <w:tcPr>
                  <w:tcW w:w="1697" w:type="pct"/>
                  <w:vAlign w:val="center"/>
                </w:tcPr>
                <w:p>
                  <w:pPr>
                    <w:jc w:val="center"/>
                    <w:rPr>
                      <w:color w:val="auto"/>
                      <w:szCs w:val="21"/>
                    </w:rPr>
                  </w:pPr>
                  <w:r>
                    <w:rPr>
                      <w:color w:val="auto"/>
                    </w:rPr>
                    <w:t>贡献值</w:t>
                  </w:r>
                </w:p>
              </w:tc>
              <w:tc>
                <w:tcPr>
                  <w:tcW w:w="1819" w:type="pct"/>
                  <w:vAlign w:val="center"/>
                </w:tcPr>
                <w:p>
                  <w:pPr>
                    <w:jc w:val="center"/>
                    <w:rPr>
                      <w:color w:val="auto"/>
                      <w:szCs w:val="21"/>
                    </w:rPr>
                  </w:pPr>
                  <w:r>
                    <w:rPr>
                      <w:color w:val="auto"/>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82" w:type="pct"/>
                  <w:vMerge w:val="restart"/>
                  <w:vAlign w:val="center"/>
                </w:tcPr>
                <w:p>
                  <w:pPr>
                    <w:spacing w:line="0" w:lineRule="atLeast"/>
                    <w:jc w:val="center"/>
                    <w:rPr>
                      <w:color w:val="auto"/>
                      <w:szCs w:val="21"/>
                    </w:rPr>
                  </w:pPr>
                  <w:r>
                    <w:rPr>
                      <w:color w:val="auto"/>
                    </w:rPr>
                    <w:t>东侧厂界</w:t>
                  </w:r>
                </w:p>
              </w:tc>
              <w:tc>
                <w:tcPr>
                  <w:tcW w:w="800" w:type="pct"/>
                  <w:vAlign w:val="center"/>
                </w:tcPr>
                <w:p>
                  <w:pPr>
                    <w:spacing w:line="0" w:lineRule="atLeast"/>
                    <w:jc w:val="center"/>
                    <w:rPr>
                      <w:color w:val="auto"/>
                      <w:szCs w:val="21"/>
                    </w:rPr>
                  </w:pPr>
                  <w:r>
                    <w:rPr>
                      <w:color w:val="auto"/>
                    </w:rPr>
                    <w:t>昼</w:t>
                  </w:r>
                </w:p>
              </w:tc>
              <w:tc>
                <w:tcPr>
                  <w:tcW w:w="1697" w:type="pct"/>
                  <w:vAlign w:val="center"/>
                </w:tcPr>
                <w:p>
                  <w:pPr>
                    <w:jc w:val="center"/>
                    <w:rPr>
                      <w:bCs/>
                      <w:color w:val="auto"/>
                      <w:szCs w:val="21"/>
                    </w:rPr>
                  </w:pPr>
                  <w:r>
                    <w:rPr>
                      <w:rFonts w:hint="eastAsia"/>
                      <w:color w:val="auto"/>
                      <w:szCs w:val="21"/>
                    </w:rPr>
                    <w:t>22.06</w:t>
                  </w:r>
                </w:p>
              </w:tc>
              <w:tc>
                <w:tcPr>
                  <w:tcW w:w="1819" w:type="pct"/>
                  <w:vMerge w:val="restart"/>
                  <w:vAlign w:val="center"/>
                </w:tcPr>
                <w:p>
                  <w:pPr>
                    <w:spacing w:line="0" w:lineRule="atLeast"/>
                    <w:jc w:val="center"/>
                    <w:rPr>
                      <w:color w:val="auto"/>
                      <w:szCs w:val="21"/>
                    </w:rPr>
                  </w:pPr>
                  <w:r>
                    <w:rPr>
                      <w:bCs/>
                      <w:color w:val="auto"/>
                    </w:rPr>
                    <w:t>厂界噪声执行《工业企业厂界环境噪声排放标准》（GB12348-2008）中</w:t>
                  </w:r>
                  <w:r>
                    <w:rPr>
                      <w:rFonts w:hint="eastAsia"/>
                      <w:bCs/>
                      <w:color w:val="auto"/>
                    </w:rPr>
                    <w:t>2</w:t>
                  </w:r>
                  <w:r>
                    <w:rPr>
                      <w:bCs/>
                      <w:color w:val="auto"/>
                    </w:rPr>
                    <w:t>类标准</w:t>
                  </w:r>
                  <w:r>
                    <w:rPr>
                      <w:color w:val="auto"/>
                    </w:rPr>
                    <w:t>（昼间噪声≤</w:t>
                  </w:r>
                  <w:r>
                    <w:rPr>
                      <w:rFonts w:hint="eastAsia"/>
                      <w:color w:val="auto"/>
                    </w:rPr>
                    <w:t>60</w:t>
                  </w:r>
                  <w:r>
                    <w:rPr>
                      <w:color w:val="auto"/>
                    </w:rPr>
                    <w:t>，夜间噪声≤</w:t>
                  </w:r>
                  <w:r>
                    <w:rPr>
                      <w:rFonts w:hint="eastAsia"/>
                      <w:color w:val="auto"/>
                    </w:rPr>
                    <w:t>50</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82" w:type="pct"/>
                  <w:vMerge w:val="continue"/>
                  <w:vAlign w:val="center"/>
                </w:tcPr>
                <w:p>
                  <w:pPr>
                    <w:spacing w:line="0" w:lineRule="atLeast"/>
                    <w:jc w:val="center"/>
                    <w:rPr>
                      <w:color w:val="auto"/>
                    </w:rPr>
                  </w:pPr>
                </w:p>
              </w:tc>
              <w:tc>
                <w:tcPr>
                  <w:tcW w:w="800" w:type="pct"/>
                  <w:vAlign w:val="center"/>
                </w:tcPr>
                <w:p>
                  <w:pPr>
                    <w:spacing w:line="0" w:lineRule="atLeast"/>
                    <w:jc w:val="center"/>
                    <w:rPr>
                      <w:color w:val="auto"/>
                    </w:rPr>
                  </w:pPr>
                  <w:r>
                    <w:rPr>
                      <w:color w:val="auto"/>
                    </w:rPr>
                    <w:t>夜</w:t>
                  </w:r>
                </w:p>
              </w:tc>
              <w:tc>
                <w:tcPr>
                  <w:tcW w:w="1697" w:type="pct"/>
                  <w:vAlign w:val="center"/>
                </w:tcPr>
                <w:p>
                  <w:pPr>
                    <w:jc w:val="center"/>
                    <w:rPr>
                      <w:bCs/>
                      <w:color w:val="auto"/>
                      <w:szCs w:val="21"/>
                    </w:rPr>
                  </w:pPr>
                  <w:r>
                    <w:rPr>
                      <w:rFonts w:hint="eastAsia"/>
                      <w:color w:val="auto"/>
                      <w:szCs w:val="21"/>
                    </w:rPr>
                    <w:t>22.06</w:t>
                  </w:r>
                </w:p>
              </w:tc>
              <w:tc>
                <w:tcPr>
                  <w:tcW w:w="1819" w:type="pct"/>
                  <w:vMerge w:val="continue"/>
                  <w:vAlign w:val="center"/>
                </w:tcPr>
                <w:p>
                  <w:pPr>
                    <w:spacing w:line="0" w:lineRule="atLeast"/>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82" w:type="pct"/>
                  <w:vMerge w:val="restart"/>
                  <w:vAlign w:val="center"/>
                </w:tcPr>
                <w:p>
                  <w:pPr>
                    <w:spacing w:line="0" w:lineRule="atLeast"/>
                    <w:jc w:val="center"/>
                    <w:rPr>
                      <w:color w:val="auto"/>
                      <w:szCs w:val="21"/>
                    </w:rPr>
                  </w:pPr>
                  <w:r>
                    <w:rPr>
                      <w:color w:val="auto"/>
                    </w:rPr>
                    <w:t>南侧厂界</w:t>
                  </w:r>
                </w:p>
              </w:tc>
              <w:tc>
                <w:tcPr>
                  <w:tcW w:w="800" w:type="pct"/>
                  <w:vAlign w:val="center"/>
                </w:tcPr>
                <w:p>
                  <w:pPr>
                    <w:spacing w:line="0" w:lineRule="atLeast"/>
                    <w:jc w:val="center"/>
                    <w:rPr>
                      <w:color w:val="auto"/>
                      <w:szCs w:val="21"/>
                    </w:rPr>
                  </w:pPr>
                  <w:r>
                    <w:rPr>
                      <w:color w:val="auto"/>
                    </w:rPr>
                    <w:t>昼</w:t>
                  </w:r>
                </w:p>
              </w:tc>
              <w:tc>
                <w:tcPr>
                  <w:tcW w:w="1697" w:type="pct"/>
                  <w:vAlign w:val="center"/>
                </w:tcPr>
                <w:p>
                  <w:pPr>
                    <w:jc w:val="center"/>
                    <w:rPr>
                      <w:rFonts w:hint="eastAsia" w:eastAsia="宋体"/>
                      <w:color w:val="auto"/>
                      <w:szCs w:val="21"/>
                      <w:lang w:eastAsia="zh-CN"/>
                    </w:rPr>
                  </w:pPr>
                  <w:r>
                    <w:rPr>
                      <w:rFonts w:hint="eastAsia"/>
                      <w:color w:val="auto"/>
                      <w:szCs w:val="21"/>
                      <w:lang w:val="en-US" w:eastAsia="zh-CN"/>
                    </w:rPr>
                    <w:t>3</w:t>
                  </w:r>
                  <w:r>
                    <w:rPr>
                      <w:rFonts w:hint="eastAsia"/>
                      <w:color w:val="auto"/>
                      <w:szCs w:val="21"/>
                    </w:rPr>
                    <w:t>2.0</w:t>
                  </w:r>
                  <w:r>
                    <w:rPr>
                      <w:rFonts w:hint="eastAsia"/>
                      <w:color w:val="auto"/>
                      <w:szCs w:val="21"/>
                      <w:lang w:val="en-US" w:eastAsia="zh-CN"/>
                    </w:rPr>
                    <w:t>5</w:t>
                  </w:r>
                </w:p>
              </w:tc>
              <w:tc>
                <w:tcPr>
                  <w:tcW w:w="1819" w:type="pct"/>
                  <w:vMerge w:val="continue"/>
                  <w:vAlign w:val="center"/>
                </w:tcPr>
                <w:p>
                  <w:pPr>
                    <w:widowControl/>
                    <w:jc w:val="lef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682" w:type="pct"/>
                  <w:vMerge w:val="continue"/>
                  <w:vAlign w:val="center"/>
                </w:tcPr>
                <w:p>
                  <w:pPr>
                    <w:spacing w:line="0" w:lineRule="atLeast"/>
                    <w:jc w:val="center"/>
                    <w:rPr>
                      <w:color w:val="auto"/>
                    </w:rPr>
                  </w:pPr>
                </w:p>
              </w:tc>
              <w:tc>
                <w:tcPr>
                  <w:tcW w:w="800" w:type="pct"/>
                  <w:vAlign w:val="center"/>
                </w:tcPr>
                <w:p>
                  <w:pPr>
                    <w:spacing w:line="0" w:lineRule="atLeast"/>
                    <w:jc w:val="center"/>
                    <w:rPr>
                      <w:color w:val="auto"/>
                    </w:rPr>
                  </w:pPr>
                  <w:r>
                    <w:rPr>
                      <w:color w:val="auto"/>
                    </w:rPr>
                    <w:t>夜</w:t>
                  </w:r>
                </w:p>
              </w:tc>
              <w:tc>
                <w:tcPr>
                  <w:tcW w:w="1697" w:type="pct"/>
                  <w:vAlign w:val="center"/>
                </w:tcPr>
                <w:p>
                  <w:pPr>
                    <w:jc w:val="center"/>
                    <w:rPr>
                      <w:rFonts w:hint="eastAsia" w:eastAsia="宋体"/>
                      <w:color w:val="auto"/>
                      <w:szCs w:val="21"/>
                      <w:lang w:eastAsia="zh-CN"/>
                    </w:rPr>
                  </w:pPr>
                  <w:r>
                    <w:rPr>
                      <w:rFonts w:hint="eastAsia"/>
                      <w:color w:val="auto"/>
                      <w:szCs w:val="21"/>
                      <w:lang w:val="en-US" w:eastAsia="zh-CN"/>
                    </w:rPr>
                    <w:t>3</w:t>
                  </w:r>
                  <w:r>
                    <w:rPr>
                      <w:rFonts w:hint="eastAsia"/>
                      <w:color w:val="auto"/>
                      <w:szCs w:val="21"/>
                    </w:rPr>
                    <w:t>2.0</w:t>
                  </w:r>
                  <w:r>
                    <w:rPr>
                      <w:rFonts w:hint="eastAsia"/>
                      <w:color w:val="auto"/>
                      <w:szCs w:val="21"/>
                      <w:lang w:val="en-US" w:eastAsia="zh-CN"/>
                    </w:rPr>
                    <w:t>5</w:t>
                  </w:r>
                </w:p>
              </w:tc>
              <w:tc>
                <w:tcPr>
                  <w:tcW w:w="1819" w:type="pct"/>
                  <w:vMerge w:val="continue"/>
                  <w:vAlign w:val="center"/>
                </w:tcPr>
                <w:p>
                  <w:pPr>
                    <w:widowControl/>
                    <w:jc w:val="lef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82" w:type="pct"/>
                  <w:vMerge w:val="restart"/>
                  <w:vAlign w:val="center"/>
                </w:tcPr>
                <w:p>
                  <w:pPr>
                    <w:spacing w:line="0" w:lineRule="atLeast"/>
                    <w:jc w:val="center"/>
                    <w:rPr>
                      <w:color w:val="auto"/>
                      <w:szCs w:val="21"/>
                    </w:rPr>
                  </w:pPr>
                  <w:r>
                    <w:rPr>
                      <w:color w:val="auto"/>
                    </w:rPr>
                    <w:t>西侧厂界</w:t>
                  </w:r>
                </w:p>
              </w:tc>
              <w:tc>
                <w:tcPr>
                  <w:tcW w:w="800" w:type="pct"/>
                  <w:vAlign w:val="center"/>
                </w:tcPr>
                <w:p>
                  <w:pPr>
                    <w:spacing w:line="0" w:lineRule="atLeast"/>
                    <w:jc w:val="center"/>
                    <w:rPr>
                      <w:color w:val="auto"/>
                      <w:szCs w:val="21"/>
                    </w:rPr>
                  </w:pPr>
                  <w:r>
                    <w:rPr>
                      <w:color w:val="auto"/>
                    </w:rPr>
                    <w:t>昼</w:t>
                  </w:r>
                </w:p>
              </w:tc>
              <w:tc>
                <w:tcPr>
                  <w:tcW w:w="1697" w:type="pct"/>
                  <w:vAlign w:val="center"/>
                </w:tcPr>
                <w:p>
                  <w:pPr>
                    <w:jc w:val="center"/>
                    <w:rPr>
                      <w:rFonts w:hint="default" w:eastAsia="宋体"/>
                      <w:color w:val="auto"/>
                      <w:szCs w:val="21"/>
                      <w:lang w:val="en-US" w:eastAsia="zh-CN"/>
                    </w:rPr>
                  </w:pPr>
                  <w:r>
                    <w:rPr>
                      <w:rFonts w:hint="eastAsia"/>
                      <w:color w:val="auto"/>
                      <w:szCs w:val="21"/>
                      <w:lang w:val="en-US" w:eastAsia="zh-CN"/>
                    </w:rPr>
                    <w:t>3</w:t>
                  </w:r>
                  <w:r>
                    <w:rPr>
                      <w:rFonts w:hint="eastAsia"/>
                      <w:color w:val="auto"/>
                      <w:szCs w:val="21"/>
                    </w:rPr>
                    <w:t>1.</w:t>
                  </w:r>
                  <w:r>
                    <w:rPr>
                      <w:rFonts w:hint="eastAsia"/>
                      <w:color w:val="auto"/>
                      <w:szCs w:val="21"/>
                      <w:lang w:val="en-US" w:eastAsia="zh-CN"/>
                    </w:rPr>
                    <w:t>02</w:t>
                  </w:r>
                </w:p>
              </w:tc>
              <w:tc>
                <w:tcPr>
                  <w:tcW w:w="1819" w:type="pct"/>
                  <w:vMerge w:val="continue"/>
                  <w:vAlign w:val="center"/>
                </w:tcPr>
                <w:p>
                  <w:pPr>
                    <w:widowControl/>
                    <w:jc w:val="lef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82" w:type="pct"/>
                  <w:vMerge w:val="continue"/>
                  <w:vAlign w:val="center"/>
                </w:tcPr>
                <w:p>
                  <w:pPr>
                    <w:spacing w:line="0" w:lineRule="atLeast"/>
                    <w:jc w:val="center"/>
                    <w:rPr>
                      <w:color w:val="auto"/>
                    </w:rPr>
                  </w:pPr>
                </w:p>
              </w:tc>
              <w:tc>
                <w:tcPr>
                  <w:tcW w:w="800" w:type="pct"/>
                  <w:vAlign w:val="center"/>
                </w:tcPr>
                <w:p>
                  <w:pPr>
                    <w:spacing w:line="0" w:lineRule="atLeast"/>
                    <w:jc w:val="center"/>
                    <w:rPr>
                      <w:color w:val="auto"/>
                    </w:rPr>
                  </w:pPr>
                  <w:r>
                    <w:rPr>
                      <w:color w:val="auto"/>
                    </w:rPr>
                    <w:t>夜</w:t>
                  </w:r>
                </w:p>
              </w:tc>
              <w:tc>
                <w:tcPr>
                  <w:tcW w:w="1697" w:type="pct"/>
                  <w:vAlign w:val="center"/>
                </w:tcPr>
                <w:p>
                  <w:pPr>
                    <w:jc w:val="center"/>
                    <w:rPr>
                      <w:rFonts w:hint="default" w:eastAsia="宋体"/>
                      <w:color w:val="auto"/>
                      <w:szCs w:val="21"/>
                      <w:lang w:val="en-US" w:eastAsia="zh-CN"/>
                    </w:rPr>
                  </w:pPr>
                  <w:r>
                    <w:rPr>
                      <w:rFonts w:hint="eastAsia"/>
                      <w:color w:val="auto"/>
                      <w:szCs w:val="21"/>
                      <w:lang w:val="en-US" w:eastAsia="zh-CN"/>
                    </w:rPr>
                    <w:t>3</w:t>
                  </w:r>
                  <w:r>
                    <w:rPr>
                      <w:rFonts w:hint="eastAsia"/>
                      <w:color w:val="auto"/>
                      <w:szCs w:val="21"/>
                    </w:rPr>
                    <w:t>1.</w:t>
                  </w:r>
                  <w:r>
                    <w:rPr>
                      <w:rFonts w:hint="eastAsia"/>
                      <w:color w:val="auto"/>
                      <w:szCs w:val="21"/>
                      <w:lang w:val="en-US" w:eastAsia="zh-CN"/>
                    </w:rPr>
                    <w:t>02</w:t>
                  </w:r>
                </w:p>
              </w:tc>
              <w:tc>
                <w:tcPr>
                  <w:tcW w:w="1819" w:type="pct"/>
                  <w:vMerge w:val="continue"/>
                  <w:vAlign w:val="center"/>
                </w:tcPr>
                <w:p>
                  <w:pPr>
                    <w:widowControl/>
                    <w:jc w:val="lef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82" w:type="pct"/>
                  <w:vMerge w:val="restart"/>
                  <w:vAlign w:val="center"/>
                </w:tcPr>
                <w:p>
                  <w:pPr>
                    <w:spacing w:line="0" w:lineRule="atLeast"/>
                    <w:jc w:val="center"/>
                    <w:rPr>
                      <w:color w:val="auto"/>
                      <w:szCs w:val="21"/>
                    </w:rPr>
                  </w:pPr>
                  <w:r>
                    <w:rPr>
                      <w:color w:val="auto"/>
                    </w:rPr>
                    <w:t>北侧厂界</w:t>
                  </w:r>
                </w:p>
              </w:tc>
              <w:tc>
                <w:tcPr>
                  <w:tcW w:w="800" w:type="pct"/>
                  <w:vAlign w:val="center"/>
                </w:tcPr>
                <w:p>
                  <w:pPr>
                    <w:spacing w:line="0" w:lineRule="atLeast"/>
                    <w:jc w:val="center"/>
                    <w:rPr>
                      <w:color w:val="auto"/>
                      <w:szCs w:val="21"/>
                    </w:rPr>
                  </w:pPr>
                  <w:r>
                    <w:rPr>
                      <w:color w:val="auto"/>
                    </w:rPr>
                    <w:t>昼</w:t>
                  </w:r>
                </w:p>
              </w:tc>
              <w:tc>
                <w:tcPr>
                  <w:tcW w:w="1697" w:type="pct"/>
                  <w:vAlign w:val="center"/>
                </w:tcPr>
                <w:p>
                  <w:pPr>
                    <w:jc w:val="center"/>
                    <w:rPr>
                      <w:color w:val="auto"/>
                      <w:szCs w:val="21"/>
                    </w:rPr>
                  </w:pPr>
                  <w:r>
                    <w:rPr>
                      <w:rFonts w:hint="eastAsia"/>
                      <w:color w:val="auto"/>
                      <w:szCs w:val="21"/>
                    </w:rPr>
                    <w:t>2</w:t>
                  </w:r>
                  <w:r>
                    <w:rPr>
                      <w:rFonts w:hint="eastAsia"/>
                      <w:color w:val="auto"/>
                      <w:szCs w:val="21"/>
                      <w:lang w:val="en-US" w:eastAsia="zh-CN"/>
                    </w:rPr>
                    <w:t>9</w:t>
                  </w:r>
                  <w:r>
                    <w:rPr>
                      <w:rFonts w:hint="eastAsia"/>
                      <w:color w:val="auto"/>
                      <w:szCs w:val="21"/>
                    </w:rPr>
                    <w:t>.</w:t>
                  </w:r>
                  <w:r>
                    <w:rPr>
                      <w:rFonts w:hint="eastAsia"/>
                      <w:color w:val="auto"/>
                      <w:szCs w:val="21"/>
                      <w:lang w:val="en-US" w:eastAsia="zh-CN"/>
                    </w:rPr>
                    <w:t>0</w:t>
                  </w:r>
                  <w:r>
                    <w:rPr>
                      <w:rFonts w:hint="eastAsia"/>
                      <w:color w:val="auto"/>
                      <w:szCs w:val="21"/>
                    </w:rPr>
                    <w:t>7</w:t>
                  </w:r>
                </w:p>
              </w:tc>
              <w:tc>
                <w:tcPr>
                  <w:tcW w:w="1819" w:type="pct"/>
                  <w:vMerge w:val="continue"/>
                  <w:vAlign w:val="center"/>
                </w:tcPr>
                <w:p>
                  <w:pPr>
                    <w:widowControl/>
                    <w:jc w:val="lef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82" w:type="pct"/>
                  <w:vMerge w:val="continue"/>
                  <w:vAlign w:val="center"/>
                </w:tcPr>
                <w:p>
                  <w:pPr>
                    <w:spacing w:line="0" w:lineRule="atLeast"/>
                    <w:jc w:val="center"/>
                    <w:rPr>
                      <w:color w:val="auto"/>
                    </w:rPr>
                  </w:pPr>
                </w:p>
              </w:tc>
              <w:tc>
                <w:tcPr>
                  <w:tcW w:w="800" w:type="pct"/>
                  <w:vAlign w:val="center"/>
                </w:tcPr>
                <w:p>
                  <w:pPr>
                    <w:spacing w:line="0" w:lineRule="atLeast"/>
                    <w:jc w:val="center"/>
                    <w:rPr>
                      <w:color w:val="auto"/>
                    </w:rPr>
                  </w:pPr>
                  <w:r>
                    <w:rPr>
                      <w:color w:val="auto"/>
                    </w:rPr>
                    <w:t>夜</w:t>
                  </w:r>
                </w:p>
              </w:tc>
              <w:tc>
                <w:tcPr>
                  <w:tcW w:w="1697" w:type="pct"/>
                  <w:vAlign w:val="center"/>
                </w:tcPr>
                <w:p>
                  <w:pPr>
                    <w:jc w:val="center"/>
                    <w:rPr>
                      <w:color w:val="auto"/>
                      <w:szCs w:val="21"/>
                    </w:rPr>
                  </w:pPr>
                  <w:r>
                    <w:rPr>
                      <w:rFonts w:hint="eastAsia"/>
                      <w:color w:val="auto"/>
                      <w:szCs w:val="21"/>
                    </w:rPr>
                    <w:t>2</w:t>
                  </w:r>
                  <w:r>
                    <w:rPr>
                      <w:rFonts w:hint="eastAsia"/>
                      <w:color w:val="auto"/>
                      <w:szCs w:val="21"/>
                      <w:lang w:val="en-US" w:eastAsia="zh-CN"/>
                    </w:rPr>
                    <w:t>9</w:t>
                  </w:r>
                  <w:r>
                    <w:rPr>
                      <w:rFonts w:hint="eastAsia"/>
                      <w:color w:val="auto"/>
                      <w:szCs w:val="21"/>
                    </w:rPr>
                    <w:t>.</w:t>
                  </w:r>
                  <w:r>
                    <w:rPr>
                      <w:rFonts w:hint="eastAsia"/>
                      <w:color w:val="auto"/>
                      <w:szCs w:val="21"/>
                      <w:lang w:val="en-US" w:eastAsia="zh-CN"/>
                    </w:rPr>
                    <w:t>0</w:t>
                  </w:r>
                  <w:r>
                    <w:rPr>
                      <w:rFonts w:hint="eastAsia"/>
                      <w:color w:val="auto"/>
                      <w:szCs w:val="21"/>
                    </w:rPr>
                    <w:t>7</w:t>
                  </w:r>
                </w:p>
              </w:tc>
              <w:tc>
                <w:tcPr>
                  <w:tcW w:w="1819" w:type="pct"/>
                  <w:vMerge w:val="continue"/>
                  <w:vAlign w:val="center"/>
                </w:tcPr>
                <w:p>
                  <w:pPr>
                    <w:widowControl/>
                    <w:jc w:val="left"/>
                    <w:rPr>
                      <w:color w:val="auto"/>
                      <w:szCs w:val="21"/>
                    </w:rPr>
                  </w:pPr>
                </w:p>
              </w:tc>
            </w:tr>
          </w:tbl>
          <w:p>
            <w:pPr>
              <w:pStyle w:val="99"/>
              <w:spacing w:beforeLines="0" w:afterLines="0" w:line="360" w:lineRule="auto"/>
              <w:ind w:firstLine="480"/>
              <w:contextualSpacing/>
              <w:rPr>
                <w:rFonts w:eastAsiaTheme="majorEastAsia"/>
                <w:color w:val="auto"/>
                <w:kern w:val="0"/>
              </w:rPr>
            </w:pPr>
            <w:r>
              <w:rPr>
                <w:color w:val="auto"/>
                <w:sz w:val="24"/>
              </w:rPr>
              <w:t>本项目采取</w:t>
            </w:r>
            <w:r>
              <w:rPr>
                <w:bCs/>
                <w:color w:val="auto"/>
                <w:sz w:val="24"/>
              </w:rPr>
              <w:t>基础减振设施，调整平面布置，高噪声设备远离厂界，选用低噪声设备，</w:t>
            </w:r>
            <w:r>
              <w:rPr>
                <w:color w:val="auto"/>
                <w:sz w:val="24"/>
              </w:rPr>
              <w:t>限速行驶，禁止鸣笛等措施。</w:t>
            </w:r>
            <w:r>
              <w:rPr>
                <w:rFonts w:hint="eastAsia" w:eastAsiaTheme="minorEastAsia"/>
                <w:color w:val="auto"/>
                <w:sz w:val="24"/>
              </w:rPr>
              <w:t>厂界噪声满足</w:t>
            </w:r>
            <w:r>
              <w:rPr>
                <w:rFonts w:eastAsiaTheme="minorEastAsia"/>
                <w:color w:val="auto"/>
                <w:sz w:val="24"/>
              </w:rPr>
              <w:t>《工业企业厂界环境噪声排放标准》(GB12348-2008)</w:t>
            </w:r>
            <w:r>
              <w:rPr>
                <w:rFonts w:hint="eastAsia" w:eastAsiaTheme="minorEastAsia"/>
                <w:color w:val="auto"/>
                <w:sz w:val="24"/>
              </w:rPr>
              <w:t>2</w:t>
            </w:r>
            <w:r>
              <w:rPr>
                <w:rFonts w:eastAsiaTheme="minorEastAsia"/>
                <w:color w:val="auto"/>
                <w:sz w:val="24"/>
              </w:rPr>
              <w:t>类标准（昼间≤</w:t>
            </w:r>
            <w:r>
              <w:rPr>
                <w:rFonts w:hint="eastAsia" w:eastAsiaTheme="minorEastAsia"/>
                <w:color w:val="auto"/>
                <w:sz w:val="24"/>
              </w:rPr>
              <w:t>60</w:t>
            </w:r>
            <w:r>
              <w:rPr>
                <w:rFonts w:eastAsiaTheme="minorEastAsia"/>
                <w:color w:val="auto"/>
                <w:sz w:val="24"/>
              </w:rPr>
              <w:t>dB（A））。</w:t>
            </w:r>
          </w:p>
          <w:p>
            <w:pPr>
              <w:spacing w:line="360" w:lineRule="auto"/>
              <w:ind w:firstLine="480" w:firstLineChars="200"/>
              <w:contextualSpacing/>
              <w:rPr>
                <w:b/>
                <w:bCs/>
                <w:color w:val="auto"/>
                <w:sz w:val="24"/>
              </w:rPr>
            </w:pPr>
            <w:r>
              <w:rPr>
                <w:rFonts w:hint="eastAsia"/>
                <w:b/>
                <w:bCs/>
                <w:color w:val="auto"/>
                <w:sz w:val="24"/>
              </w:rPr>
              <w:t>2、监测计划</w:t>
            </w:r>
          </w:p>
          <w:p>
            <w:pPr>
              <w:spacing w:line="360" w:lineRule="auto"/>
              <w:ind w:firstLine="480" w:firstLineChars="200"/>
              <w:contextualSpacing/>
              <w:rPr>
                <w:color w:val="auto"/>
                <w:sz w:val="24"/>
              </w:rPr>
            </w:pPr>
            <w:r>
              <w:rPr>
                <w:rFonts w:hAnsi="宋体"/>
                <w:color w:val="auto"/>
                <w:sz w:val="24"/>
              </w:rPr>
              <w:t>根据《排污单位自行监测技术指南总则》（</w:t>
            </w:r>
            <w:r>
              <w:rPr>
                <w:color w:val="auto"/>
                <w:sz w:val="24"/>
              </w:rPr>
              <w:t>H</w:t>
            </w:r>
            <w:r>
              <w:rPr>
                <w:rFonts w:hint="eastAsia"/>
                <w:color w:val="auto"/>
                <w:sz w:val="24"/>
              </w:rPr>
              <w:t xml:space="preserve">J </w:t>
            </w:r>
            <w:r>
              <w:rPr>
                <w:color w:val="auto"/>
                <w:sz w:val="24"/>
              </w:rPr>
              <w:t>819-2017</w:t>
            </w:r>
            <w:r>
              <w:rPr>
                <w:rFonts w:hAnsi="宋体"/>
                <w:color w:val="auto"/>
                <w:sz w:val="24"/>
              </w:rPr>
              <w:t>），制定本项目噪声监测计划如下</w:t>
            </w:r>
            <w:r>
              <w:rPr>
                <w:rFonts w:hint="eastAsia" w:hAnsi="宋体"/>
                <w:color w:val="auto"/>
                <w:sz w:val="24"/>
              </w:rPr>
              <w:t>：</w:t>
            </w:r>
          </w:p>
          <w:p>
            <w:pPr>
              <w:contextualSpacing/>
              <w:jc w:val="center"/>
              <w:rPr>
                <w:b/>
                <w:color w:val="auto"/>
                <w:sz w:val="24"/>
              </w:rPr>
            </w:pPr>
            <w:r>
              <w:rPr>
                <w:rFonts w:hAnsi="宋体"/>
                <w:b/>
                <w:color w:val="auto"/>
                <w:sz w:val="24"/>
              </w:rPr>
              <w:t>表</w:t>
            </w:r>
            <w:r>
              <w:rPr>
                <w:b/>
                <w:color w:val="auto"/>
                <w:sz w:val="24"/>
              </w:rPr>
              <w:t>4</w:t>
            </w:r>
            <w:r>
              <w:rPr>
                <w:rFonts w:hint="eastAsia"/>
                <w:b/>
                <w:color w:val="auto"/>
                <w:sz w:val="24"/>
              </w:rPr>
              <w:t>-</w:t>
            </w:r>
            <w:r>
              <w:rPr>
                <w:rFonts w:hint="eastAsia"/>
                <w:b/>
                <w:color w:val="auto"/>
                <w:sz w:val="24"/>
                <w:lang w:val="en-US" w:eastAsia="zh-CN"/>
              </w:rPr>
              <w:t>10</w:t>
            </w:r>
            <w:r>
              <w:rPr>
                <w:rFonts w:hAnsi="宋体"/>
                <w:b/>
                <w:color w:val="auto"/>
                <w:sz w:val="24"/>
              </w:rPr>
              <w:t>项目噪声监测计划表</w:t>
            </w:r>
          </w:p>
          <w:tbl>
            <w:tblPr>
              <w:tblStyle w:val="34"/>
              <w:tblW w:w="88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1701"/>
              <w:gridCol w:w="2410"/>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contextualSpacing/>
                    <w:jc w:val="center"/>
                    <w:rPr>
                      <w:rFonts w:hAnsi="宋体"/>
                      <w:color w:val="auto"/>
                      <w:szCs w:val="21"/>
                    </w:rPr>
                  </w:pPr>
                  <w:r>
                    <w:rPr>
                      <w:rFonts w:hint="eastAsia" w:hAnsi="宋体"/>
                      <w:color w:val="auto"/>
                      <w:szCs w:val="21"/>
                    </w:rPr>
                    <w:t>类别</w:t>
                  </w:r>
                </w:p>
              </w:tc>
              <w:tc>
                <w:tcPr>
                  <w:tcW w:w="1701" w:type="dxa"/>
                  <w:vAlign w:val="center"/>
                </w:tcPr>
                <w:p>
                  <w:pPr>
                    <w:contextualSpacing/>
                    <w:jc w:val="center"/>
                    <w:rPr>
                      <w:rFonts w:hAnsi="宋体"/>
                      <w:color w:val="auto"/>
                      <w:szCs w:val="21"/>
                    </w:rPr>
                  </w:pPr>
                  <w:r>
                    <w:rPr>
                      <w:rFonts w:hint="eastAsia" w:hAnsi="宋体"/>
                      <w:color w:val="auto"/>
                      <w:szCs w:val="21"/>
                    </w:rPr>
                    <w:t>监测点位</w:t>
                  </w:r>
                </w:p>
              </w:tc>
              <w:tc>
                <w:tcPr>
                  <w:tcW w:w="2410" w:type="dxa"/>
                  <w:vAlign w:val="center"/>
                </w:tcPr>
                <w:p>
                  <w:pPr>
                    <w:contextualSpacing/>
                    <w:jc w:val="center"/>
                    <w:rPr>
                      <w:rFonts w:hAnsi="宋体"/>
                      <w:color w:val="auto"/>
                      <w:szCs w:val="21"/>
                    </w:rPr>
                  </w:pPr>
                  <w:r>
                    <w:rPr>
                      <w:rFonts w:hint="eastAsia" w:hAnsi="宋体"/>
                      <w:color w:val="auto"/>
                      <w:szCs w:val="21"/>
                    </w:rPr>
                    <w:t>监测项目</w:t>
                  </w:r>
                </w:p>
              </w:tc>
              <w:tc>
                <w:tcPr>
                  <w:tcW w:w="3078" w:type="dxa"/>
                  <w:vAlign w:val="center"/>
                </w:tcPr>
                <w:p>
                  <w:pPr>
                    <w:contextualSpacing/>
                    <w:jc w:val="center"/>
                    <w:rPr>
                      <w:rFonts w:hAnsi="宋体"/>
                      <w:color w:val="auto"/>
                      <w:szCs w:val="21"/>
                    </w:rPr>
                  </w:pPr>
                  <w:r>
                    <w:rPr>
                      <w:rFonts w:hint="eastAsia" w:hAnsi="宋体"/>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contextualSpacing/>
                    <w:jc w:val="center"/>
                    <w:rPr>
                      <w:rFonts w:hAnsi="宋体"/>
                      <w:color w:val="auto"/>
                      <w:szCs w:val="21"/>
                    </w:rPr>
                  </w:pPr>
                  <w:r>
                    <w:rPr>
                      <w:rFonts w:hint="eastAsia" w:hAnsi="宋体"/>
                      <w:color w:val="auto"/>
                      <w:szCs w:val="21"/>
                    </w:rPr>
                    <w:t>厂界噪声</w:t>
                  </w:r>
                </w:p>
              </w:tc>
              <w:tc>
                <w:tcPr>
                  <w:tcW w:w="1701" w:type="dxa"/>
                  <w:vAlign w:val="center"/>
                </w:tcPr>
                <w:p>
                  <w:pPr>
                    <w:contextualSpacing/>
                    <w:jc w:val="center"/>
                    <w:rPr>
                      <w:rFonts w:hAnsi="宋体"/>
                      <w:color w:val="auto"/>
                      <w:szCs w:val="21"/>
                    </w:rPr>
                  </w:pPr>
                  <w:r>
                    <w:rPr>
                      <w:rFonts w:hint="eastAsia" w:hAnsi="宋体"/>
                      <w:color w:val="auto"/>
                      <w:szCs w:val="21"/>
                    </w:rPr>
                    <w:t>厂界四周</w:t>
                  </w:r>
                </w:p>
              </w:tc>
              <w:tc>
                <w:tcPr>
                  <w:tcW w:w="2410" w:type="dxa"/>
                  <w:vAlign w:val="center"/>
                </w:tcPr>
                <w:p>
                  <w:pPr>
                    <w:contextualSpacing/>
                    <w:jc w:val="center"/>
                    <w:rPr>
                      <w:rFonts w:hAnsi="宋体"/>
                      <w:color w:val="auto"/>
                      <w:szCs w:val="21"/>
                    </w:rPr>
                  </w:pPr>
                  <w:r>
                    <w:rPr>
                      <w:rFonts w:hint="eastAsia" w:hAnsi="宋体"/>
                      <w:color w:val="auto"/>
                      <w:szCs w:val="21"/>
                    </w:rPr>
                    <w:t>等效连续A声级</w:t>
                  </w:r>
                </w:p>
              </w:tc>
              <w:tc>
                <w:tcPr>
                  <w:tcW w:w="3078" w:type="dxa"/>
                  <w:vAlign w:val="center"/>
                </w:tcPr>
                <w:p>
                  <w:pPr>
                    <w:contextualSpacing/>
                    <w:jc w:val="center"/>
                    <w:rPr>
                      <w:rFonts w:hAnsi="宋体"/>
                      <w:color w:val="auto"/>
                      <w:szCs w:val="21"/>
                    </w:rPr>
                  </w:pPr>
                  <w:r>
                    <w:rPr>
                      <w:rFonts w:hint="eastAsia" w:hAnsi="宋体"/>
                      <w:color w:val="auto"/>
                      <w:szCs w:val="21"/>
                    </w:rPr>
                    <w:t>1次/季度</w:t>
                  </w:r>
                </w:p>
              </w:tc>
            </w:tr>
          </w:tbl>
          <w:p>
            <w:pPr>
              <w:spacing w:line="500" w:lineRule="exact"/>
              <w:ind w:firstLine="480" w:firstLineChars="200"/>
              <w:jc w:val="left"/>
              <w:rPr>
                <w:color w:val="auto"/>
                <w:sz w:val="24"/>
              </w:rPr>
            </w:pPr>
            <w:r>
              <w:rPr>
                <w:rFonts w:hint="eastAsia" w:hAnsi="宋体"/>
                <w:color w:val="auto"/>
                <w:sz w:val="24"/>
              </w:rPr>
              <w:t>本项目选用低噪声设备，厂房隔声、加装减振等措施后，</w:t>
            </w:r>
            <w:r>
              <w:rPr>
                <w:color w:val="auto"/>
                <w:sz w:val="24"/>
              </w:rPr>
              <w:t>厂界噪声满足《工业企业厂界环境噪声排放标准》（GB12348-2008）表1中2类标准限值要求</w:t>
            </w:r>
            <w:r>
              <w:rPr>
                <w:rFonts w:hint="eastAsia"/>
                <w:color w:val="auto"/>
                <w:sz w:val="24"/>
              </w:rPr>
              <w:t>。</w:t>
            </w:r>
          </w:p>
          <w:p>
            <w:pPr>
              <w:spacing w:line="500" w:lineRule="exact"/>
              <w:ind w:firstLine="480" w:firstLineChars="200"/>
              <w:jc w:val="left"/>
              <w:rPr>
                <w:color w:val="auto"/>
                <w:sz w:val="24"/>
              </w:rPr>
            </w:pPr>
            <w:r>
              <w:rPr>
                <w:rFonts w:hint="eastAsia"/>
                <w:color w:val="auto"/>
                <w:sz w:val="24"/>
              </w:rPr>
              <w:t>四、固体废物</w:t>
            </w:r>
          </w:p>
          <w:p>
            <w:pPr>
              <w:spacing w:line="500" w:lineRule="exact"/>
              <w:ind w:firstLine="480" w:firstLineChars="200"/>
              <w:jc w:val="left"/>
              <w:rPr>
                <w:color w:val="auto"/>
                <w:sz w:val="24"/>
              </w:rPr>
            </w:pPr>
            <w:r>
              <w:rPr>
                <w:color w:val="auto"/>
                <w:sz w:val="24"/>
              </w:rPr>
              <w:t>本项目营运期产生的固废包括一般固废和危险废物。</w:t>
            </w:r>
          </w:p>
          <w:p>
            <w:pPr>
              <w:spacing w:line="500" w:lineRule="exact"/>
              <w:ind w:firstLine="480" w:firstLineChars="200"/>
              <w:jc w:val="left"/>
              <w:rPr>
                <w:color w:val="auto"/>
                <w:sz w:val="24"/>
              </w:rPr>
            </w:pPr>
            <w:r>
              <w:rPr>
                <w:color w:val="auto"/>
                <w:sz w:val="24"/>
              </w:rPr>
              <w:t>（1）一般固废：主要为废石料、除尘器收集的粉尘、职工生活垃圾。</w:t>
            </w:r>
          </w:p>
          <w:p>
            <w:pPr>
              <w:spacing w:line="500" w:lineRule="exact"/>
              <w:ind w:firstLine="480" w:firstLineChars="200"/>
              <w:jc w:val="left"/>
              <w:rPr>
                <w:color w:val="auto"/>
                <w:sz w:val="24"/>
              </w:rPr>
            </w:pPr>
            <w:r>
              <w:rPr>
                <w:color w:val="auto"/>
                <w:sz w:val="24"/>
              </w:rPr>
              <w:t>①石料</w:t>
            </w:r>
          </w:p>
          <w:p>
            <w:pPr>
              <w:spacing w:line="500" w:lineRule="exact"/>
              <w:ind w:firstLine="480" w:firstLineChars="200"/>
              <w:jc w:val="left"/>
              <w:rPr>
                <w:color w:val="auto"/>
                <w:sz w:val="24"/>
              </w:rPr>
            </w:pPr>
            <w:r>
              <w:rPr>
                <w:color w:val="auto"/>
                <w:sz w:val="24"/>
              </w:rPr>
              <w:t>石料经干燥后进入振动筛筛选，筛选出粒度不合格（过大）的废石料。废石料产生量与供应商供应的石料质量有关，根据类比调查，振动筛筛选出来的废石料产生量约为</w:t>
            </w:r>
            <w:r>
              <w:rPr>
                <w:rFonts w:hint="eastAsia"/>
                <w:color w:val="auto"/>
                <w:sz w:val="24"/>
              </w:rPr>
              <w:t>30</w:t>
            </w:r>
            <w:r>
              <w:rPr>
                <w:color w:val="auto"/>
                <w:sz w:val="24"/>
              </w:rPr>
              <w:t>t/a。废石料</w:t>
            </w:r>
            <w:r>
              <w:rPr>
                <w:rFonts w:hint="eastAsia" w:hAnsi="宋体"/>
                <w:bCs/>
                <w:color w:val="auto"/>
                <w:sz w:val="24"/>
              </w:rPr>
              <w:t>（SW92代码900-001-S92）</w:t>
            </w:r>
            <w:r>
              <w:rPr>
                <w:color w:val="auto"/>
                <w:sz w:val="24"/>
              </w:rPr>
              <w:t>集中收集，由石料供应企业回收。</w:t>
            </w:r>
          </w:p>
          <w:p>
            <w:pPr>
              <w:spacing w:line="500" w:lineRule="exact"/>
              <w:ind w:firstLine="480" w:firstLineChars="200"/>
              <w:jc w:val="left"/>
              <w:rPr>
                <w:color w:val="auto"/>
                <w:sz w:val="24"/>
              </w:rPr>
            </w:pPr>
            <w:r>
              <w:rPr>
                <w:color w:val="auto"/>
                <w:sz w:val="24"/>
              </w:rPr>
              <w:t>②除尘器收集的粉尘</w:t>
            </w:r>
          </w:p>
          <w:p>
            <w:pPr>
              <w:spacing w:line="500" w:lineRule="exact"/>
              <w:ind w:firstLine="480" w:firstLineChars="200"/>
              <w:jc w:val="left"/>
              <w:rPr>
                <w:color w:val="auto"/>
                <w:sz w:val="28"/>
                <w:szCs w:val="28"/>
              </w:rPr>
            </w:pPr>
            <w:r>
              <w:rPr>
                <w:color w:val="auto"/>
                <w:sz w:val="24"/>
              </w:rPr>
              <w:t>本项目布袋除尘器收尘</w:t>
            </w:r>
            <w:r>
              <w:rPr>
                <w:rFonts w:hint="eastAsia"/>
                <w:color w:val="auto"/>
                <w:sz w:val="24"/>
              </w:rPr>
              <w:t>（SW59代码900-099-S59）</w:t>
            </w:r>
            <w:r>
              <w:rPr>
                <w:color w:val="auto"/>
                <w:sz w:val="24"/>
              </w:rPr>
              <w:t>约为</w:t>
            </w:r>
            <w:r>
              <w:rPr>
                <w:rFonts w:hint="eastAsia"/>
                <w:color w:val="auto"/>
                <w:sz w:val="24"/>
                <w:lang w:val="en-US" w:eastAsia="zh-CN"/>
              </w:rPr>
              <w:t>61.71</w:t>
            </w:r>
            <w:r>
              <w:rPr>
                <w:color w:val="auto"/>
                <w:sz w:val="24"/>
              </w:rPr>
              <w:t>t/a，除尘器收集的粉尘</w:t>
            </w:r>
            <w:r>
              <w:rPr>
                <w:rFonts w:hint="eastAsia"/>
                <w:color w:val="auto"/>
                <w:sz w:val="24"/>
              </w:rPr>
              <w:t>回收作为原料重新进入生产工序</w:t>
            </w:r>
            <w:r>
              <w:rPr>
                <w:color w:val="auto"/>
                <w:sz w:val="24"/>
              </w:rPr>
              <w:t>。</w:t>
            </w:r>
          </w:p>
          <w:p>
            <w:pPr>
              <w:spacing w:line="360" w:lineRule="auto"/>
              <w:ind w:firstLine="480" w:firstLineChars="200"/>
              <w:rPr>
                <w:rFonts w:hint="eastAsia" w:eastAsiaTheme="minorEastAsia"/>
                <w:color w:val="auto"/>
                <w:sz w:val="24"/>
                <w:lang w:eastAsia="zh-CN"/>
              </w:rPr>
            </w:pPr>
            <w:r>
              <w:rPr>
                <w:rFonts w:hint="eastAsia" w:eastAsiaTheme="minorEastAsia"/>
                <w:color w:val="auto"/>
                <w:sz w:val="24"/>
                <w:lang w:val="en-US" w:eastAsia="zh-CN"/>
              </w:rPr>
              <w:t>③</w:t>
            </w:r>
            <w:r>
              <w:rPr>
                <w:rFonts w:hint="eastAsia" w:eastAsiaTheme="minorEastAsia"/>
                <w:color w:val="auto"/>
                <w:sz w:val="24"/>
              </w:rPr>
              <w:t>除尘</w:t>
            </w:r>
            <w:r>
              <w:rPr>
                <w:rFonts w:eastAsiaTheme="minorEastAsia"/>
                <w:color w:val="auto"/>
                <w:sz w:val="24"/>
              </w:rPr>
              <w:t>系统定期检修会产生废布袋</w:t>
            </w:r>
            <w:r>
              <w:rPr>
                <w:rFonts w:hint="eastAsia"/>
                <w:color w:val="auto"/>
                <w:sz w:val="24"/>
              </w:rPr>
              <w:t>（SW59代码900-009-S59）</w:t>
            </w:r>
            <w:r>
              <w:rPr>
                <w:rFonts w:eastAsiaTheme="minorEastAsia"/>
                <w:color w:val="auto"/>
                <w:sz w:val="24"/>
              </w:rPr>
              <w:t>，产生量为0.2t/3a，由市政环卫部门处理</w:t>
            </w:r>
            <w:r>
              <w:rPr>
                <w:color w:val="auto"/>
                <w:sz w:val="24"/>
              </w:rPr>
              <w:t>。</w:t>
            </w:r>
          </w:p>
          <w:p>
            <w:pPr>
              <w:spacing w:line="500" w:lineRule="exact"/>
              <w:ind w:firstLine="480" w:firstLineChars="200"/>
              <w:jc w:val="left"/>
              <w:rPr>
                <w:color w:val="auto"/>
                <w:sz w:val="24"/>
              </w:rPr>
            </w:pPr>
            <w:r>
              <w:rPr>
                <w:color w:val="auto"/>
                <w:sz w:val="24"/>
              </w:rPr>
              <w:t>（2）危险废物</w:t>
            </w:r>
            <w:r>
              <w:rPr>
                <w:rFonts w:hint="eastAsia"/>
                <w:color w:val="auto"/>
                <w:sz w:val="24"/>
              </w:rPr>
              <w:t>：</w:t>
            </w:r>
          </w:p>
          <w:p>
            <w:pPr>
              <w:spacing w:line="500" w:lineRule="exact"/>
              <w:ind w:firstLine="448" w:firstLineChars="200"/>
              <w:jc w:val="left"/>
              <w:rPr>
                <w:color w:val="auto"/>
                <w:sz w:val="24"/>
              </w:rPr>
            </w:pPr>
            <w:r>
              <w:rPr>
                <w:rFonts w:hint="eastAsia" w:ascii="宋体" w:hAnsi="宋体" w:cs="宋体"/>
                <w:color w:val="auto"/>
                <w:spacing w:val="-8"/>
                <w:sz w:val="24"/>
              </w:rPr>
              <w:t>废活性炭：</w:t>
            </w:r>
            <w:r>
              <w:rPr>
                <w:rFonts w:ascii="宋体" w:hAnsi="宋体" w:cs="宋体"/>
                <w:color w:val="auto"/>
                <w:spacing w:val="-8"/>
                <w:sz w:val="24"/>
              </w:rPr>
              <w:t>本项目净化沥</w:t>
            </w:r>
            <w:r>
              <w:rPr>
                <w:rFonts w:ascii="宋体" w:hAnsi="宋体" w:cs="宋体"/>
                <w:color w:val="auto"/>
                <w:spacing w:val="-6"/>
                <w:sz w:val="24"/>
              </w:rPr>
              <w:t>青</w:t>
            </w:r>
            <w:r>
              <w:rPr>
                <w:rFonts w:ascii="宋体" w:hAnsi="宋体" w:cs="宋体"/>
                <w:color w:val="auto"/>
                <w:spacing w:val="-4"/>
                <w:sz w:val="24"/>
              </w:rPr>
              <w:t>烟气</w:t>
            </w:r>
            <w:r>
              <w:rPr>
                <w:rFonts w:hint="eastAsia" w:ascii="宋体" w:hAnsi="宋体" w:cs="宋体"/>
                <w:color w:val="auto"/>
                <w:spacing w:val="-4"/>
                <w:sz w:val="24"/>
              </w:rPr>
              <w:t>产生废</w:t>
            </w:r>
            <w:r>
              <w:rPr>
                <w:rFonts w:ascii="宋体" w:hAnsi="宋体" w:cs="宋体"/>
                <w:color w:val="auto"/>
                <w:spacing w:val="-4"/>
                <w:sz w:val="24"/>
              </w:rPr>
              <w:t>活性炭</w:t>
            </w:r>
            <w:r>
              <w:rPr>
                <w:rFonts w:hint="eastAsia" w:ascii="宋体" w:hAnsi="宋体" w:cs="宋体"/>
                <w:color w:val="auto"/>
                <w:spacing w:val="-4"/>
                <w:sz w:val="24"/>
              </w:rPr>
              <w:t>，废</w:t>
            </w:r>
            <w:r>
              <w:rPr>
                <w:rFonts w:ascii="宋体" w:hAnsi="宋体" w:cs="宋体"/>
                <w:color w:val="auto"/>
                <w:sz w:val="24"/>
              </w:rPr>
              <w:t>活性炭</w:t>
            </w:r>
            <w:r>
              <w:rPr>
                <w:rFonts w:hint="eastAsia" w:ascii="宋体" w:hAnsi="宋体" w:cs="宋体"/>
                <w:color w:val="auto"/>
                <w:sz w:val="24"/>
              </w:rPr>
              <w:t>产生</w:t>
            </w:r>
            <w:r>
              <w:rPr>
                <w:rFonts w:ascii="宋体" w:hAnsi="宋体" w:cs="宋体"/>
                <w:color w:val="auto"/>
                <w:spacing w:val="-2"/>
                <w:sz w:val="24"/>
              </w:rPr>
              <w:t>量为</w:t>
            </w:r>
            <w:r>
              <w:rPr>
                <w:rFonts w:hint="eastAsia"/>
                <w:color w:val="auto"/>
                <w:spacing w:val="-2"/>
                <w:sz w:val="24"/>
              </w:rPr>
              <w:t>0.5</w:t>
            </w:r>
            <w:r>
              <w:rPr>
                <w:rFonts w:eastAsia="Times New Roman"/>
                <w:color w:val="auto"/>
                <w:spacing w:val="-1"/>
                <w:sz w:val="24"/>
              </w:rPr>
              <w:t>t</w:t>
            </w:r>
            <w:r>
              <w:rPr>
                <w:rFonts w:eastAsia="Times New Roman"/>
                <w:color w:val="auto"/>
                <w:spacing w:val="-2"/>
                <w:sz w:val="24"/>
              </w:rPr>
              <w:t>/</w:t>
            </w:r>
            <w:r>
              <w:rPr>
                <w:rFonts w:eastAsia="Times New Roman"/>
                <w:color w:val="auto"/>
                <w:spacing w:val="-1"/>
                <w:sz w:val="24"/>
              </w:rPr>
              <w:t>a</w:t>
            </w:r>
            <w:r>
              <w:rPr>
                <w:rFonts w:ascii="宋体" w:hAnsi="宋体" w:cs="宋体"/>
                <w:color w:val="auto"/>
                <w:spacing w:val="-1"/>
                <w:sz w:val="24"/>
              </w:rPr>
              <w:t>。本项目产生的废活性炭由于其中吸附有苯</w:t>
            </w:r>
            <w:r>
              <w:rPr>
                <w:rFonts w:ascii="宋体" w:hAnsi="宋体" w:cs="宋体"/>
                <w:color w:val="auto"/>
                <w:spacing w:val="-8"/>
                <w:sz w:val="24"/>
              </w:rPr>
              <w:t>并</w:t>
            </w:r>
            <w:r>
              <w:rPr>
                <w:rFonts w:eastAsia="Times New Roman"/>
                <w:color w:val="auto"/>
                <w:spacing w:val="-5"/>
                <w:sz w:val="24"/>
              </w:rPr>
              <w:t>[</w:t>
            </w:r>
            <w:r>
              <w:rPr>
                <w:rFonts w:eastAsia="Times New Roman"/>
                <w:color w:val="auto"/>
                <w:spacing w:val="-4"/>
                <w:sz w:val="24"/>
              </w:rPr>
              <w:t>a]</w:t>
            </w:r>
            <w:r>
              <w:rPr>
                <w:rFonts w:ascii="宋体" w:hAnsi="宋体" w:cs="宋体"/>
                <w:color w:val="auto"/>
                <w:spacing w:val="-4"/>
                <w:sz w:val="24"/>
              </w:rPr>
              <w:t>芘，因此属于《国家危险废物名录(</w:t>
            </w:r>
            <w:r>
              <w:rPr>
                <w:rFonts w:eastAsia="Times New Roman"/>
                <w:color w:val="auto"/>
                <w:spacing w:val="-4"/>
                <w:sz w:val="24"/>
              </w:rPr>
              <w:t>202</w:t>
            </w:r>
            <w:r>
              <w:rPr>
                <w:rFonts w:hint="eastAsia" w:eastAsia="宋体"/>
                <w:color w:val="auto"/>
                <w:spacing w:val="-4"/>
                <w:sz w:val="24"/>
                <w:lang w:val="en-US" w:eastAsia="zh-CN"/>
              </w:rPr>
              <w:t>5</w:t>
            </w:r>
            <w:r>
              <w:rPr>
                <w:rFonts w:ascii="宋体" w:hAnsi="宋体" w:cs="宋体"/>
                <w:color w:val="auto"/>
                <w:spacing w:val="-4"/>
                <w:sz w:val="24"/>
              </w:rPr>
              <w:t>年版)》中</w:t>
            </w:r>
            <w:r>
              <w:rPr>
                <w:rFonts w:hint="default" w:ascii="Times New Roman" w:hAnsi="Times New Roman" w:cs="Times New Roman"/>
                <w:color w:val="auto"/>
                <w:sz w:val="24"/>
                <w:szCs w:val="24"/>
                <w:highlight w:val="none"/>
                <w:lang w:val="en-US" w:eastAsia="zh-CN"/>
              </w:rPr>
              <w:t>类别为HW49其他废物（废物代码：900-039-49，“烟气、VOCs治理过程（不包括餐饮行业油烟治理过程）产生的废活性炭，化学原料和化学制品脱色（不包括有机合成食品添加剂脱色）、除杂、净化过程产生的废活性炭（不包括 900-405-06、772-005-18、261-053-29、265-002-29、384-003-29、387-001-29 类危险废物）”）</w:t>
            </w:r>
            <w:r>
              <w:rPr>
                <w:rFonts w:ascii="宋体" w:hAnsi="宋体" w:cs="宋体"/>
                <w:color w:val="auto"/>
                <w:spacing w:val="-4"/>
                <w:sz w:val="24"/>
              </w:rPr>
              <w:t>，因此在厂区危废</w:t>
            </w:r>
            <w:r>
              <w:rPr>
                <w:rFonts w:hint="eastAsia" w:ascii="宋体" w:hAnsi="宋体" w:cs="宋体"/>
                <w:color w:val="auto"/>
                <w:spacing w:val="-4"/>
                <w:sz w:val="24"/>
                <w:lang w:val="en-US" w:eastAsia="zh-CN"/>
              </w:rPr>
              <w:t>贮存点</w:t>
            </w:r>
            <w:r>
              <w:rPr>
                <w:rFonts w:ascii="宋体" w:hAnsi="宋体" w:cs="宋体"/>
                <w:color w:val="auto"/>
                <w:spacing w:val="-4"/>
                <w:sz w:val="24"/>
              </w:rPr>
              <w:t>暂存后送有资质的单位处理。</w:t>
            </w:r>
          </w:p>
          <w:p>
            <w:pPr>
              <w:spacing w:line="500" w:lineRule="exact"/>
              <w:ind w:firstLine="480" w:firstLineChars="200"/>
              <w:jc w:val="left"/>
              <w:rPr>
                <w:color w:val="auto"/>
                <w:sz w:val="24"/>
              </w:rPr>
            </w:pPr>
            <w:r>
              <w:rPr>
                <w:color w:val="auto"/>
                <w:sz w:val="24"/>
              </w:rPr>
              <w:t>废导热油</w:t>
            </w:r>
            <w:r>
              <w:rPr>
                <w:rFonts w:hint="eastAsia"/>
                <w:color w:val="auto"/>
                <w:sz w:val="24"/>
              </w:rPr>
              <w:t>：</w:t>
            </w:r>
            <w:r>
              <w:rPr>
                <w:color w:val="auto"/>
                <w:sz w:val="24"/>
              </w:rPr>
              <w:t>导热油炉运行过程中会产生一定量的废导热油，产生量0.</w:t>
            </w:r>
            <w:r>
              <w:rPr>
                <w:rFonts w:hint="eastAsia"/>
                <w:color w:val="auto"/>
                <w:sz w:val="24"/>
              </w:rPr>
              <w:t>3</w:t>
            </w:r>
            <w:r>
              <w:rPr>
                <w:color w:val="auto"/>
                <w:sz w:val="24"/>
              </w:rPr>
              <w:t>t/a，属于《国家危险废物名录(202</w:t>
            </w:r>
            <w:r>
              <w:rPr>
                <w:rFonts w:hint="eastAsia"/>
                <w:color w:val="auto"/>
                <w:sz w:val="24"/>
                <w:lang w:val="en-US" w:eastAsia="zh-CN"/>
              </w:rPr>
              <w:t>5</w:t>
            </w:r>
            <w:r>
              <w:rPr>
                <w:color w:val="auto"/>
                <w:sz w:val="24"/>
              </w:rPr>
              <w:t>年版)》中编号为HW08废矿物油，废物代码900-214-08“车辆、轮船及其它机械维修过程中产生的废发动机油、制动器油、自动变速器油、齿轮油等废润滑油”，因此在厂区危废</w:t>
            </w:r>
            <w:r>
              <w:rPr>
                <w:rFonts w:hint="eastAsia"/>
                <w:color w:val="auto"/>
                <w:sz w:val="24"/>
                <w:lang w:val="en-US" w:eastAsia="zh-CN"/>
              </w:rPr>
              <w:t>贮存点</w:t>
            </w:r>
            <w:r>
              <w:rPr>
                <w:color w:val="auto"/>
                <w:sz w:val="24"/>
              </w:rPr>
              <w:t>暂存后送有资质的单位处理。</w:t>
            </w:r>
          </w:p>
          <w:p>
            <w:pPr>
              <w:spacing w:line="348" w:lineRule="auto"/>
              <w:ind w:firstLine="480" w:firstLineChars="200"/>
              <w:rPr>
                <w:snapToGrid w:val="0"/>
                <w:color w:val="auto"/>
                <w:kern w:val="0"/>
                <w:sz w:val="24"/>
              </w:rPr>
            </w:pPr>
            <w:r>
              <w:rPr>
                <w:rFonts w:hint="eastAsia"/>
                <w:color w:val="auto"/>
                <w:sz w:val="24"/>
                <w:lang w:val="en-US" w:eastAsia="zh-CN"/>
              </w:rPr>
              <w:t>隔油</w:t>
            </w:r>
            <w:r>
              <w:rPr>
                <w:color w:val="auto"/>
                <w:sz w:val="24"/>
              </w:rPr>
              <w:t>池油污（类别</w:t>
            </w:r>
            <w:r>
              <w:rPr>
                <w:bCs/>
                <w:color w:val="auto"/>
                <w:sz w:val="24"/>
              </w:rPr>
              <w:t>HW08，代码：900-2</w:t>
            </w:r>
            <w:r>
              <w:rPr>
                <w:rFonts w:hint="eastAsia"/>
                <w:bCs/>
                <w:color w:val="auto"/>
                <w:sz w:val="24"/>
              </w:rPr>
              <w:t>10</w:t>
            </w:r>
            <w:r>
              <w:rPr>
                <w:bCs/>
                <w:color w:val="auto"/>
                <w:sz w:val="24"/>
              </w:rPr>
              <w:t>-08</w:t>
            </w:r>
            <w:r>
              <w:rPr>
                <w:color w:val="auto"/>
                <w:sz w:val="24"/>
              </w:rPr>
              <w:t>）</w:t>
            </w:r>
            <w:r>
              <w:rPr>
                <w:rFonts w:hint="eastAsia"/>
                <w:color w:val="auto"/>
                <w:sz w:val="24"/>
              </w:rPr>
              <w:t>，</w:t>
            </w:r>
            <w:r>
              <w:rPr>
                <w:rFonts w:eastAsiaTheme="minorEastAsia"/>
                <w:color w:val="auto"/>
                <w:sz w:val="24"/>
              </w:rPr>
              <w:t>产生量约为</w:t>
            </w:r>
            <w:r>
              <w:rPr>
                <w:rFonts w:hint="eastAsia" w:eastAsiaTheme="minorEastAsia"/>
                <w:color w:val="auto"/>
                <w:sz w:val="24"/>
              </w:rPr>
              <w:t>0.001t/a</w:t>
            </w:r>
            <w:r>
              <w:rPr>
                <w:rFonts w:eastAsiaTheme="minorEastAsia"/>
                <w:color w:val="auto"/>
                <w:sz w:val="24"/>
              </w:rPr>
              <w:t>。</w:t>
            </w:r>
          </w:p>
          <w:p>
            <w:pPr>
              <w:spacing w:line="348" w:lineRule="auto"/>
              <w:ind w:firstLine="480" w:firstLineChars="200"/>
              <w:rPr>
                <w:snapToGrid w:val="0"/>
                <w:color w:val="auto"/>
                <w:kern w:val="0"/>
                <w:sz w:val="24"/>
              </w:rPr>
            </w:pPr>
            <w:r>
              <w:rPr>
                <w:snapToGrid w:val="0"/>
                <w:color w:val="auto"/>
                <w:kern w:val="0"/>
                <w:sz w:val="24"/>
              </w:rPr>
              <w:t>本项目危险废物汇总表见下表。</w:t>
            </w:r>
          </w:p>
          <w:p>
            <w:pPr>
              <w:topLinePunct/>
              <w:adjustRightInd w:val="0"/>
              <w:snapToGrid w:val="0"/>
              <w:jc w:val="center"/>
              <w:rPr>
                <w:color w:val="auto"/>
                <w:sz w:val="22"/>
                <w:szCs w:val="22"/>
              </w:rPr>
            </w:pPr>
            <w:r>
              <w:rPr>
                <w:b/>
                <w:color w:val="auto"/>
                <w:sz w:val="22"/>
                <w:szCs w:val="22"/>
              </w:rPr>
              <w:t>表4-</w:t>
            </w:r>
            <w:r>
              <w:rPr>
                <w:rFonts w:hint="eastAsia"/>
                <w:b/>
                <w:color w:val="auto"/>
                <w:sz w:val="22"/>
                <w:szCs w:val="22"/>
                <w:lang w:val="en-US" w:eastAsia="zh-CN"/>
              </w:rPr>
              <w:t>11</w:t>
            </w:r>
            <w:r>
              <w:rPr>
                <w:b/>
                <w:color w:val="auto"/>
                <w:sz w:val="22"/>
                <w:szCs w:val="22"/>
              </w:rPr>
              <w:t xml:space="preserve"> 危险废物汇总表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97"/>
              <w:gridCol w:w="838"/>
              <w:gridCol w:w="1000"/>
              <w:gridCol w:w="1273"/>
              <w:gridCol w:w="651"/>
              <w:gridCol w:w="914"/>
              <w:gridCol w:w="697"/>
              <w:gridCol w:w="1009"/>
              <w:gridCol w:w="788"/>
              <w:gridCol w:w="603"/>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55" w:hRule="atLeast"/>
                <w:jc w:val="center"/>
              </w:trPr>
              <w:tc>
                <w:tcPr>
                  <w:tcW w:w="282" w:type="pct"/>
                  <w:vAlign w:val="center"/>
                </w:tcPr>
                <w:p>
                  <w:pPr>
                    <w:topLinePunct/>
                    <w:adjustRightInd w:val="0"/>
                    <w:snapToGrid w:val="0"/>
                    <w:jc w:val="center"/>
                    <w:rPr>
                      <w:color w:val="auto"/>
                      <w:kern w:val="0"/>
                      <w:szCs w:val="21"/>
                    </w:rPr>
                  </w:pPr>
                  <w:r>
                    <w:rPr>
                      <w:color w:val="auto"/>
                      <w:kern w:val="0"/>
                      <w:szCs w:val="21"/>
                    </w:rPr>
                    <w:t>序号</w:t>
                  </w:r>
                </w:p>
              </w:tc>
              <w:tc>
                <w:tcPr>
                  <w:tcW w:w="475" w:type="pct"/>
                  <w:vAlign w:val="center"/>
                </w:tcPr>
                <w:p>
                  <w:pPr>
                    <w:topLinePunct/>
                    <w:adjustRightInd w:val="0"/>
                    <w:snapToGrid w:val="0"/>
                    <w:jc w:val="center"/>
                    <w:rPr>
                      <w:color w:val="auto"/>
                      <w:kern w:val="0"/>
                      <w:szCs w:val="21"/>
                    </w:rPr>
                  </w:pPr>
                  <w:r>
                    <w:rPr>
                      <w:color w:val="auto"/>
                      <w:kern w:val="0"/>
                      <w:szCs w:val="21"/>
                    </w:rPr>
                    <w:t>危险废物名称</w:t>
                  </w:r>
                </w:p>
              </w:tc>
              <w:tc>
                <w:tcPr>
                  <w:tcW w:w="567" w:type="pct"/>
                  <w:vAlign w:val="center"/>
                </w:tcPr>
                <w:p>
                  <w:pPr>
                    <w:topLinePunct/>
                    <w:adjustRightInd w:val="0"/>
                    <w:snapToGrid w:val="0"/>
                    <w:jc w:val="center"/>
                    <w:rPr>
                      <w:color w:val="auto"/>
                      <w:kern w:val="0"/>
                      <w:szCs w:val="21"/>
                    </w:rPr>
                  </w:pPr>
                  <w:r>
                    <w:rPr>
                      <w:color w:val="auto"/>
                      <w:kern w:val="0"/>
                      <w:szCs w:val="21"/>
                    </w:rPr>
                    <w:t>危险废物类别</w:t>
                  </w:r>
                </w:p>
              </w:tc>
              <w:tc>
                <w:tcPr>
                  <w:tcW w:w="722" w:type="pct"/>
                  <w:vAlign w:val="center"/>
                </w:tcPr>
                <w:p>
                  <w:pPr>
                    <w:topLinePunct/>
                    <w:adjustRightInd w:val="0"/>
                    <w:snapToGrid w:val="0"/>
                    <w:jc w:val="center"/>
                    <w:rPr>
                      <w:color w:val="auto"/>
                      <w:kern w:val="0"/>
                      <w:szCs w:val="21"/>
                    </w:rPr>
                  </w:pPr>
                  <w:r>
                    <w:rPr>
                      <w:color w:val="auto"/>
                      <w:kern w:val="0"/>
                      <w:szCs w:val="21"/>
                    </w:rPr>
                    <w:t>危险废物代码</w:t>
                  </w:r>
                </w:p>
              </w:tc>
              <w:tc>
                <w:tcPr>
                  <w:tcW w:w="369" w:type="pct"/>
                  <w:vAlign w:val="center"/>
                </w:tcPr>
                <w:p>
                  <w:pPr>
                    <w:topLinePunct/>
                    <w:adjustRightInd w:val="0"/>
                    <w:snapToGrid w:val="0"/>
                    <w:jc w:val="center"/>
                    <w:rPr>
                      <w:color w:val="auto"/>
                      <w:kern w:val="0"/>
                      <w:szCs w:val="21"/>
                    </w:rPr>
                  </w:pPr>
                  <w:r>
                    <w:rPr>
                      <w:color w:val="auto"/>
                      <w:kern w:val="0"/>
                      <w:szCs w:val="21"/>
                    </w:rPr>
                    <w:t>产生量（t/a）</w:t>
                  </w:r>
                </w:p>
              </w:tc>
              <w:tc>
                <w:tcPr>
                  <w:tcW w:w="518" w:type="pct"/>
                  <w:vAlign w:val="center"/>
                </w:tcPr>
                <w:p>
                  <w:pPr>
                    <w:topLinePunct/>
                    <w:adjustRightInd w:val="0"/>
                    <w:snapToGrid w:val="0"/>
                    <w:jc w:val="center"/>
                    <w:rPr>
                      <w:color w:val="auto"/>
                      <w:kern w:val="0"/>
                      <w:szCs w:val="21"/>
                    </w:rPr>
                  </w:pPr>
                  <w:r>
                    <w:rPr>
                      <w:color w:val="auto"/>
                      <w:kern w:val="0"/>
                      <w:szCs w:val="21"/>
                    </w:rPr>
                    <w:t>产生工序及装置</w:t>
                  </w:r>
                </w:p>
              </w:tc>
              <w:tc>
                <w:tcPr>
                  <w:tcW w:w="395" w:type="pct"/>
                  <w:vAlign w:val="center"/>
                </w:tcPr>
                <w:p>
                  <w:pPr>
                    <w:topLinePunct/>
                    <w:adjustRightInd w:val="0"/>
                    <w:snapToGrid w:val="0"/>
                    <w:jc w:val="center"/>
                    <w:rPr>
                      <w:color w:val="auto"/>
                      <w:kern w:val="0"/>
                      <w:szCs w:val="21"/>
                    </w:rPr>
                  </w:pPr>
                  <w:r>
                    <w:rPr>
                      <w:color w:val="auto"/>
                      <w:kern w:val="0"/>
                      <w:szCs w:val="21"/>
                    </w:rPr>
                    <w:t>形态</w:t>
                  </w:r>
                </w:p>
              </w:tc>
              <w:tc>
                <w:tcPr>
                  <w:tcW w:w="572" w:type="pct"/>
                  <w:vAlign w:val="center"/>
                </w:tcPr>
                <w:p>
                  <w:pPr>
                    <w:topLinePunct/>
                    <w:adjustRightInd w:val="0"/>
                    <w:snapToGrid w:val="0"/>
                    <w:jc w:val="center"/>
                    <w:rPr>
                      <w:color w:val="auto"/>
                      <w:kern w:val="0"/>
                      <w:szCs w:val="21"/>
                    </w:rPr>
                  </w:pPr>
                  <w:r>
                    <w:rPr>
                      <w:color w:val="auto"/>
                      <w:kern w:val="0"/>
                      <w:szCs w:val="21"/>
                    </w:rPr>
                    <w:t>主要成分</w:t>
                  </w:r>
                </w:p>
              </w:tc>
              <w:tc>
                <w:tcPr>
                  <w:tcW w:w="447" w:type="pct"/>
                  <w:vAlign w:val="center"/>
                </w:tcPr>
                <w:p>
                  <w:pPr>
                    <w:topLinePunct/>
                    <w:adjustRightInd w:val="0"/>
                    <w:snapToGrid w:val="0"/>
                    <w:jc w:val="center"/>
                    <w:rPr>
                      <w:color w:val="auto"/>
                      <w:kern w:val="0"/>
                      <w:szCs w:val="21"/>
                    </w:rPr>
                  </w:pPr>
                  <w:r>
                    <w:rPr>
                      <w:color w:val="auto"/>
                      <w:kern w:val="0"/>
                      <w:szCs w:val="21"/>
                    </w:rPr>
                    <w:t>有害成分</w:t>
                  </w:r>
                </w:p>
              </w:tc>
              <w:tc>
                <w:tcPr>
                  <w:tcW w:w="342" w:type="pct"/>
                  <w:vAlign w:val="center"/>
                </w:tcPr>
                <w:p>
                  <w:pPr>
                    <w:topLinePunct/>
                    <w:adjustRightInd w:val="0"/>
                    <w:snapToGrid w:val="0"/>
                    <w:jc w:val="center"/>
                    <w:rPr>
                      <w:color w:val="auto"/>
                      <w:kern w:val="0"/>
                      <w:szCs w:val="21"/>
                    </w:rPr>
                  </w:pPr>
                  <w:r>
                    <w:rPr>
                      <w:color w:val="auto"/>
                      <w:kern w:val="0"/>
                      <w:szCs w:val="21"/>
                    </w:rPr>
                    <w:t>产废周期</w:t>
                  </w:r>
                </w:p>
              </w:tc>
              <w:tc>
                <w:tcPr>
                  <w:tcW w:w="306" w:type="pct"/>
                  <w:vAlign w:val="center"/>
                </w:tcPr>
                <w:p>
                  <w:pPr>
                    <w:topLinePunct/>
                    <w:adjustRightInd w:val="0"/>
                    <w:snapToGrid w:val="0"/>
                    <w:jc w:val="center"/>
                    <w:rPr>
                      <w:color w:val="auto"/>
                      <w:kern w:val="0"/>
                      <w:szCs w:val="21"/>
                    </w:rPr>
                  </w:pPr>
                  <w:r>
                    <w:rPr>
                      <w:color w:val="auto"/>
                      <w:kern w:val="0"/>
                      <w:szCs w:val="21"/>
                    </w:rPr>
                    <w:t>危险</w:t>
                  </w:r>
                </w:p>
                <w:p>
                  <w:pPr>
                    <w:topLinePunct/>
                    <w:adjustRightInd w:val="0"/>
                    <w:snapToGrid w:val="0"/>
                    <w:jc w:val="center"/>
                    <w:rPr>
                      <w:color w:val="auto"/>
                      <w:kern w:val="0"/>
                      <w:szCs w:val="21"/>
                    </w:rPr>
                  </w:pPr>
                  <w:r>
                    <w:rPr>
                      <w:color w:val="auto"/>
                      <w:kern w:val="0"/>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63" w:hRule="atLeast"/>
                <w:jc w:val="center"/>
              </w:trPr>
              <w:tc>
                <w:tcPr>
                  <w:tcW w:w="282" w:type="pct"/>
                  <w:vAlign w:val="center"/>
                </w:tcPr>
                <w:p>
                  <w:pPr>
                    <w:topLinePunct/>
                    <w:adjustRightInd w:val="0"/>
                    <w:snapToGrid w:val="0"/>
                    <w:jc w:val="center"/>
                    <w:rPr>
                      <w:color w:val="auto"/>
                      <w:kern w:val="0"/>
                      <w:szCs w:val="21"/>
                    </w:rPr>
                  </w:pPr>
                  <w:r>
                    <w:rPr>
                      <w:rFonts w:hint="eastAsia"/>
                      <w:color w:val="auto"/>
                      <w:kern w:val="0"/>
                      <w:szCs w:val="21"/>
                    </w:rPr>
                    <w:t>1</w:t>
                  </w:r>
                </w:p>
              </w:tc>
              <w:tc>
                <w:tcPr>
                  <w:tcW w:w="475"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废活性炭</w:t>
                  </w:r>
                </w:p>
              </w:tc>
              <w:tc>
                <w:tcPr>
                  <w:tcW w:w="567"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HW49其他废物</w:t>
                  </w:r>
                </w:p>
              </w:tc>
              <w:tc>
                <w:tcPr>
                  <w:tcW w:w="722"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900-0</w:t>
                  </w:r>
                  <w:r>
                    <w:rPr>
                      <w:rFonts w:hint="eastAsia"/>
                      <w:color w:val="auto"/>
                      <w:kern w:val="0"/>
                      <w:szCs w:val="21"/>
                    </w:rPr>
                    <w:t>39</w:t>
                  </w:r>
                  <w:r>
                    <w:rPr>
                      <w:color w:val="auto"/>
                      <w:kern w:val="0"/>
                      <w:szCs w:val="21"/>
                    </w:rPr>
                    <w:t>-49</w:t>
                  </w:r>
                </w:p>
              </w:tc>
              <w:tc>
                <w:tcPr>
                  <w:tcW w:w="369"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0.5</w:t>
                  </w:r>
                </w:p>
              </w:tc>
              <w:tc>
                <w:tcPr>
                  <w:tcW w:w="518"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环保措施</w:t>
                  </w:r>
                </w:p>
              </w:tc>
              <w:tc>
                <w:tcPr>
                  <w:tcW w:w="395"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固态</w:t>
                  </w:r>
                </w:p>
              </w:tc>
              <w:tc>
                <w:tcPr>
                  <w:tcW w:w="572"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苯并[a]芘</w:t>
                  </w:r>
                </w:p>
              </w:tc>
              <w:tc>
                <w:tcPr>
                  <w:tcW w:w="447"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苯并[a]芘</w:t>
                  </w:r>
                </w:p>
              </w:tc>
              <w:tc>
                <w:tcPr>
                  <w:tcW w:w="342"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1a</w:t>
                  </w:r>
                </w:p>
              </w:tc>
              <w:tc>
                <w:tcPr>
                  <w:tcW w:w="306"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63" w:hRule="atLeast"/>
                <w:jc w:val="center"/>
              </w:trPr>
              <w:tc>
                <w:tcPr>
                  <w:tcW w:w="282" w:type="pct"/>
                  <w:vAlign w:val="center"/>
                </w:tcPr>
                <w:p>
                  <w:pPr>
                    <w:topLinePunct/>
                    <w:adjustRightInd w:val="0"/>
                    <w:snapToGrid w:val="0"/>
                    <w:jc w:val="center"/>
                    <w:rPr>
                      <w:color w:val="auto"/>
                      <w:kern w:val="0"/>
                      <w:szCs w:val="21"/>
                    </w:rPr>
                  </w:pPr>
                  <w:r>
                    <w:rPr>
                      <w:rFonts w:hint="eastAsia"/>
                      <w:color w:val="auto"/>
                      <w:kern w:val="0"/>
                      <w:szCs w:val="21"/>
                    </w:rPr>
                    <w:t>2</w:t>
                  </w:r>
                </w:p>
              </w:tc>
              <w:tc>
                <w:tcPr>
                  <w:tcW w:w="475"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废导热油</w:t>
                  </w:r>
                </w:p>
              </w:tc>
              <w:tc>
                <w:tcPr>
                  <w:tcW w:w="567" w:type="pct"/>
                  <w:shd w:val="clear" w:color="auto" w:fill="auto"/>
                  <w:vAlign w:val="top"/>
                </w:tcPr>
                <w:p>
                  <w:pPr>
                    <w:topLinePunct/>
                    <w:adjustRightInd w:val="0"/>
                    <w:snapToGrid w:val="0"/>
                    <w:jc w:val="center"/>
                    <w:rPr>
                      <w:color w:val="auto"/>
                      <w:kern w:val="0"/>
                      <w:szCs w:val="21"/>
                    </w:rPr>
                  </w:pPr>
                  <w:r>
                    <w:rPr>
                      <w:color w:val="auto"/>
                      <w:kern w:val="0"/>
                      <w:szCs w:val="21"/>
                    </w:rPr>
                    <w:t>废矿物油</w:t>
                  </w:r>
                </w:p>
                <w:p>
                  <w:pPr>
                    <w:topLinePunct/>
                    <w:adjustRightInd w:val="0"/>
                    <w:snapToGrid w:val="0"/>
                    <w:jc w:val="center"/>
                    <w:rPr>
                      <w:color w:val="auto"/>
                      <w:kern w:val="0"/>
                      <w:szCs w:val="21"/>
                    </w:rPr>
                  </w:pPr>
                  <w:r>
                    <w:rPr>
                      <w:color w:val="auto"/>
                      <w:kern w:val="0"/>
                      <w:szCs w:val="21"/>
                    </w:rPr>
                    <w:t>与含矿物</w:t>
                  </w:r>
                </w:p>
                <w:p>
                  <w:pPr>
                    <w:topLinePunct/>
                    <w:adjustRightInd w:val="0"/>
                    <w:snapToGrid w:val="0"/>
                    <w:jc w:val="center"/>
                    <w:rPr>
                      <w:color w:val="auto"/>
                      <w:kern w:val="0"/>
                      <w:szCs w:val="21"/>
                    </w:rPr>
                  </w:pPr>
                  <w:r>
                    <w:rPr>
                      <w:color w:val="auto"/>
                      <w:kern w:val="0"/>
                      <w:szCs w:val="21"/>
                    </w:rPr>
                    <w:t>油废物</w:t>
                  </w:r>
                </w:p>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HW08</w:t>
                  </w:r>
                </w:p>
              </w:tc>
              <w:tc>
                <w:tcPr>
                  <w:tcW w:w="722" w:type="pct"/>
                  <w:shd w:val="clear" w:color="auto" w:fill="auto"/>
                  <w:vAlign w:val="top"/>
                </w:tcPr>
                <w:p>
                  <w:pPr>
                    <w:topLinePunct/>
                    <w:adjustRightInd w:val="0"/>
                    <w:snapToGrid w:val="0"/>
                    <w:jc w:val="center"/>
                    <w:rPr>
                      <w:color w:val="auto"/>
                      <w:kern w:val="0"/>
                      <w:szCs w:val="21"/>
                    </w:rPr>
                  </w:pPr>
                </w:p>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900-214-08</w:t>
                  </w:r>
                </w:p>
              </w:tc>
              <w:tc>
                <w:tcPr>
                  <w:tcW w:w="369"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0.3</w:t>
                  </w:r>
                </w:p>
              </w:tc>
              <w:tc>
                <w:tcPr>
                  <w:tcW w:w="518"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导热油炉</w:t>
                  </w:r>
                </w:p>
              </w:tc>
              <w:tc>
                <w:tcPr>
                  <w:tcW w:w="395"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液态</w:t>
                  </w:r>
                </w:p>
              </w:tc>
              <w:tc>
                <w:tcPr>
                  <w:tcW w:w="572"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废矿物油</w:t>
                  </w:r>
                </w:p>
              </w:tc>
              <w:tc>
                <w:tcPr>
                  <w:tcW w:w="447"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rFonts w:hint="eastAsia"/>
                      <w:color w:val="auto"/>
                      <w:kern w:val="0"/>
                      <w:szCs w:val="21"/>
                    </w:rPr>
                    <w:t>废矿物油</w:t>
                  </w:r>
                </w:p>
              </w:tc>
              <w:tc>
                <w:tcPr>
                  <w:tcW w:w="342"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1a</w:t>
                  </w:r>
                </w:p>
              </w:tc>
              <w:tc>
                <w:tcPr>
                  <w:tcW w:w="306"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63" w:hRule="atLeast"/>
                <w:jc w:val="center"/>
              </w:trPr>
              <w:tc>
                <w:tcPr>
                  <w:tcW w:w="282" w:type="pct"/>
                  <w:vAlign w:val="center"/>
                </w:tcPr>
                <w:p>
                  <w:pPr>
                    <w:topLinePunct/>
                    <w:adjustRightInd w:val="0"/>
                    <w:snapToGrid w:val="0"/>
                    <w:jc w:val="center"/>
                    <w:rPr>
                      <w:color w:val="auto"/>
                      <w:kern w:val="0"/>
                      <w:szCs w:val="21"/>
                    </w:rPr>
                  </w:pPr>
                  <w:r>
                    <w:rPr>
                      <w:rFonts w:hint="eastAsia"/>
                      <w:color w:val="auto"/>
                      <w:kern w:val="0"/>
                      <w:szCs w:val="21"/>
                    </w:rPr>
                    <w:t>3</w:t>
                  </w:r>
                </w:p>
              </w:tc>
              <w:tc>
                <w:tcPr>
                  <w:tcW w:w="475" w:type="pct"/>
                  <w:shd w:val="clear" w:color="auto" w:fill="auto"/>
                  <w:vAlign w:val="center"/>
                </w:tcPr>
                <w:p>
                  <w:pPr>
                    <w:spacing w:line="0" w:lineRule="atLeast"/>
                    <w:jc w:val="center"/>
                    <w:rPr>
                      <w:rFonts w:hint="eastAsia" w:ascii="Times New Roman" w:hAnsi="Times New Roman" w:eastAsia="宋体" w:cs="Times New Roman"/>
                      <w:color w:val="auto"/>
                      <w:kern w:val="0"/>
                      <w:sz w:val="21"/>
                      <w:szCs w:val="21"/>
                      <w:lang w:val="en-US" w:eastAsia="zh-CN" w:bidi="ar-SA"/>
                    </w:rPr>
                  </w:pPr>
                  <w:r>
                    <w:rPr>
                      <w:rFonts w:hint="eastAsia" w:hAnsiTheme="minorEastAsia" w:eastAsiaTheme="minorEastAsia"/>
                      <w:color w:val="auto"/>
                      <w:szCs w:val="21"/>
                      <w:lang w:val="en-US" w:eastAsia="zh-CN"/>
                    </w:rPr>
                    <w:t>隔油池</w:t>
                  </w:r>
                  <w:r>
                    <w:rPr>
                      <w:rFonts w:hint="eastAsia" w:hAnsiTheme="minorEastAsia" w:eastAsiaTheme="minorEastAsia"/>
                      <w:color w:val="auto"/>
                      <w:szCs w:val="21"/>
                    </w:rPr>
                    <w:t>油污</w:t>
                  </w:r>
                </w:p>
              </w:tc>
              <w:tc>
                <w:tcPr>
                  <w:tcW w:w="567" w:type="pct"/>
                  <w:shd w:val="clear" w:color="auto" w:fill="auto"/>
                  <w:vAlign w:val="center"/>
                </w:tcPr>
                <w:p>
                  <w:pPr>
                    <w:widowControl/>
                    <w:jc w:val="center"/>
                    <w:rPr>
                      <w:rFonts w:ascii="Times New Roman" w:hAnsi="Times New Roman" w:eastAsia="宋体" w:cs="Times New Roman"/>
                      <w:color w:val="auto"/>
                      <w:kern w:val="0"/>
                      <w:sz w:val="21"/>
                      <w:szCs w:val="21"/>
                      <w:lang w:val="en-US" w:eastAsia="zh-CN" w:bidi="ar-SA"/>
                    </w:rPr>
                  </w:pPr>
                  <w:r>
                    <w:rPr>
                      <w:rFonts w:hint="eastAsia" w:hAnsiTheme="minorEastAsia" w:eastAsiaTheme="minorEastAsia"/>
                      <w:color w:val="auto"/>
                      <w:szCs w:val="21"/>
                    </w:rPr>
                    <w:t>危险废物</w:t>
                  </w:r>
                  <w:r>
                    <w:rPr>
                      <w:rFonts w:eastAsiaTheme="minorEastAsia"/>
                      <w:color w:val="auto"/>
                      <w:szCs w:val="21"/>
                    </w:rPr>
                    <w:t>（类别</w:t>
                  </w:r>
                  <w:r>
                    <w:rPr>
                      <w:rFonts w:eastAsiaTheme="minorEastAsia"/>
                      <w:bCs/>
                      <w:color w:val="auto"/>
                      <w:szCs w:val="21"/>
                    </w:rPr>
                    <w:t>HW08</w:t>
                  </w:r>
                </w:p>
              </w:tc>
              <w:tc>
                <w:tcPr>
                  <w:tcW w:w="722" w:type="pct"/>
                  <w:shd w:val="clear" w:color="auto" w:fill="auto"/>
                  <w:vAlign w:val="center"/>
                </w:tcPr>
                <w:p>
                  <w:pPr>
                    <w:spacing w:line="0" w:lineRule="atLeast"/>
                    <w:jc w:val="center"/>
                    <w:rPr>
                      <w:rFonts w:ascii="Times New Roman" w:hAnsi="Times New Roman" w:eastAsia="宋体" w:cs="Times New Roman"/>
                      <w:color w:val="auto"/>
                      <w:kern w:val="0"/>
                      <w:sz w:val="21"/>
                      <w:szCs w:val="21"/>
                      <w:lang w:val="en-US" w:eastAsia="zh-CN" w:bidi="ar-SA"/>
                    </w:rPr>
                  </w:pPr>
                  <w:r>
                    <w:rPr>
                      <w:rFonts w:eastAsiaTheme="minorEastAsia"/>
                      <w:bCs/>
                      <w:color w:val="auto"/>
                      <w:szCs w:val="21"/>
                    </w:rPr>
                    <w:t>900-2</w:t>
                  </w:r>
                  <w:r>
                    <w:rPr>
                      <w:rFonts w:hint="eastAsia" w:eastAsiaTheme="minorEastAsia"/>
                      <w:bCs/>
                      <w:color w:val="auto"/>
                      <w:szCs w:val="21"/>
                    </w:rPr>
                    <w:t>10</w:t>
                  </w:r>
                  <w:r>
                    <w:rPr>
                      <w:rFonts w:eastAsiaTheme="minorEastAsia"/>
                      <w:bCs/>
                      <w:color w:val="auto"/>
                      <w:szCs w:val="21"/>
                    </w:rPr>
                    <w:t>-08</w:t>
                  </w:r>
                </w:p>
              </w:tc>
              <w:tc>
                <w:tcPr>
                  <w:tcW w:w="369" w:type="pct"/>
                  <w:shd w:val="clear" w:color="auto" w:fill="auto"/>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szCs w:val="21"/>
                    </w:rPr>
                    <w:t>0.</w:t>
                  </w:r>
                  <w:r>
                    <w:rPr>
                      <w:rFonts w:hint="eastAsia"/>
                      <w:color w:val="auto"/>
                      <w:szCs w:val="21"/>
                    </w:rPr>
                    <w:t>001</w:t>
                  </w:r>
                </w:p>
              </w:tc>
              <w:tc>
                <w:tcPr>
                  <w:tcW w:w="518" w:type="pct"/>
                  <w:shd w:val="clear" w:color="auto" w:fill="auto"/>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hAnsiTheme="minorEastAsia" w:eastAsiaTheme="minorEastAsia"/>
                      <w:color w:val="auto"/>
                      <w:szCs w:val="21"/>
                      <w:lang w:val="en-US" w:eastAsia="zh-CN"/>
                    </w:rPr>
                    <w:t>隔油池</w:t>
                  </w:r>
                </w:p>
              </w:tc>
              <w:tc>
                <w:tcPr>
                  <w:tcW w:w="395" w:type="pct"/>
                  <w:shd w:val="clear" w:color="auto" w:fill="auto"/>
                  <w:vAlign w:val="center"/>
                </w:tcPr>
                <w:p>
                  <w:pPr>
                    <w:pStyle w:val="137"/>
                    <w:spacing w:line="240" w:lineRule="auto"/>
                    <w:contextualSpacing/>
                    <w:rPr>
                      <w:rFonts w:hint="eastAsia" w:ascii="宋体" w:hAnsi="Times New Roman" w:cs="Times New Roman" w:eastAsiaTheme="minorEastAsia"/>
                      <w:b/>
                      <w:color w:val="auto"/>
                      <w:spacing w:val="-6"/>
                      <w:kern w:val="2"/>
                      <w:sz w:val="21"/>
                      <w:szCs w:val="21"/>
                      <w:lang w:val="en-US" w:eastAsia="zh-CN" w:bidi="ar-SA"/>
                    </w:rPr>
                  </w:pPr>
                  <w:r>
                    <w:rPr>
                      <w:rFonts w:hint="eastAsia" w:eastAsiaTheme="minorEastAsia"/>
                      <w:color w:val="auto"/>
                      <w:spacing w:val="-6"/>
                      <w:kern w:val="2"/>
                      <w:sz w:val="21"/>
                      <w:szCs w:val="21"/>
                    </w:rPr>
                    <w:t>液态</w:t>
                  </w:r>
                </w:p>
              </w:tc>
              <w:tc>
                <w:tcPr>
                  <w:tcW w:w="572" w:type="pct"/>
                  <w:shd w:val="clear" w:color="auto" w:fill="auto"/>
                  <w:vAlign w:val="center"/>
                </w:tcPr>
                <w:p>
                  <w:pPr>
                    <w:widowControl/>
                    <w:spacing w:line="240" w:lineRule="exact"/>
                    <w:contextualSpacing/>
                    <w:jc w:val="center"/>
                    <w:rPr>
                      <w:rFonts w:hint="eastAsia" w:ascii="Times New Roman" w:hAnsi="Times New Roman" w:cs="Times New Roman" w:eastAsiaTheme="minorEastAsia"/>
                      <w:color w:val="auto"/>
                      <w:spacing w:val="-6"/>
                      <w:kern w:val="2"/>
                      <w:sz w:val="21"/>
                      <w:szCs w:val="21"/>
                      <w:lang w:val="en-US" w:eastAsia="zh-CN" w:bidi="ar-SA"/>
                    </w:rPr>
                  </w:pPr>
                  <w:r>
                    <w:rPr>
                      <w:rFonts w:hint="eastAsia" w:eastAsiaTheme="minorEastAsia"/>
                      <w:color w:val="auto"/>
                      <w:spacing w:val="-6"/>
                      <w:szCs w:val="21"/>
                    </w:rPr>
                    <w:t>有机物</w:t>
                  </w:r>
                </w:p>
              </w:tc>
              <w:tc>
                <w:tcPr>
                  <w:tcW w:w="447" w:type="pct"/>
                  <w:shd w:val="clear" w:color="auto" w:fill="auto"/>
                  <w:vAlign w:val="center"/>
                </w:tcPr>
                <w:p>
                  <w:pPr>
                    <w:widowControl/>
                    <w:spacing w:line="240" w:lineRule="exact"/>
                    <w:contextualSpacing/>
                    <w:jc w:val="center"/>
                    <w:rPr>
                      <w:rFonts w:hint="eastAsia" w:ascii="Times New Roman" w:hAnsi="Times New Roman" w:cs="Times New Roman" w:eastAsiaTheme="minorEastAsia"/>
                      <w:color w:val="auto"/>
                      <w:spacing w:val="-6"/>
                      <w:kern w:val="2"/>
                      <w:sz w:val="21"/>
                      <w:szCs w:val="21"/>
                      <w:lang w:val="en-US" w:eastAsia="zh-CN" w:bidi="ar-SA"/>
                    </w:rPr>
                  </w:pPr>
                  <w:r>
                    <w:rPr>
                      <w:rFonts w:eastAsiaTheme="minorEastAsia"/>
                      <w:color w:val="auto"/>
                      <w:spacing w:val="-6"/>
                      <w:szCs w:val="21"/>
                    </w:rPr>
                    <w:t>石油类</w:t>
                  </w:r>
                </w:p>
              </w:tc>
              <w:tc>
                <w:tcPr>
                  <w:tcW w:w="342"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1a</w:t>
                  </w:r>
                </w:p>
              </w:tc>
              <w:tc>
                <w:tcPr>
                  <w:tcW w:w="306" w:type="pct"/>
                  <w:shd w:val="clear" w:color="auto" w:fill="auto"/>
                  <w:vAlign w:val="center"/>
                </w:tcPr>
                <w:p>
                  <w:pPr>
                    <w:topLinePunct/>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T</w:t>
                  </w:r>
                </w:p>
              </w:tc>
            </w:tr>
          </w:tbl>
          <w:p>
            <w:pPr>
              <w:widowControl/>
              <w:spacing w:line="360" w:lineRule="auto"/>
              <w:ind w:firstLine="720" w:firstLineChars="300"/>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a</w:t>
            </w:r>
            <w:r>
              <w:rPr>
                <w:rFonts w:hint="default" w:ascii="Times New Roman" w:hAnsi="Times New Roman" w:eastAsia="宋体" w:cs="Times New Roman"/>
                <w:bCs/>
                <w:color w:val="auto"/>
                <w:kern w:val="2"/>
                <w:sz w:val="24"/>
                <w:szCs w:val="24"/>
                <w:highlight w:val="none"/>
                <w:lang w:val="en-US" w:eastAsia="zh-CN" w:bidi="ar-SA"/>
              </w:rPr>
              <w:t>分类收集</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企业产生的危险废物在未外送之前临时贮存参照《危险废物贮存污染控制标准》（GB18597-2023）中关于一般要求、贮存容器、贮存设施设计原则、运行管理和安全防护等内容执行。建设单位收集、临时储存危险废物应严格执行《危险废物贮存污染控制标准》（GB18597-2023），危险废物收集、暂存要求如下：</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对</w:t>
            </w:r>
            <w:r>
              <w:rPr>
                <w:rFonts w:hint="eastAsia" w:ascii="Times New Roman" w:hAnsi="Times New Roman" w:eastAsia="宋体" w:cs="Times New Roman"/>
                <w:bCs/>
                <w:color w:val="auto"/>
                <w:kern w:val="2"/>
                <w:sz w:val="24"/>
                <w:szCs w:val="24"/>
                <w:highlight w:val="none"/>
                <w:lang w:val="en-US" w:eastAsia="zh-CN" w:bidi="ar-SA"/>
              </w:rPr>
              <w:t>危险废物</w:t>
            </w:r>
            <w:r>
              <w:rPr>
                <w:rFonts w:hint="default" w:ascii="Times New Roman" w:hAnsi="Times New Roman" w:eastAsia="宋体" w:cs="Times New Roman"/>
                <w:bCs/>
                <w:color w:val="auto"/>
                <w:kern w:val="2"/>
                <w:sz w:val="24"/>
                <w:szCs w:val="24"/>
                <w:highlight w:val="none"/>
                <w:lang w:val="en-US" w:eastAsia="zh-CN" w:bidi="ar-SA"/>
              </w:rPr>
              <w:t>进行分类存储和标识，对危险废物暂存区设立明显的警示标志，</w:t>
            </w:r>
            <w:r>
              <w:rPr>
                <w:rFonts w:hint="eastAsia" w:ascii="Times New Roman" w:hAnsi="Times New Roman" w:eastAsia="宋体" w:cs="Times New Roman"/>
                <w:bCs/>
                <w:color w:val="auto"/>
                <w:kern w:val="2"/>
                <w:sz w:val="24"/>
                <w:szCs w:val="24"/>
                <w:highlight w:val="none"/>
                <w:lang w:val="en-US" w:eastAsia="zh-CN" w:bidi="ar-SA"/>
              </w:rPr>
              <w:t>生产</w:t>
            </w:r>
            <w:r>
              <w:rPr>
                <w:rFonts w:hint="default" w:ascii="Times New Roman" w:hAnsi="Times New Roman" w:eastAsia="宋体" w:cs="Times New Roman"/>
                <w:bCs/>
                <w:color w:val="auto"/>
                <w:kern w:val="2"/>
                <w:sz w:val="24"/>
                <w:szCs w:val="24"/>
                <w:highlight w:val="none"/>
                <w:lang w:val="en-US" w:eastAsia="zh-CN" w:bidi="ar-SA"/>
              </w:rPr>
              <w:t>过程产生的危险废物应按照类别分别放置在专门的收集容器和暂存设施内。</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贮存设施按照</w:t>
            </w:r>
            <w:r>
              <w:rPr>
                <w:rFonts w:hint="eastAsia" w:ascii="Times New Roman" w:hAnsi="Times New Roman" w:eastAsia="宋体" w:cs="Times New Roman"/>
                <w:bCs/>
                <w:color w:val="auto"/>
                <w:kern w:val="2"/>
                <w:sz w:val="24"/>
                <w:szCs w:val="24"/>
                <w:highlight w:val="none"/>
                <w:lang w:val="en-US" w:eastAsia="zh-CN" w:bidi="ar-SA"/>
              </w:rPr>
              <w:t>《危险废物贮存污染控制标准》（GB18597-2023）要求</w:t>
            </w:r>
            <w:r>
              <w:rPr>
                <w:rFonts w:hint="default" w:ascii="Times New Roman" w:hAnsi="Times New Roman" w:eastAsia="宋体" w:cs="Times New Roman"/>
                <w:bCs/>
                <w:color w:val="auto"/>
                <w:kern w:val="2"/>
                <w:sz w:val="24"/>
                <w:szCs w:val="24"/>
                <w:highlight w:val="none"/>
                <w:lang w:val="en-US" w:eastAsia="zh-CN" w:bidi="ar-SA"/>
              </w:rPr>
              <w:t>设置明显的警示标志，标明具体物质名称。</w:t>
            </w:r>
            <w:r>
              <w:rPr>
                <w:rFonts w:hint="eastAsia" w:ascii="Times New Roman" w:hAnsi="Times New Roman" w:eastAsia="宋体" w:cs="Times New Roman"/>
                <w:bCs/>
                <w:color w:val="auto"/>
                <w:kern w:val="2"/>
                <w:sz w:val="24"/>
                <w:szCs w:val="24"/>
                <w:highlight w:val="none"/>
                <w:lang w:val="en-US" w:eastAsia="zh-CN" w:bidi="ar-SA"/>
              </w:rPr>
              <w:t>生产过程</w:t>
            </w:r>
            <w:r>
              <w:rPr>
                <w:rFonts w:hint="default" w:ascii="Times New Roman" w:hAnsi="Times New Roman" w:eastAsia="宋体" w:cs="Times New Roman"/>
                <w:bCs/>
                <w:color w:val="auto"/>
                <w:kern w:val="2"/>
                <w:sz w:val="24"/>
                <w:szCs w:val="24"/>
                <w:highlight w:val="none"/>
                <w:lang w:val="en-US" w:eastAsia="zh-CN" w:bidi="ar-SA"/>
              </w:rPr>
              <w:t>产生的各种危险废物在厂区内的暂存时间不得超过1年，并制定危险废物贮存的台账制度。</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b</w:t>
            </w:r>
            <w:r>
              <w:rPr>
                <w:rFonts w:hint="default" w:ascii="Times New Roman" w:hAnsi="Times New Roman" w:eastAsia="宋体" w:cs="Times New Roman"/>
                <w:bCs/>
                <w:color w:val="auto"/>
                <w:kern w:val="2"/>
                <w:sz w:val="24"/>
                <w:szCs w:val="24"/>
                <w:highlight w:val="none"/>
                <w:lang w:val="en-US" w:eastAsia="zh-CN" w:bidi="ar-SA"/>
              </w:rPr>
              <w:t>贮存场所（设施）</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定期进行日常性检查。本项目</w:t>
            </w:r>
            <w:r>
              <w:rPr>
                <w:rFonts w:hint="eastAsia" w:ascii="Times New Roman" w:hAnsi="Times New Roman" w:eastAsia="宋体" w:cs="Times New Roman"/>
                <w:bCs/>
                <w:color w:val="auto"/>
                <w:kern w:val="2"/>
                <w:sz w:val="24"/>
                <w:szCs w:val="24"/>
                <w:highlight w:val="none"/>
                <w:lang w:val="en-US" w:eastAsia="zh-CN" w:bidi="ar-SA"/>
              </w:rPr>
              <w:t>危废贮存点</w:t>
            </w:r>
            <w:r>
              <w:rPr>
                <w:rFonts w:hint="default" w:ascii="Times New Roman" w:hAnsi="Times New Roman" w:eastAsia="宋体" w:cs="Times New Roman"/>
                <w:bCs/>
                <w:color w:val="auto"/>
                <w:kern w:val="2"/>
                <w:sz w:val="24"/>
                <w:szCs w:val="24"/>
                <w:highlight w:val="none"/>
                <w:lang w:val="en-US" w:eastAsia="zh-CN" w:bidi="ar-SA"/>
              </w:rPr>
              <w:t>采用</w:t>
            </w:r>
            <w:r>
              <w:rPr>
                <w:rFonts w:hint="eastAsia" w:ascii="Times New Roman" w:hAnsi="Times New Roman" w:eastAsia="宋体" w:cs="Times New Roman"/>
                <w:bCs/>
                <w:color w:val="auto"/>
                <w:kern w:val="2"/>
                <w:sz w:val="24"/>
                <w:szCs w:val="24"/>
                <w:highlight w:val="none"/>
                <w:lang w:val="en-US" w:eastAsia="zh-CN" w:bidi="ar-SA"/>
              </w:rPr>
              <w:t>重点</w:t>
            </w:r>
            <w:r>
              <w:rPr>
                <w:rFonts w:hint="default" w:ascii="Times New Roman" w:hAnsi="Times New Roman" w:eastAsia="宋体" w:cs="Times New Roman"/>
                <w:bCs/>
                <w:color w:val="auto"/>
                <w:kern w:val="2"/>
                <w:sz w:val="24"/>
                <w:szCs w:val="24"/>
                <w:highlight w:val="none"/>
                <w:lang w:val="en-US" w:eastAsia="zh-CN" w:bidi="ar-SA"/>
              </w:rPr>
              <w:t>防渗，地面与裙脚采用坚固防渗的材料建造，防风、防晒、防雨；基础</w:t>
            </w:r>
            <w:r>
              <w:rPr>
                <w:rFonts w:hint="eastAsia" w:ascii="Times New Roman" w:hAnsi="Times New Roman" w:eastAsia="宋体" w:cs="Times New Roman"/>
                <w:bCs/>
                <w:color w:val="auto"/>
                <w:kern w:val="2"/>
                <w:sz w:val="24"/>
                <w:szCs w:val="24"/>
                <w:highlight w:val="none"/>
                <w:lang w:val="en-US" w:eastAsia="zh-CN" w:bidi="ar-SA"/>
              </w:rPr>
              <w:t>敷设</w:t>
            </w:r>
            <w:r>
              <w:rPr>
                <w:rFonts w:hint="default" w:ascii="Times New Roman" w:hAnsi="Times New Roman" w:eastAsia="宋体" w:cs="Times New Roman"/>
                <w:bCs/>
                <w:color w:val="auto"/>
                <w:kern w:val="2"/>
                <w:sz w:val="24"/>
                <w:szCs w:val="24"/>
                <w:highlight w:val="none"/>
                <w:lang w:val="en-US" w:eastAsia="zh-CN" w:bidi="ar-SA"/>
              </w:rPr>
              <w:t>至少2mm厚的高密度聚乙烯防水层，上部敷设10cm厚水泥层，渗透系数应≤1×10</w:t>
            </w:r>
            <w:r>
              <w:rPr>
                <w:rFonts w:hint="default" w:ascii="Times New Roman" w:hAnsi="Times New Roman" w:eastAsia="宋体" w:cs="Times New Roman"/>
                <w:bCs/>
                <w:color w:val="auto"/>
                <w:kern w:val="2"/>
                <w:sz w:val="24"/>
                <w:szCs w:val="24"/>
                <w:highlight w:val="none"/>
                <w:vertAlign w:val="superscript"/>
                <w:lang w:val="en-US" w:eastAsia="zh-CN" w:bidi="ar-SA"/>
              </w:rPr>
              <w:t>-10</w:t>
            </w:r>
            <w:r>
              <w:rPr>
                <w:rFonts w:hint="default" w:ascii="Times New Roman" w:hAnsi="Times New Roman" w:eastAsia="宋体" w:cs="Times New Roman"/>
                <w:bCs/>
                <w:color w:val="auto"/>
                <w:kern w:val="2"/>
                <w:sz w:val="24"/>
                <w:szCs w:val="24"/>
                <w:highlight w:val="none"/>
                <w:lang w:val="en-US" w:eastAsia="zh-CN" w:bidi="ar-SA"/>
              </w:rPr>
              <w:t>cm/s，并张贴醒目的标识，并张贴醒目的标识。企业在运行过程中应定期对</w:t>
            </w:r>
            <w:r>
              <w:rPr>
                <w:rFonts w:hint="eastAsia" w:ascii="Times New Roman" w:hAnsi="Times New Roman" w:eastAsia="宋体" w:cs="Times New Roman"/>
                <w:bCs/>
                <w:color w:val="auto"/>
                <w:kern w:val="2"/>
                <w:sz w:val="24"/>
                <w:szCs w:val="24"/>
                <w:highlight w:val="none"/>
                <w:lang w:val="en-US" w:eastAsia="zh-CN" w:bidi="ar-SA"/>
              </w:rPr>
              <w:t>危废贮存点</w:t>
            </w:r>
            <w:r>
              <w:rPr>
                <w:rFonts w:hint="default" w:ascii="Times New Roman" w:hAnsi="Times New Roman" w:eastAsia="宋体" w:cs="Times New Roman"/>
                <w:bCs/>
                <w:color w:val="auto"/>
                <w:kern w:val="2"/>
                <w:sz w:val="24"/>
                <w:szCs w:val="24"/>
                <w:highlight w:val="none"/>
                <w:lang w:val="en-US" w:eastAsia="zh-CN" w:bidi="ar-SA"/>
              </w:rPr>
              <w:t>地面进行检查，一旦发现异常，应立即采取修补措施。本项目贮存场所（设施）严格按照《危险废物贮存污染控制标准》（GB18597-2023）的要求进行，对地下水、土壤造成的影响较小，因此本项目贮存场所（设施）设置合理。</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c</w:t>
            </w:r>
            <w:r>
              <w:rPr>
                <w:rFonts w:hint="default" w:ascii="Times New Roman" w:hAnsi="Times New Roman" w:eastAsia="宋体" w:cs="Times New Roman"/>
                <w:bCs/>
                <w:color w:val="auto"/>
                <w:kern w:val="2"/>
                <w:sz w:val="24"/>
                <w:szCs w:val="24"/>
                <w:highlight w:val="none"/>
                <w:lang w:val="en-US" w:eastAsia="zh-CN" w:bidi="ar-SA"/>
              </w:rPr>
              <w:t>运输过程</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ascii="Times New Roman" w:hAnsi="Times New Roman" w:eastAsia="宋体" w:cs="Times New Roman"/>
                <w:color w:val="auto"/>
                <w:sz w:val="24"/>
                <w:szCs w:val="24"/>
              </w:rPr>
              <w:t>危险废物在转运过程中如遇恶劣天气、驾驶人员操作不当或运输车辆行驶部件、装卸系统、安全附件、储运容器的安全性能不好均会造成危险废物的泄露，对沿线居民和环境质量造成影响。</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d</w:t>
            </w:r>
            <w:r>
              <w:rPr>
                <w:rFonts w:hint="default" w:ascii="Times New Roman" w:hAnsi="Times New Roman" w:eastAsia="宋体" w:cs="Times New Roman"/>
                <w:bCs/>
                <w:color w:val="auto"/>
                <w:kern w:val="2"/>
                <w:sz w:val="24"/>
                <w:szCs w:val="24"/>
                <w:highlight w:val="none"/>
                <w:lang w:val="en-US" w:eastAsia="zh-CN" w:bidi="ar-SA"/>
              </w:rPr>
              <w:t>委托利用或者处置方式</w:t>
            </w:r>
          </w:p>
          <w:p>
            <w:pPr>
              <w:widowControl/>
              <w:spacing w:line="360" w:lineRule="auto"/>
              <w:ind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建设单位在运行投产前，应委托有危险废物处置资质的单位并签订委托协议。</w:t>
            </w:r>
          </w:p>
          <w:p>
            <w:pPr>
              <w:spacing w:line="360" w:lineRule="auto"/>
              <w:ind w:firstLine="480" w:firstLineChars="200"/>
              <w:rPr>
                <w:color w:val="auto"/>
                <w:sz w:val="24"/>
              </w:rPr>
            </w:pPr>
            <w:r>
              <w:rPr>
                <w:snapToGrid w:val="0"/>
                <w:color w:val="auto"/>
                <w:kern w:val="0"/>
                <w:sz w:val="24"/>
              </w:rPr>
              <w:t>采取上述措施后，运营期产生的固体废物均可得到有效处理处置，不会对周边环境产生危害性影响。</w:t>
            </w:r>
          </w:p>
          <w:p>
            <w:pPr>
              <w:spacing w:line="360" w:lineRule="auto"/>
              <w:ind w:firstLine="480" w:firstLineChars="200"/>
              <w:contextualSpacing/>
              <w:rPr>
                <w:b/>
                <w:bCs/>
                <w:color w:val="auto"/>
                <w:sz w:val="24"/>
              </w:rPr>
            </w:pPr>
            <w:r>
              <w:rPr>
                <w:rFonts w:hint="eastAsia"/>
                <w:b/>
                <w:bCs/>
                <w:color w:val="auto"/>
                <w:sz w:val="24"/>
              </w:rPr>
              <w:t>（五）地下水、土壤</w:t>
            </w:r>
          </w:p>
          <w:p>
            <w:pPr>
              <w:spacing w:line="500" w:lineRule="exact"/>
              <w:ind w:firstLine="480" w:firstLineChars="200"/>
              <w:jc w:val="left"/>
              <w:rPr>
                <w:color w:val="auto"/>
                <w:kern w:val="0"/>
                <w:sz w:val="24"/>
              </w:rPr>
            </w:pPr>
            <w:r>
              <w:rPr>
                <w:rFonts w:hint="eastAsia"/>
                <w:color w:val="auto"/>
                <w:kern w:val="0"/>
                <w:sz w:val="24"/>
              </w:rPr>
              <w:t xml:space="preserve">本项目主要污染物为粉尘、苯并[a]芘等，最终通过自降和降水淋溶等途径进入土壤及地下水环境。而粉尘进入土壤将从物理、化学和物理化学等方面影响周围土壤的孔隙度、团粒结构、酸碱度、土壤肥力及微量元素含量等，必须坚持预防为主，防治结合的原则。 </w:t>
            </w:r>
          </w:p>
          <w:p>
            <w:pPr>
              <w:spacing w:line="500" w:lineRule="exact"/>
              <w:ind w:firstLine="480" w:firstLineChars="200"/>
              <w:jc w:val="left"/>
              <w:rPr>
                <w:color w:val="auto"/>
                <w:kern w:val="0"/>
                <w:sz w:val="24"/>
              </w:rPr>
            </w:pPr>
            <w:r>
              <w:rPr>
                <w:rFonts w:hint="eastAsia"/>
                <w:color w:val="auto"/>
                <w:kern w:val="0"/>
                <w:sz w:val="24"/>
              </w:rPr>
              <w:t>（1）源头控制</w:t>
            </w:r>
          </w:p>
          <w:p>
            <w:pPr>
              <w:spacing w:line="500" w:lineRule="exact"/>
              <w:ind w:firstLine="480" w:firstLineChars="200"/>
              <w:jc w:val="left"/>
              <w:rPr>
                <w:color w:val="auto"/>
                <w:kern w:val="0"/>
                <w:sz w:val="24"/>
              </w:rPr>
            </w:pPr>
            <w:r>
              <w:rPr>
                <w:rFonts w:hint="eastAsia"/>
                <w:color w:val="auto"/>
                <w:kern w:val="0"/>
                <w:sz w:val="24"/>
              </w:rPr>
              <w:t xml:space="preserve">通过先进生产工艺降低粉尘、苯并[a]芘排放，设置相应布袋除尘器、活性炭吸附装置等处理措施，废气达标排放，降低直接外排量。 </w:t>
            </w:r>
          </w:p>
          <w:p>
            <w:pPr>
              <w:spacing w:line="500" w:lineRule="exact"/>
              <w:ind w:firstLine="480" w:firstLineChars="200"/>
              <w:jc w:val="left"/>
              <w:rPr>
                <w:color w:val="auto"/>
                <w:kern w:val="0"/>
                <w:sz w:val="24"/>
              </w:rPr>
            </w:pPr>
            <w:r>
              <w:rPr>
                <w:rFonts w:hint="eastAsia"/>
                <w:color w:val="auto"/>
                <w:kern w:val="0"/>
                <w:sz w:val="24"/>
              </w:rPr>
              <w:t>（2）过程防控</w:t>
            </w:r>
          </w:p>
          <w:p>
            <w:pPr>
              <w:spacing w:line="500" w:lineRule="exact"/>
              <w:ind w:firstLine="480" w:firstLineChars="200"/>
              <w:jc w:val="left"/>
              <w:rPr>
                <w:color w:val="auto"/>
                <w:kern w:val="0"/>
                <w:sz w:val="24"/>
              </w:rPr>
            </w:pPr>
            <w:r>
              <w:rPr>
                <w:rFonts w:hint="eastAsia"/>
                <w:color w:val="auto"/>
                <w:kern w:val="0"/>
                <w:sz w:val="24"/>
              </w:rPr>
              <w:t xml:space="preserve">根据工艺设置情况，生产工艺区进行厂区硬化， 阻断粉尘、直接降落对土壤及地下水的影响。项目厂区范围内采取绿化措施， 种植具有较强吸附能力的植物，降低粉尘、苯并芘等对土壤的影响。 </w:t>
            </w:r>
          </w:p>
          <w:p>
            <w:pPr>
              <w:spacing w:line="500" w:lineRule="exact"/>
              <w:ind w:firstLine="480" w:firstLineChars="200"/>
              <w:jc w:val="left"/>
              <w:rPr>
                <w:color w:val="auto"/>
                <w:kern w:val="0"/>
                <w:sz w:val="24"/>
              </w:rPr>
            </w:pPr>
            <w:r>
              <w:rPr>
                <w:rFonts w:hint="eastAsia"/>
                <w:color w:val="auto"/>
                <w:kern w:val="0"/>
                <w:sz w:val="24"/>
              </w:rPr>
              <w:t>（3）防渗工程</w:t>
            </w:r>
          </w:p>
          <w:p>
            <w:pPr>
              <w:spacing w:line="500" w:lineRule="exact"/>
              <w:ind w:firstLine="480" w:firstLineChars="200"/>
              <w:jc w:val="left"/>
              <w:rPr>
                <w:color w:val="auto"/>
                <w:kern w:val="0"/>
                <w:sz w:val="24"/>
              </w:rPr>
            </w:pPr>
            <w:r>
              <w:rPr>
                <w:rFonts w:hint="eastAsia"/>
                <w:color w:val="auto"/>
                <w:kern w:val="0"/>
                <w:sz w:val="24"/>
              </w:rPr>
              <w:t>根据各厂区可能泄漏至地面区域污染物的性质和生产单元的构筑方式，以及潜在的地下水污染源分类分析，将厂区划分为简单防渗区和重点防渗区。本项目的简单防渗区为厂房内其他地面及地上建构筑物。本项目的重点防渗区为设备区(主要为</w:t>
            </w:r>
            <w:r>
              <w:rPr>
                <w:rFonts w:hint="eastAsia"/>
                <w:color w:val="auto"/>
                <w:kern w:val="0"/>
                <w:sz w:val="24"/>
                <w:lang w:val="en-US" w:eastAsia="zh-CN"/>
              </w:rPr>
              <w:t>沥青</w:t>
            </w:r>
            <w:r>
              <w:rPr>
                <w:rFonts w:hint="eastAsia"/>
                <w:color w:val="auto"/>
                <w:kern w:val="0"/>
                <w:sz w:val="24"/>
              </w:rPr>
              <w:t>储罐区及导热油炉)及危废</w:t>
            </w:r>
            <w:r>
              <w:rPr>
                <w:rFonts w:hint="eastAsia"/>
                <w:color w:val="auto"/>
                <w:kern w:val="0"/>
                <w:sz w:val="24"/>
                <w:lang w:val="en-US" w:eastAsia="zh-CN"/>
              </w:rPr>
              <w:t>贮存点</w:t>
            </w:r>
            <w:r>
              <w:rPr>
                <w:rFonts w:hint="eastAsia"/>
                <w:color w:val="auto"/>
                <w:kern w:val="0"/>
                <w:sz w:val="24"/>
              </w:rPr>
              <w:t>。基础必须防渗，防渗层至少1m厚黏土层(渗透系数≤10</w:t>
            </w:r>
            <w:r>
              <w:rPr>
                <w:rFonts w:hint="eastAsia"/>
                <w:color w:val="auto"/>
                <w:kern w:val="0"/>
                <w:sz w:val="24"/>
                <w:vertAlign w:val="superscript"/>
              </w:rPr>
              <w:t>-7</w:t>
            </w:r>
            <w:r>
              <w:rPr>
                <w:rFonts w:hint="eastAsia"/>
                <w:color w:val="auto"/>
                <w:kern w:val="0"/>
                <w:sz w:val="24"/>
              </w:rPr>
              <w:t>cm/s)，渗透系数≤10</w:t>
            </w:r>
            <w:r>
              <w:rPr>
                <w:rFonts w:hint="eastAsia"/>
                <w:color w:val="auto"/>
                <w:kern w:val="0"/>
                <w:sz w:val="24"/>
                <w:vertAlign w:val="superscript"/>
              </w:rPr>
              <w:t>-10</w:t>
            </w:r>
            <w:r>
              <w:rPr>
                <w:rFonts w:hint="eastAsia"/>
                <w:color w:val="auto"/>
                <w:kern w:val="0"/>
                <w:sz w:val="24"/>
              </w:rPr>
              <w:t>cm/s。</w:t>
            </w:r>
          </w:p>
          <w:p>
            <w:pPr>
              <w:spacing w:line="500" w:lineRule="exact"/>
              <w:ind w:firstLine="480" w:firstLineChars="200"/>
              <w:jc w:val="left"/>
              <w:rPr>
                <w:color w:val="auto"/>
                <w:kern w:val="0"/>
                <w:sz w:val="24"/>
              </w:rPr>
            </w:pPr>
            <w:r>
              <w:rPr>
                <w:rFonts w:hint="eastAsia"/>
                <w:color w:val="auto"/>
                <w:kern w:val="0"/>
                <w:sz w:val="24"/>
              </w:rPr>
              <w:t>（4）跟踪监测要求</w:t>
            </w:r>
          </w:p>
          <w:p>
            <w:pPr>
              <w:spacing w:line="500" w:lineRule="exact"/>
              <w:ind w:firstLine="480" w:firstLineChars="200"/>
              <w:jc w:val="left"/>
              <w:rPr>
                <w:color w:val="auto"/>
                <w:kern w:val="0"/>
                <w:sz w:val="24"/>
              </w:rPr>
            </w:pPr>
            <w:r>
              <w:rPr>
                <w:rFonts w:hint="eastAsia"/>
                <w:color w:val="auto"/>
                <w:kern w:val="0"/>
                <w:sz w:val="24"/>
              </w:rPr>
              <w:t xml:space="preserve">参照 《环境影响评价技术导则  地下水环境》(HJ610-2016)，本项目为地下水环境影响评价项目类别为Ⅳ类，Ⅳ类项目无地下水环境跟踪监测要求；参照《环境影响评价技术导则-土壤环境(试行)》(HJ964-2018)，本项目需在必要时展开跟踪监测，每5年进行一次跟踪监测，主要监测因子为石油烃及苯并[a]芘。 </w:t>
            </w:r>
          </w:p>
          <w:p>
            <w:pPr>
              <w:spacing w:line="360" w:lineRule="auto"/>
              <w:ind w:firstLine="480" w:firstLineChars="200"/>
              <w:contextualSpacing/>
              <w:rPr>
                <w:b/>
                <w:bCs/>
                <w:color w:val="auto"/>
                <w:sz w:val="24"/>
              </w:rPr>
            </w:pPr>
            <w:r>
              <w:rPr>
                <w:rFonts w:hint="eastAsia"/>
                <w:b/>
                <w:bCs/>
                <w:color w:val="auto"/>
                <w:sz w:val="24"/>
              </w:rPr>
              <w:t>（七）环境风险</w:t>
            </w:r>
          </w:p>
          <w:p>
            <w:pPr>
              <w:spacing w:line="360" w:lineRule="auto"/>
              <w:ind w:firstLine="480" w:firstLineChars="200"/>
              <w:contextualSpacing/>
              <w:jc w:val="left"/>
              <w:rPr>
                <w:color w:val="auto"/>
                <w:kern w:val="0"/>
                <w:sz w:val="24"/>
              </w:rPr>
            </w:pPr>
            <w:r>
              <w:rPr>
                <w:rFonts w:hint="eastAsia"/>
                <w:color w:val="auto"/>
                <w:kern w:val="0"/>
                <w:sz w:val="24"/>
              </w:rPr>
              <w:t>1、风险调查及风险潜势初判</w:t>
            </w:r>
          </w:p>
          <w:p>
            <w:pPr>
              <w:spacing w:line="360" w:lineRule="auto"/>
              <w:ind w:firstLine="480" w:firstLineChars="200"/>
              <w:contextualSpacing/>
              <w:jc w:val="left"/>
              <w:rPr>
                <w:color w:val="auto"/>
                <w:kern w:val="0"/>
                <w:sz w:val="24"/>
              </w:rPr>
            </w:pPr>
            <w:r>
              <w:rPr>
                <w:rStyle w:val="201"/>
                <w:rFonts w:hint="default" w:ascii="Times New Roman" w:hAnsi="Times New Roman" w:eastAsiaTheme="minorEastAsia"/>
                <w:color w:val="auto"/>
              </w:rPr>
              <w:t>根据《建设项目环境风险评价技术导则》（</w:t>
            </w:r>
            <w:r>
              <w:rPr>
                <w:rStyle w:val="192"/>
                <w:rFonts w:ascii="Times New Roman" w:hAnsi="Times New Roman" w:eastAsiaTheme="minorEastAsia"/>
                <w:color w:val="auto"/>
              </w:rPr>
              <w:t>HJ/T169-2018</w:t>
            </w:r>
            <w:r>
              <w:rPr>
                <w:rStyle w:val="201"/>
                <w:rFonts w:hint="default" w:ascii="Times New Roman" w:hAnsi="Times New Roman" w:eastAsiaTheme="minorEastAsia"/>
                <w:color w:val="auto"/>
              </w:rPr>
              <w:t xml:space="preserve">）附录中附录 </w:t>
            </w:r>
            <w:r>
              <w:rPr>
                <w:rStyle w:val="192"/>
                <w:rFonts w:ascii="Times New Roman" w:hAnsi="Times New Roman" w:eastAsiaTheme="minorEastAsia"/>
                <w:color w:val="auto"/>
              </w:rPr>
              <w:t xml:space="preserve">B </w:t>
            </w:r>
            <w:r>
              <w:rPr>
                <w:rStyle w:val="201"/>
                <w:rFonts w:hint="default" w:ascii="Times New Roman" w:hAnsi="Times New Roman" w:eastAsiaTheme="minorEastAsia"/>
                <w:color w:val="auto"/>
              </w:rPr>
              <w:t>及《危险化学品重大危险源辨识》（</w:t>
            </w:r>
            <w:r>
              <w:rPr>
                <w:rStyle w:val="192"/>
                <w:rFonts w:ascii="Times New Roman" w:hAnsi="Times New Roman" w:eastAsiaTheme="minorEastAsia"/>
                <w:color w:val="auto"/>
              </w:rPr>
              <w:t>GB18218-2018</w:t>
            </w:r>
            <w:r>
              <w:rPr>
                <w:rStyle w:val="201"/>
                <w:rFonts w:hint="default" w:ascii="Times New Roman" w:hAnsi="Times New Roman" w:eastAsiaTheme="minorEastAsia"/>
                <w:color w:val="auto"/>
              </w:rPr>
              <w:t>），本项目主要风险物质为废导热油、</w:t>
            </w:r>
            <w:r>
              <w:rPr>
                <w:rStyle w:val="192"/>
                <w:rFonts w:hint="eastAsia" w:eastAsiaTheme="minorEastAsia"/>
                <w:color w:val="auto"/>
                <w:lang w:val="en-US" w:eastAsia="zh-CN"/>
              </w:rPr>
              <w:t>隔油池</w:t>
            </w:r>
            <w:r>
              <w:rPr>
                <w:rStyle w:val="192"/>
                <w:rFonts w:ascii="Times New Roman" w:hAnsi="Times New Roman" w:eastAsiaTheme="minorEastAsia"/>
                <w:color w:val="auto"/>
              </w:rPr>
              <w:t>油污</w:t>
            </w:r>
            <w:r>
              <w:rPr>
                <w:rStyle w:val="201"/>
                <w:rFonts w:hint="default" w:ascii="Times New Roman" w:hAnsi="Times New Roman" w:eastAsiaTheme="minorEastAsia"/>
                <w:color w:val="auto"/>
              </w:rPr>
              <w:t>，导热油</w:t>
            </w:r>
            <w:r>
              <w:rPr>
                <w:rFonts w:eastAsiaTheme="minorEastAsia"/>
                <w:color w:val="auto"/>
                <w:sz w:val="24"/>
              </w:rPr>
              <w:t>位于密封</w:t>
            </w:r>
            <w:r>
              <w:rPr>
                <w:rStyle w:val="192"/>
                <w:rFonts w:ascii="Times New Roman" w:hAnsi="Times New Roman" w:eastAsiaTheme="minorEastAsia"/>
                <w:color w:val="auto"/>
              </w:rPr>
              <w:t>管道内，总量</w:t>
            </w:r>
            <w:r>
              <w:rPr>
                <w:rStyle w:val="192"/>
                <w:rFonts w:hint="eastAsia" w:ascii="Times New Roman" w:hAnsi="Times New Roman" w:eastAsiaTheme="minorEastAsia"/>
                <w:color w:val="auto"/>
              </w:rPr>
              <w:t>3</w:t>
            </w:r>
            <w:r>
              <w:rPr>
                <w:rStyle w:val="192"/>
                <w:rFonts w:ascii="Times New Roman" w:hAnsi="Times New Roman" w:eastAsiaTheme="minorEastAsia"/>
                <w:color w:val="auto"/>
              </w:rPr>
              <w:t>t，</w:t>
            </w:r>
            <w:r>
              <w:rPr>
                <w:rStyle w:val="192"/>
                <w:rFonts w:hint="eastAsia" w:eastAsiaTheme="minorEastAsia"/>
                <w:color w:val="auto"/>
                <w:lang w:val="en-US" w:eastAsia="zh-CN"/>
              </w:rPr>
              <w:t>柴油储罐容积40t</w:t>
            </w:r>
            <w:r>
              <w:rPr>
                <w:rStyle w:val="192"/>
                <w:rFonts w:ascii="Times New Roman" w:hAnsi="Times New Roman" w:eastAsiaTheme="minorEastAsia"/>
                <w:color w:val="auto"/>
              </w:rPr>
              <w:t>，</w:t>
            </w:r>
            <w:r>
              <w:rPr>
                <w:rStyle w:val="192"/>
                <w:rFonts w:hint="eastAsia" w:eastAsiaTheme="minorEastAsia"/>
                <w:color w:val="auto"/>
                <w:lang w:val="en-US" w:eastAsia="zh-CN"/>
              </w:rPr>
              <w:t>沥青储</w:t>
            </w:r>
            <w:r>
              <w:rPr>
                <w:rStyle w:val="192"/>
                <w:rFonts w:hint="eastAsia" w:ascii="Times New Roman" w:hAnsi="Times New Roman" w:cs="Times New Roman" w:eastAsiaTheme="minorEastAsia"/>
                <w:color w:val="auto"/>
                <w:lang w:val="en-US" w:eastAsia="zh-CN"/>
              </w:rPr>
              <w:t>罐容积为</w:t>
            </w:r>
            <w:r>
              <w:rPr>
                <w:rStyle w:val="192"/>
                <w:rFonts w:hint="eastAsia" w:cs="Times New Roman" w:eastAsiaTheme="minorEastAsia"/>
                <w:color w:val="auto"/>
                <w:lang w:val="en-US" w:eastAsia="zh-CN"/>
              </w:rPr>
              <w:t>2175t，储存量按80%计</w:t>
            </w:r>
            <w:r>
              <w:rPr>
                <w:rStyle w:val="192"/>
                <w:rFonts w:hint="eastAsia" w:ascii="Times New Roman" w:hAnsi="Times New Roman" w:cs="Times New Roman" w:eastAsiaTheme="minorEastAsia"/>
                <w:color w:val="auto"/>
              </w:rPr>
              <w:t>。</w:t>
            </w:r>
            <w:r>
              <w:rPr>
                <w:rStyle w:val="192"/>
                <w:rFonts w:ascii="Times New Roman" w:hAnsi="Times New Roman" w:eastAsiaTheme="minorEastAsia"/>
                <w:color w:val="auto"/>
              </w:rPr>
              <w:t>详情见下表</w:t>
            </w:r>
            <w:r>
              <w:rPr>
                <w:rFonts w:hint="eastAsia" w:eastAsiaTheme="minorEastAsia"/>
                <w:color w:val="auto"/>
                <w:kern w:val="0"/>
                <w:sz w:val="24"/>
                <w:lang w:eastAsia="zh-CN"/>
              </w:rPr>
              <w:t>。</w:t>
            </w:r>
            <w:r>
              <w:rPr>
                <w:rFonts w:hint="eastAsia"/>
                <w:color w:val="auto"/>
                <w:kern w:val="0"/>
                <w:sz w:val="24"/>
              </w:rPr>
              <w:t>故本项目危险物质数量与临界量比值(Q )为Q=</w:t>
            </w:r>
            <w:r>
              <w:rPr>
                <w:rFonts w:hint="eastAsia" w:eastAsiaTheme="minorEastAsia"/>
                <w:color w:val="auto"/>
                <w:sz w:val="24"/>
                <w:szCs w:val="24"/>
                <w:lang w:val="en-US" w:eastAsia="zh-CN"/>
              </w:rPr>
              <w:t>0.710</w:t>
            </w:r>
            <w:r>
              <w:rPr>
                <w:rFonts w:hint="eastAsia"/>
                <w:color w:val="auto"/>
                <w:kern w:val="0"/>
                <w:sz w:val="24"/>
              </w:rPr>
              <w:t>(&lt;1.0)，本项目风险潜式为Ⅰ。</w:t>
            </w:r>
          </w:p>
          <w:p>
            <w:pPr>
              <w:ind w:left="105" w:leftChars="50" w:right="105" w:rightChars="50" w:firstLine="496" w:firstLineChars="207"/>
              <w:jc w:val="center"/>
              <w:rPr>
                <w:rFonts w:eastAsiaTheme="minorEastAsia"/>
                <w:b/>
                <w:bCs/>
                <w:color w:val="auto"/>
                <w:sz w:val="24"/>
              </w:rPr>
            </w:pPr>
            <w:r>
              <w:rPr>
                <w:rFonts w:eastAsiaTheme="minorEastAsia"/>
                <w:b/>
                <w:bCs/>
                <w:color w:val="auto"/>
                <w:sz w:val="24"/>
              </w:rPr>
              <w:t>表</w:t>
            </w:r>
            <w:r>
              <w:rPr>
                <w:rFonts w:hint="eastAsia" w:eastAsiaTheme="minorEastAsia"/>
                <w:b/>
                <w:bCs/>
                <w:color w:val="auto"/>
                <w:sz w:val="24"/>
              </w:rPr>
              <w:t>4-</w:t>
            </w:r>
            <w:r>
              <w:rPr>
                <w:rFonts w:hint="eastAsia" w:eastAsiaTheme="minorEastAsia"/>
                <w:b/>
                <w:bCs/>
                <w:color w:val="auto"/>
                <w:sz w:val="24"/>
                <w:lang w:val="en-US" w:eastAsia="zh-CN"/>
              </w:rPr>
              <w:t>12</w:t>
            </w:r>
            <w:r>
              <w:rPr>
                <w:rFonts w:eastAsiaTheme="minorEastAsia"/>
                <w:b/>
                <w:bCs/>
                <w:color w:val="auto"/>
                <w:sz w:val="24"/>
              </w:rPr>
              <w:t xml:space="preserve"> 建设项目Q值确定表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203"/>
              <w:gridCol w:w="1145"/>
              <w:gridCol w:w="1801"/>
              <w:gridCol w:w="1323"/>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6" w:type="pct"/>
                  <w:vAlign w:val="center"/>
                </w:tcPr>
                <w:p>
                  <w:pPr>
                    <w:jc w:val="center"/>
                    <w:rPr>
                      <w:rFonts w:eastAsiaTheme="minorEastAsia"/>
                      <w:bCs/>
                      <w:color w:val="auto"/>
                      <w:szCs w:val="21"/>
                    </w:rPr>
                  </w:pPr>
                  <w:r>
                    <w:rPr>
                      <w:rFonts w:eastAsiaTheme="minorEastAsia"/>
                      <w:bCs/>
                      <w:color w:val="auto"/>
                      <w:szCs w:val="21"/>
                    </w:rPr>
                    <w:t>序号</w:t>
                  </w:r>
                </w:p>
              </w:tc>
              <w:tc>
                <w:tcPr>
                  <w:tcW w:w="1249" w:type="pct"/>
                  <w:vAlign w:val="center"/>
                </w:tcPr>
                <w:p>
                  <w:pPr>
                    <w:jc w:val="center"/>
                    <w:rPr>
                      <w:rFonts w:eastAsiaTheme="minorEastAsia"/>
                      <w:bCs/>
                      <w:color w:val="auto"/>
                      <w:szCs w:val="21"/>
                    </w:rPr>
                  </w:pPr>
                  <w:r>
                    <w:rPr>
                      <w:rFonts w:eastAsiaTheme="minorEastAsia"/>
                      <w:bCs/>
                      <w:color w:val="auto"/>
                      <w:szCs w:val="21"/>
                    </w:rPr>
                    <w:t>物质名称</w:t>
                  </w:r>
                </w:p>
              </w:tc>
              <w:tc>
                <w:tcPr>
                  <w:tcW w:w="649" w:type="pct"/>
                  <w:vAlign w:val="center"/>
                </w:tcPr>
                <w:p>
                  <w:pPr>
                    <w:jc w:val="center"/>
                    <w:rPr>
                      <w:rFonts w:eastAsiaTheme="minorEastAsia"/>
                      <w:bCs/>
                      <w:color w:val="auto"/>
                      <w:szCs w:val="21"/>
                    </w:rPr>
                  </w:pPr>
                  <w:r>
                    <w:rPr>
                      <w:rFonts w:eastAsiaTheme="minorEastAsia"/>
                      <w:bCs/>
                      <w:color w:val="auto"/>
                      <w:szCs w:val="21"/>
                    </w:rPr>
                    <w:t>CAS号</w:t>
                  </w:r>
                </w:p>
              </w:tc>
              <w:tc>
                <w:tcPr>
                  <w:tcW w:w="1021" w:type="pct"/>
                  <w:vAlign w:val="center"/>
                </w:tcPr>
                <w:p>
                  <w:pPr>
                    <w:jc w:val="center"/>
                    <w:rPr>
                      <w:rFonts w:eastAsiaTheme="minorEastAsia"/>
                      <w:bCs/>
                      <w:color w:val="auto"/>
                      <w:szCs w:val="21"/>
                    </w:rPr>
                  </w:pPr>
                  <w:r>
                    <w:rPr>
                      <w:rFonts w:eastAsiaTheme="minorEastAsia"/>
                      <w:bCs/>
                      <w:color w:val="auto"/>
                      <w:szCs w:val="21"/>
                    </w:rPr>
                    <w:t>最大存在量（t）</w:t>
                  </w:r>
                </w:p>
              </w:tc>
              <w:tc>
                <w:tcPr>
                  <w:tcW w:w="749" w:type="pct"/>
                  <w:vAlign w:val="center"/>
                </w:tcPr>
                <w:p>
                  <w:pPr>
                    <w:jc w:val="center"/>
                    <w:rPr>
                      <w:rFonts w:eastAsiaTheme="minorEastAsia"/>
                      <w:bCs/>
                      <w:color w:val="auto"/>
                      <w:szCs w:val="21"/>
                    </w:rPr>
                  </w:pPr>
                  <w:r>
                    <w:rPr>
                      <w:rFonts w:eastAsiaTheme="minorEastAsia"/>
                      <w:bCs/>
                      <w:color w:val="auto"/>
                      <w:szCs w:val="21"/>
                    </w:rPr>
                    <w:t>临界量（t）</w:t>
                  </w:r>
                </w:p>
              </w:tc>
              <w:tc>
                <w:tcPr>
                  <w:tcW w:w="914" w:type="pct"/>
                  <w:vAlign w:val="center"/>
                </w:tcPr>
                <w:p>
                  <w:pPr>
                    <w:jc w:val="center"/>
                    <w:rPr>
                      <w:rFonts w:eastAsiaTheme="minorEastAsia"/>
                      <w:bCs/>
                      <w:color w:val="auto"/>
                      <w:szCs w:val="21"/>
                    </w:rPr>
                  </w:pPr>
                  <w:r>
                    <w:rPr>
                      <w:rFonts w:eastAsiaTheme="minorEastAsia"/>
                      <w:bCs/>
                      <w:color w:val="auto"/>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6" w:type="pct"/>
                  <w:vAlign w:val="center"/>
                </w:tcPr>
                <w:p>
                  <w:pPr>
                    <w:jc w:val="center"/>
                    <w:rPr>
                      <w:rFonts w:eastAsiaTheme="minorEastAsia"/>
                      <w:color w:val="auto"/>
                      <w:szCs w:val="21"/>
                    </w:rPr>
                  </w:pPr>
                  <w:r>
                    <w:rPr>
                      <w:rFonts w:eastAsiaTheme="minorEastAsia"/>
                      <w:color w:val="auto"/>
                      <w:szCs w:val="21"/>
                    </w:rPr>
                    <w:t>1</w:t>
                  </w:r>
                </w:p>
              </w:tc>
              <w:tc>
                <w:tcPr>
                  <w:tcW w:w="1249" w:type="pct"/>
                  <w:vAlign w:val="center"/>
                </w:tcPr>
                <w:p>
                  <w:pPr>
                    <w:jc w:val="center"/>
                    <w:rPr>
                      <w:rFonts w:eastAsiaTheme="minorEastAsia"/>
                      <w:color w:val="auto"/>
                      <w:szCs w:val="21"/>
                    </w:rPr>
                  </w:pPr>
                  <w:r>
                    <w:rPr>
                      <w:rFonts w:eastAsiaTheme="minorEastAsia"/>
                      <w:color w:val="auto"/>
                      <w:szCs w:val="21"/>
                    </w:rPr>
                    <w:t>导热油</w:t>
                  </w:r>
                </w:p>
              </w:tc>
              <w:tc>
                <w:tcPr>
                  <w:tcW w:w="649" w:type="pct"/>
                  <w:vAlign w:val="center"/>
                </w:tcPr>
                <w:p>
                  <w:pPr>
                    <w:jc w:val="center"/>
                    <w:rPr>
                      <w:rFonts w:eastAsiaTheme="minorEastAsia"/>
                      <w:color w:val="auto"/>
                      <w:szCs w:val="21"/>
                    </w:rPr>
                  </w:pPr>
                  <w:r>
                    <w:rPr>
                      <w:rFonts w:eastAsiaTheme="minorEastAsia"/>
                      <w:color w:val="auto"/>
                      <w:szCs w:val="21"/>
                    </w:rPr>
                    <w:t>--</w:t>
                  </w:r>
                </w:p>
              </w:tc>
              <w:tc>
                <w:tcPr>
                  <w:tcW w:w="1021" w:type="pct"/>
                  <w:vAlign w:val="center"/>
                </w:tcPr>
                <w:p>
                  <w:pPr>
                    <w:jc w:val="center"/>
                    <w:rPr>
                      <w:rFonts w:eastAsiaTheme="minorEastAsia"/>
                      <w:color w:val="auto"/>
                      <w:szCs w:val="21"/>
                    </w:rPr>
                  </w:pPr>
                  <w:r>
                    <w:rPr>
                      <w:rFonts w:hint="eastAsia" w:eastAsiaTheme="minorEastAsia"/>
                      <w:color w:val="auto"/>
                      <w:szCs w:val="21"/>
                    </w:rPr>
                    <w:t>3</w:t>
                  </w:r>
                </w:p>
              </w:tc>
              <w:tc>
                <w:tcPr>
                  <w:tcW w:w="749" w:type="pct"/>
                  <w:vAlign w:val="center"/>
                </w:tcPr>
                <w:p>
                  <w:pPr>
                    <w:jc w:val="center"/>
                    <w:rPr>
                      <w:rFonts w:eastAsiaTheme="minorEastAsia"/>
                      <w:color w:val="auto"/>
                      <w:szCs w:val="21"/>
                    </w:rPr>
                  </w:pPr>
                  <w:r>
                    <w:rPr>
                      <w:rFonts w:eastAsiaTheme="minorEastAsia"/>
                      <w:color w:val="auto"/>
                      <w:szCs w:val="21"/>
                    </w:rPr>
                    <w:t>2500</w:t>
                  </w:r>
                </w:p>
              </w:tc>
              <w:tc>
                <w:tcPr>
                  <w:tcW w:w="914" w:type="pct"/>
                  <w:vAlign w:val="center"/>
                </w:tcPr>
                <w:p>
                  <w:pPr>
                    <w:jc w:val="center"/>
                    <w:rPr>
                      <w:rFonts w:eastAsiaTheme="minorEastAsia"/>
                      <w:color w:val="auto"/>
                      <w:szCs w:val="21"/>
                    </w:rPr>
                  </w:pPr>
                  <w:r>
                    <w:rPr>
                      <w:rFonts w:hint="eastAsia" w:eastAsiaTheme="minorEastAsia"/>
                      <w:color w:val="auto"/>
                      <w:szCs w:val="21"/>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6" w:type="pct"/>
                  <w:vAlign w:val="center"/>
                </w:tcPr>
                <w:p>
                  <w:pPr>
                    <w:jc w:val="center"/>
                    <w:rPr>
                      <w:rFonts w:eastAsiaTheme="minorEastAsia"/>
                      <w:color w:val="auto"/>
                      <w:szCs w:val="21"/>
                    </w:rPr>
                  </w:pPr>
                  <w:r>
                    <w:rPr>
                      <w:rFonts w:eastAsiaTheme="minorEastAsia"/>
                      <w:color w:val="auto"/>
                      <w:szCs w:val="21"/>
                    </w:rPr>
                    <w:t>2</w:t>
                  </w:r>
                </w:p>
              </w:tc>
              <w:tc>
                <w:tcPr>
                  <w:tcW w:w="1249" w:type="pct"/>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柴油</w:t>
                  </w:r>
                </w:p>
              </w:tc>
              <w:tc>
                <w:tcPr>
                  <w:tcW w:w="649" w:type="pct"/>
                  <w:vAlign w:val="center"/>
                </w:tcPr>
                <w:p>
                  <w:pPr>
                    <w:jc w:val="center"/>
                    <w:rPr>
                      <w:rFonts w:eastAsiaTheme="minorEastAsia"/>
                      <w:color w:val="auto"/>
                      <w:szCs w:val="21"/>
                    </w:rPr>
                  </w:pPr>
                  <w:r>
                    <w:rPr>
                      <w:rFonts w:eastAsiaTheme="minorEastAsia"/>
                      <w:color w:val="auto"/>
                      <w:szCs w:val="21"/>
                    </w:rPr>
                    <w:t>--</w:t>
                  </w:r>
                </w:p>
              </w:tc>
              <w:tc>
                <w:tcPr>
                  <w:tcW w:w="1021" w:type="pct"/>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32</w:t>
                  </w:r>
                </w:p>
              </w:tc>
              <w:tc>
                <w:tcPr>
                  <w:tcW w:w="749" w:type="pct"/>
                  <w:vAlign w:val="center"/>
                </w:tcPr>
                <w:p>
                  <w:pPr>
                    <w:jc w:val="center"/>
                    <w:rPr>
                      <w:rFonts w:eastAsiaTheme="minorEastAsia"/>
                      <w:color w:val="auto"/>
                      <w:szCs w:val="21"/>
                    </w:rPr>
                  </w:pPr>
                  <w:r>
                    <w:rPr>
                      <w:rFonts w:hint="eastAsia" w:eastAsiaTheme="minorEastAsia"/>
                      <w:color w:val="auto"/>
                      <w:szCs w:val="21"/>
                    </w:rPr>
                    <w:t>2500</w:t>
                  </w:r>
                </w:p>
              </w:tc>
              <w:tc>
                <w:tcPr>
                  <w:tcW w:w="914" w:type="pct"/>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6" w:type="pct"/>
                  <w:vAlign w:val="center"/>
                </w:tcPr>
                <w:p>
                  <w:pPr>
                    <w:jc w:val="center"/>
                    <w:rPr>
                      <w:rFonts w:eastAsiaTheme="minorEastAsia"/>
                      <w:color w:val="auto"/>
                      <w:szCs w:val="21"/>
                    </w:rPr>
                  </w:pPr>
                  <w:r>
                    <w:rPr>
                      <w:rFonts w:hint="eastAsia" w:eastAsiaTheme="minorEastAsia"/>
                      <w:color w:val="auto"/>
                      <w:szCs w:val="21"/>
                    </w:rPr>
                    <w:t>3</w:t>
                  </w:r>
                </w:p>
              </w:tc>
              <w:tc>
                <w:tcPr>
                  <w:tcW w:w="1249" w:type="pct"/>
                  <w:vAlign w:val="center"/>
                </w:tcPr>
                <w:p>
                  <w:pPr>
                    <w:jc w:val="center"/>
                    <w:rPr>
                      <w:rFonts w:eastAsiaTheme="minorEastAsia"/>
                      <w:color w:val="auto"/>
                      <w:szCs w:val="21"/>
                    </w:rPr>
                  </w:pPr>
                  <w:r>
                    <w:rPr>
                      <w:rFonts w:hint="eastAsia" w:eastAsiaTheme="minorEastAsia"/>
                      <w:color w:val="auto"/>
                      <w:szCs w:val="21"/>
                    </w:rPr>
                    <w:t>废导热油</w:t>
                  </w:r>
                </w:p>
              </w:tc>
              <w:tc>
                <w:tcPr>
                  <w:tcW w:w="649" w:type="pct"/>
                  <w:vAlign w:val="center"/>
                </w:tcPr>
                <w:p>
                  <w:pPr>
                    <w:jc w:val="center"/>
                    <w:rPr>
                      <w:rFonts w:eastAsiaTheme="minorEastAsia"/>
                      <w:color w:val="auto"/>
                      <w:szCs w:val="21"/>
                    </w:rPr>
                  </w:pPr>
                  <w:r>
                    <w:rPr>
                      <w:rFonts w:eastAsiaTheme="minorEastAsia"/>
                      <w:color w:val="auto"/>
                      <w:szCs w:val="21"/>
                    </w:rPr>
                    <w:t>--</w:t>
                  </w:r>
                </w:p>
              </w:tc>
              <w:tc>
                <w:tcPr>
                  <w:tcW w:w="1021" w:type="pct"/>
                  <w:vAlign w:val="center"/>
                </w:tcPr>
                <w:p>
                  <w:pPr>
                    <w:jc w:val="center"/>
                    <w:rPr>
                      <w:rFonts w:eastAsiaTheme="minorEastAsia"/>
                      <w:color w:val="auto"/>
                      <w:szCs w:val="21"/>
                    </w:rPr>
                  </w:pPr>
                  <w:r>
                    <w:rPr>
                      <w:rFonts w:hint="eastAsia" w:eastAsiaTheme="minorEastAsia"/>
                      <w:color w:val="auto"/>
                      <w:szCs w:val="21"/>
                      <w:lang w:val="en-US" w:eastAsia="zh-CN"/>
                    </w:rPr>
                    <w:t>0.</w:t>
                  </w:r>
                  <w:r>
                    <w:rPr>
                      <w:rFonts w:hint="eastAsia" w:eastAsiaTheme="minorEastAsia"/>
                      <w:color w:val="auto"/>
                      <w:szCs w:val="21"/>
                    </w:rPr>
                    <w:t>3</w:t>
                  </w:r>
                </w:p>
              </w:tc>
              <w:tc>
                <w:tcPr>
                  <w:tcW w:w="749" w:type="pct"/>
                  <w:vAlign w:val="center"/>
                </w:tcPr>
                <w:p>
                  <w:pPr>
                    <w:jc w:val="center"/>
                    <w:rPr>
                      <w:rFonts w:eastAsiaTheme="minorEastAsia"/>
                      <w:color w:val="auto"/>
                      <w:szCs w:val="21"/>
                    </w:rPr>
                  </w:pPr>
                  <w:r>
                    <w:rPr>
                      <w:rFonts w:hint="eastAsia" w:eastAsiaTheme="minorEastAsia"/>
                      <w:color w:val="auto"/>
                      <w:szCs w:val="21"/>
                    </w:rPr>
                    <w:t>2500</w:t>
                  </w:r>
                </w:p>
              </w:tc>
              <w:tc>
                <w:tcPr>
                  <w:tcW w:w="914" w:type="pct"/>
                  <w:vAlign w:val="center"/>
                </w:tcPr>
                <w:p>
                  <w:pPr>
                    <w:jc w:val="center"/>
                    <w:rPr>
                      <w:rFonts w:eastAsiaTheme="minorEastAsia"/>
                      <w:color w:val="auto"/>
                      <w:szCs w:val="21"/>
                    </w:rPr>
                  </w:pPr>
                  <w:r>
                    <w:rPr>
                      <w:rFonts w:hint="eastAsia" w:eastAsiaTheme="minorEastAsia"/>
                      <w:color w:val="auto"/>
                      <w:szCs w:val="21"/>
                      <w:lang w:val="en-US" w:eastAsia="zh-CN"/>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6" w:type="pct"/>
                  <w:vAlign w:val="center"/>
                </w:tcPr>
                <w:p>
                  <w:pPr>
                    <w:jc w:val="center"/>
                    <w:rPr>
                      <w:rFonts w:eastAsiaTheme="minorEastAsia"/>
                      <w:color w:val="auto"/>
                      <w:szCs w:val="21"/>
                    </w:rPr>
                  </w:pPr>
                  <w:r>
                    <w:rPr>
                      <w:rFonts w:hint="eastAsia" w:eastAsiaTheme="minorEastAsia"/>
                      <w:color w:val="auto"/>
                      <w:szCs w:val="21"/>
                    </w:rPr>
                    <w:t>4</w:t>
                  </w:r>
                </w:p>
              </w:tc>
              <w:tc>
                <w:tcPr>
                  <w:tcW w:w="1249"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Style w:val="201"/>
                      <w:rFonts w:hint="eastAsia" w:ascii="Times New Roman" w:hAnsi="Times New Roman" w:eastAsiaTheme="minorEastAsia"/>
                      <w:color w:val="auto"/>
                      <w:sz w:val="21"/>
                      <w:szCs w:val="21"/>
                      <w:lang w:val="en-US" w:eastAsia="zh-CN"/>
                    </w:rPr>
                    <w:t>隔油</w:t>
                  </w:r>
                  <w:r>
                    <w:rPr>
                      <w:rStyle w:val="201"/>
                      <w:rFonts w:hint="default" w:ascii="Times New Roman" w:hAnsi="Times New Roman" w:eastAsiaTheme="minorEastAsia"/>
                      <w:color w:val="auto"/>
                      <w:sz w:val="21"/>
                      <w:szCs w:val="21"/>
                    </w:rPr>
                    <w:t>池油污</w:t>
                  </w:r>
                </w:p>
              </w:tc>
              <w:tc>
                <w:tcPr>
                  <w:tcW w:w="649" w:type="pct"/>
                  <w:shd w:val="clear" w:color="auto" w:fill="auto"/>
                  <w:vAlign w:val="center"/>
                </w:tcPr>
                <w:p>
                  <w:pPr>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w:t>
                  </w:r>
                </w:p>
              </w:tc>
              <w:tc>
                <w:tcPr>
                  <w:tcW w:w="1021"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0.001</w:t>
                  </w:r>
                </w:p>
              </w:tc>
              <w:tc>
                <w:tcPr>
                  <w:tcW w:w="749" w:type="pct"/>
                  <w:shd w:val="clear" w:color="auto" w:fill="auto"/>
                  <w:vAlign w:val="center"/>
                </w:tcPr>
                <w:p>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2500</w:t>
                  </w:r>
                </w:p>
              </w:tc>
              <w:tc>
                <w:tcPr>
                  <w:tcW w:w="914"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0.0000004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6" w:type="pct"/>
                  <w:vAlign w:val="center"/>
                </w:tcPr>
                <w:p>
                  <w:pPr>
                    <w:jc w:val="center"/>
                    <w:rPr>
                      <w:rFonts w:eastAsiaTheme="minorEastAsia"/>
                      <w:color w:val="auto"/>
                      <w:szCs w:val="21"/>
                    </w:rPr>
                  </w:pPr>
                  <w:r>
                    <w:rPr>
                      <w:rFonts w:hint="eastAsia" w:eastAsiaTheme="minorEastAsia"/>
                      <w:color w:val="auto"/>
                      <w:szCs w:val="21"/>
                    </w:rPr>
                    <w:t>5</w:t>
                  </w:r>
                </w:p>
              </w:tc>
              <w:tc>
                <w:tcPr>
                  <w:tcW w:w="1249"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Style w:val="201"/>
                      <w:rFonts w:hint="eastAsia" w:ascii="Times New Roman" w:hAnsi="Times New Roman" w:cs="Times New Roman" w:eastAsiaTheme="minorEastAsia"/>
                      <w:color w:val="auto"/>
                      <w:sz w:val="21"/>
                      <w:szCs w:val="21"/>
                      <w:highlight w:val="none"/>
                      <w:lang w:val="en-US" w:eastAsia="zh-CN"/>
                    </w:rPr>
                    <w:t>沥青</w:t>
                  </w:r>
                </w:p>
              </w:tc>
              <w:tc>
                <w:tcPr>
                  <w:tcW w:w="649" w:type="pct"/>
                  <w:shd w:val="clear" w:color="auto" w:fill="auto"/>
                  <w:vAlign w:val="center"/>
                </w:tcPr>
                <w:p>
                  <w:pPr>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w:t>
                  </w:r>
                </w:p>
              </w:tc>
              <w:tc>
                <w:tcPr>
                  <w:tcW w:w="1021"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1740</w:t>
                  </w:r>
                </w:p>
              </w:tc>
              <w:tc>
                <w:tcPr>
                  <w:tcW w:w="749"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2500</w:t>
                  </w:r>
                </w:p>
              </w:tc>
              <w:tc>
                <w:tcPr>
                  <w:tcW w:w="914" w:type="pct"/>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0.696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5" w:type="pct"/>
                  <w:gridSpan w:val="5"/>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合计</w:t>
                  </w:r>
                </w:p>
              </w:tc>
              <w:tc>
                <w:tcPr>
                  <w:tcW w:w="914" w:type="pct"/>
                  <w:shd w:val="clear" w:color="auto" w:fill="auto"/>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0.7101</w:t>
                  </w:r>
                </w:p>
              </w:tc>
            </w:tr>
          </w:tbl>
          <w:p>
            <w:pPr>
              <w:spacing w:line="360" w:lineRule="auto"/>
              <w:ind w:firstLine="480" w:firstLineChars="200"/>
              <w:contextualSpacing/>
              <w:jc w:val="left"/>
              <w:rPr>
                <w:color w:val="auto"/>
                <w:kern w:val="0"/>
                <w:sz w:val="24"/>
              </w:rPr>
            </w:pPr>
            <w:r>
              <w:rPr>
                <w:rFonts w:hint="eastAsia"/>
                <w:color w:val="auto"/>
                <w:kern w:val="0"/>
                <w:sz w:val="24"/>
              </w:rPr>
              <w:t>2、环境敏感目标概况</w:t>
            </w:r>
          </w:p>
          <w:p>
            <w:pPr>
              <w:spacing w:line="360" w:lineRule="auto"/>
              <w:ind w:firstLine="480" w:firstLineChars="200"/>
              <w:contextualSpacing/>
              <w:jc w:val="left"/>
              <w:rPr>
                <w:color w:val="auto"/>
                <w:kern w:val="0"/>
                <w:sz w:val="24"/>
              </w:rPr>
            </w:pPr>
            <w:r>
              <w:rPr>
                <w:rFonts w:hint="eastAsia"/>
                <w:color w:val="auto"/>
                <w:kern w:val="0"/>
                <w:sz w:val="24"/>
              </w:rPr>
              <w:t>《建设项目环境风险评价技术导则》(HJ169-2018)中风险潜势为Ⅰ的建设项目尚未明确具体的评价范围。</w:t>
            </w:r>
          </w:p>
          <w:p>
            <w:pPr>
              <w:spacing w:line="360" w:lineRule="auto"/>
              <w:ind w:firstLine="480" w:firstLineChars="200"/>
              <w:contextualSpacing/>
              <w:jc w:val="left"/>
              <w:rPr>
                <w:color w:val="auto"/>
                <w:kern w:val="0"/>
                <w:sz w:val="24"/>
              </w:rPr>
            </w:pPr>
            <w:r>
              <w:rPr>
                <w:rFonts w:hint="eastAsia"/>
                <w:color w:val="auto"/>
                <w:kern w:val="0"/>
                <w:sz w:val="24"/>
              </w:rPr>
              <w:t>3、环境风险识别</w:t>
            </w:r>
          </w:p>
          <w:p>
            <w:pPr>
              <w:spacing w:line="360" w:lineRule="auto"/>
              <w:ind w:firstLine="480" w:firstLineChars="200"/>
              <w:contextualSpacing/>
              <w:jc w:val="left"/>
              <w:rPr>
                <w:color w:val="auto"/>
                <w:kern w:val="0"/>
                <w:sz w:val="24"/>
              </w:rPr>
            </w:pPr>
            <w:r>
              <w:rPr>
                <w:rFonts w:hint="eastAsia"/>
                <w:color w:val="auto"/>
                <w:kern w:val="0"/>
                <w:sz w:val="24"/>
              </w:rPr>
              <w:t>①环境空气：沥清在加热过程中释放的大量的有害气体，造成大气环境污染。</w:t>
            </w:r>
          </w:p>
          <w:p>
            <w:pPr>
              <w:spacing w:line="360" w:lineRule="auto"/>
              <w:ind w:firstLine="480" w:firstLineChars="200"/>
              <w:contextualSpacing/>
              <w:jc w:val="left"/>
              <w:rPr>
                <w:color w:val="auto"/>
                <w:kern w:val="0"/>
                <w:sz w:val="24"/>
              </w:rPr>
            </w:pPr>
            <w:r>
              <w:rPr>
                <w:rFonts w:hint="eastAsia"/>
                <w:color w:val="auto"/>
                <w:kern w:val="0"/>
                <w:sz w:val="24"/>
              </w:rPr>
              <w:t>②地表水环境：油类物质泄漏可能会对地表水环境造成一定的影响。</w:t>
            </w:r>
          </w:p>
          <w:p>
            <w:pPr>
              <w:spacing w:line="360" w:lineRule="auto"/>
              <w:ind w:firstLine="480" w:firstLineChars="200"/>
              <w:contextualSpacing/>
              <w:jc w:val="left"/>
              <w:rPr>
                <w:color w:val="auto"/>
                <w:kern w:val="0"/>
                <w:sz w:val="24"/>
              </w:rPr>
            </w:pPr>
            <w:r>
              <w:rPr>
                <w:rFonts w:hint="eastAsia"/>
                <w:color w:val="auto"/>
                <w:kern w:val="0"/>
                <w:sz w:val="24"/>
              </w:rPr>
              <w:t>③地下水、土壤环境：油类物质泄漏可能导致对地下水、土壤环境造成污 染</w:t>
            </w:r>
          </w:p>
          <w:p>
            <w:pPr>
              <w:spacing w:line="360" w:lineRule="auto"/>
              <w:ind w:firstLine="480" w:firstLineChars="200"/>
              <w:contextualSpacing/>
              <w:jc w:val="left"/>
              <w:rPr>
                <w:color w:val="auto"/>
                <w:kern w:val="0"/>
                <w:sz w:val="24"/>
              </w:rPr>
            </w:pPr>
            <w:r>
              <w:rPr>
                <w:rFonts w:hint="eastAsia"/>
                <w:color w:val="auto"/>
                <w:kern w:val="0"/>
                <w:sz w:val="24"/>
              </w:rPr>
              <w:t>4、风险防范措施</w:t>
            </w:r>
          </w:p>
          <w:p>
            <w:pPr>
              <w:spacing w:line="360" w:lineRule="auto"/>
              <w:ind w:firstLine="480" w:firstLineChars="200"/>
              <w:contextualSpacing/>
              <w:jc w:val="left"/>
              <w:rPr>
                <w:color w:val="auto"/>
                <w:kern w:val="0"/>
                <w:sz w:val="24"/>
              </w:rPr>
            </w:pPr>
            <w:r>
              <w:rPr>
                <w:rFonts w:hint="eastAsia"/>
                <w:color w:val="auto"/>
                <w:kern w:val="0"/>
                <w:sz w:val="24"/>
              </w:rPr>
              <w:t xml:space="preserve">“预防为主”是安全生产的原则，加强预防工作，从管理着手， 把风险事故的发生和影响降到最低程度，针对本项目的生产特点，特别要注意以下几点： </w:t>
            </w:r>
          </w:p>
          <w:p>
            <w:pPr>
              <w:spacing w:line="360" w:lineRule="auto"/>
              <w:ind w:firstLine="480" w:firstLineChars="200"/>
              <w:contextualSpacing/>
              <w:jc w:val="left"/>
              <w:rPr>
                <w:color w:val="auto"/>
                <w:kern w:val="0"/>
                <w:sz w:val="24"/>
              </w:rPr>
            </w:pPr>
            <w:r>
              <w:rPr>
                <w:rFonts w:hint="eastAsia"/>
                <w:color w:val="auto"/>
                <w:kern w:val="0"/>
                <w:sz w:val="24"/>
              </w:rPr>
              <w:t>严格按照工业安全生产规定， 设置安全监控点，按中华全国总工会职业危害安全监控法执行；对生产设备进行定期检测，对关键设备进行不定期探伤测试；安排专人对储罐进行定期检修及管理， 做到责任到人， 加强安全检查值班制度的落实，发现问题及时汇报；自带储罐地面进行硬化、防渗并建设围堰；员工熟练掌握站内各种设备的技术性能和使用方法； 储罐区设置灭火器、消防 沙等消防器材；编制突发环境事件应急预案并定期进行安全演练。</w:t>
            </w:r>
          </w:p>
          <w:p>
            <w:pPr>
              <w:spacing w:line="360" w:lineRule="auto"/>
              <w:ind w:firstLine="480" w:firstLineChars="200"/>
              <w:contextualSpacing/>
              <w:jc w:val="left"/>
              <w:rPr>
                <w:color w:val="auto"/>
                <w:kern w:val="0"/>
                <w:sz w:val="24"/>
              </w:rPr>
            </w:pPr>
            <w:r>
              <w:rPr>
                <w:rFonts w:hint="eastAsia"/>
                <w:color w:val="auto"/>
                <w:kern w:val="0"/>
                <w:sz w:val="24"/>
              </w:rPr>
              <w:t>针对本项目环境风险，本环评建议采取如下风险防范措施：</w:t>
            </w:r>
          </w:p>
          <w:p>
            <w:pPr>
              <w:spacing w:line="360" w:lineRule="auto"/>
              <w:ind w:firstLine="480" w:firstLineChars="200"/>
              <w:contextualSpacing/>
              <w:jc w:val="left"/>
              <w:rPr>
                <w:color w:val="auto"/>
                <w:kern w:val="0"/>
                <w:sz w:val="24"/>
              </w:rPr>
            </w:pPr>
            <w:r>
              <w:rPr>
                <w:rFonts w:hint="eastAsia"/>
                <w:color w:val="auto"/>
                <w:kern w:val="0"/>
                <w:sz w:val="24"/>
              </w:rPr>
              <w:t xml:space="preserve">①本项目在平面布置中， 应严格执行安全和防火的相关技术规范， 项目与周边设施及项目内设备之间的防火间距要满足规范要求。 </w:t>
            </w:r>
          </w:p>
          <w:p>
            <w:pPr>
              <w:spacing w:line="360" w:lineRule="auto"/>
              <w:ind w:firstLine="480" w:firstLineChars="200"/>
              <w:contextualSpacing/>
              <w:jc w:val="left"/>
              <w:rPr>
                <w:color w:val="auto"/>
                <w:kern w:val="0"/>
                <w:sz w:val="24"/>
              </w:rPr>
            </w:pPr>
            <w:r>
              <w:rPr>
                <w:rFonts w:hint="eastAsia"/>
                <w:color w:val="auto"/>
                <w:kern w:val="0"/>
                <w:sz w:val="24"/>
              </w:rPr>
              <w:t xml:space="preserve">②加强岗位人员的技术培训和安全知识培训工作的业务素质。加强岗位操作管理，严格执行操作规程和工艺指标。 </w:t>
            </w:r>
          </w:p>
          <w:p>
            <w:pPr>
              <w:spacing w:line="360" w:lineRule="auto"/>
              <w:ind w:firstLine="480" w:firstLineChars="200"/>
              <w:contextualSpacing/>
              <w:jc w:val="left"/>
              <w:rPr>
                <w:color w:val="auto"/>
                <w:kern w:val="0"/>
                <w:sz w:val="24"/>
              </w:rPr>
            </w:pPr>
            <w:r>
              <w:rPr>
                <w:rFonts w:hint="eastAsia"/>
                <w:color w:val="auto"/>
                <w:kern w:val="0"/>
                <w:sz w:val="24"/>
              </w:rPr>
              <w:t xml:space="preserve">③应加强火灾风险防范措施， 包括加强明火管理， 严禁擅自乱拉、乱接电源线路， 不得随意增设电器设备；各电气设备的导线、接点、开关不得有断线、老化、裸漏、破损等。加强消防通道、安全疏散通道的管理，保障其通畅。加强公司假日及夜间消防安全管理等。 </w:t>
            </w:r>
          </w:p>
          <w:p>
            <w:pPr>
              <w:spacing w:line="360" w:lineRule="auto"/>
              <w:ind w:firstLine="480" w:firstLineChars="200"/>
              <w:contextualSpacing/>
              <w:jc w:val="left"/>
              <w:rPr>
                <w:color w:val="auto"/>
                <w:kern w:val="0"/>
                <w:sz w:val="24"/>
              </w:rPr>
            </w:pPr>
            <w:r>
              <w:rPr>
                <w:rFonts w:hint="eastAsia"/>
                <w:color w:val="auto"/>
                <w:kern w:val="0"/>
                <w:sz w:val="24"/>
              </w:rPr>
              <w:t>④配备一定数目的小型移动式灭火器，用以扑灭初期小型火灾。同时应加强员工培训， 使其熟练掌握灭火器的使用。另外还应加强对灭火器的维护保养，灭火器应正立在固定场所， 严禁潮湿，日晒，撞击， 定期检查筒内或瓶内干粉 是否结块，CO</w:t>
            </w:r>
            <w:r>
              <w:rPr>
                <w:rFonts w:hint="eastAsia"/>
                <w:color w:val="auto"/>
                <w:kern w:val="0"/>
                <w:sz w:val="24"/>
                <w:vertAlign w:val="subscript"/>
              </w:rPr>
              <w:t>2</w:t>
            </w:r>
            <w:r>
              <w:rPr>
                <w:rFonts w:hint="eastAsia"/>
                <w:color w:val="auto"/>
                <w:kern w:val="0"/>
                <w:sz w:val="24"/>
              </w:rPr>
              <w:t xml:space="preserve"> 是否充足。 </w:t>
            </w:r>
          </w:p>
          <w:p>
            <w:pPr>
              <w:spacing w:line="360" w:lineRule="auto"/>
              <w:ind w:firstLine="480" w:firstLineChars="200"/>
              <w:contextualSpacing/>
              <w:jc w:val="left"/>
              <w:rPr>
                <w:color w:val="auto"/>
                <w:kern w:val="0"/>
                <w:sz w:val="24"/>
              </w:rPr>
            </w:pPr>
            <w:r>
              <w:rPr>
                <w:rFonts w:hint="eastAsia"/>
                <w:color w:val="auto"/>
                <w:kern w:val="0"/>
                <w:sz w:val="24"/>
              </w:rPr>
              <w:t xml:space="preserve">⑤在罐区设防渗围堰防止沥青泄露污染地下水。 </w:t>
            </w:r>
          </w:p>
          <w:p>
            <w:pPr>
              <w:spacing w:line="360" w:lineRule="auto"/>
              <w:ind w:firstLine="480" w:firstLineChars="200"/>
              <w:contextualSpacing/>
              <w:jc w:val="left"/>
              <w:rPr>
                <w:color w:val="auto"/>
                <w:kern w:val="0"/>
                <w:sz w:val="24"/>
              </w:rPr>
            </w:pPr>
            <w:r>
              <w:rPr>
                <w:rFonts w:hint="eastAsia"/>
                <w:color w:val="auto"/>
                <w:kern w:val="0"/>
                <w:sz w:val="24"/>
              </w:rPr>
              <w:t>⑥如发生废矿物油泄露事故，切断污染源的基本方案泄漏：用泵将泄漏油 罐中的残油转移至槽车或专用收集器内。抢险救护组可对泄漏处进行堵漏，避 免持续泄漏；少量泄漏可以允许油品储罐内的油品暂存于防泄露池内， 大量泄 漏应将油品罐内油品用防爆泵抽至罐车，带油罐检修结束后再导入罐内， 围堰 内残余油品抽走外委处理。</w:t>
            </w:r>
          </w:p>
          <w:p>
            <w:pPr>
              <w:spacing w:line="360" w:lineRule="auto"/>
              <w:ind w:firstLine="480" w:firstLineChars="200"/>
              <w:contextualSpacing/>
              <w:jc w:val="left"/>
              <w:rPr>
                <w:color w:val="auto"/>
                <w:kern w:val="0"/>
                <w:sz w:val="24"/>
              </w:rPr>
            </w:pPr>
            <w:r>
              <w:rPr>
                <w:rFonts w:hint="eastAsia"/>
                <w:color w:val="auto"/>
                <w:kern w:val="0"/>
                <w:sz w:val="24"/>
              </w:rPr>
              <w:t>(5) 应急预案</w:t>
            </w:r>
          </w:p>
          <w:p>
            <w:pPr>
              <w:spacing w:line="360" w:lineRule="auto"/>
              <w:ind w:firstLine="480" w:firstLineChars="200"/>
              <w:contextualSpacing/>
              <w:jc w:val="left"/>
              <w:rPr>
                <w:color w:val="auto"/>
                <w:kern w:val="0"/>
                <w:sz w:val="24"/>
              </w:rPr>
            </w:pPr>
            <w:r>
              <w:rPr>
                <w:rFonts w:hint="eastAsia"/>
                <w:color w:val="auto"/>
                <w:kern w:val="0"/>
                <w:sz w:val="24"/>
              </w:rPr>
              <w:t>根据《企业事业单位突发环境事件应急预案备案管理办法(试行) 》(环 发[2015]4 号) 及《关于进一步加强环境影响评价管理防范环境风险的通知》(环 发[2012]71  号)， 企业应自行或委托相关单位编制突发环境事件应急预案，报当地环保部门备案，定期做好应急演练。</w:t>
            </w:r>
          </w:p>
          <w:p>
            <w:pPr>
              <w:spacing w:line="360" w:lineRule="auto"/>
              <w:ind w:firstLine="480" w:firstLineChars="200"/>
              <w:contextualSpacing/>
              <w:jc w:val="left"/>
              <w:rPr>
                <w:color w:val="auto"/>
                <w:kern w:val="0"/>
                <w:sz w:val="24"/>
              </w:rPr>
            </w:pPr>
            <w:r>
              <w:rPr>
                <w:rFonts w:hint="eastAsia"/>
                <w:color w:val="auto"/>
                <w:kern w:val="0"/>
                <w:sz w:val="24"/>
              </w:rPr>
              <w:t>环境应急预案内容一般包括：</w:t>
            </w:r>
          </w:p>
          <w:p>
            <w:pPr>
              <w:spacing w:line="360" w:lineRule="auto"/>
              <w:ind w:firstLine="480" w:firstLineChars="200"/>
              <w:contextualSpacing/>
              <w:jc w:val="left"/>
              <w:rPr>
                <w:color w:val="auto"/>
                <w:kern w:val="0"/>
                <w:sz w:val="24"/>
              </w:rPr>
            </w:pPr>
            <w:r>
              <w:rPr>
                <w:rFonts w:hint="eastAsia"/>
                <w:color w:val="auto"/>
                <w:kern w:val="0"/>
                <w:sz w:val="24"/>
              </w:rPr>
              <w:t>a.总则，包括编制依据、适用范围和工作原则等；</w:t>
            </w:r>
          </w:p>
          <w:p>
            <w:pPr>
              <w:spacing w:line="360" w:lineRule="auto"/>
              <w:ind w:firstLine="480" w:firstLineChars="200"/>
              <w:contextualSpacing/>
              <w:jc w:val="left"/>
              <w:rPr>
                <w:color w:val="auto"/>
                <w:kern w:val="0"/>
                <w:sz w:val="24"/>
              </w:rPr>
            </w:pPr>
            <w:r>
              <w:rPr>
                <w:rFonts w:hint="eastAsia"/>
                <w:color w:val="auto"/>
                <w:kern w:val="0"/>
                <w:sz w:val="24"/>
              </w:rPr>
              <w:t>b.基本情况， 包括公司基本概况、环境污染事故分析源基本情况、企业周边环境概况等；</w:t>
            </w:r>
          </w:p>
          <w:p>
            <w:pPr>
              <w:spacing w:line="360" w:lineRule="auto"/>
              <w:ind w:firstLine="480" w:firstLineChars="200"/>
              <w:contextualSpacing/>
              <w:jc w:val="left"/>
              <w:rPr>
                <w:color w:val="auto"/>
                <w:kern w:val="0"/>
                <w:sz w:val="24"/>
              </w:rPr>
            </w:pPr>
            <w:r>
              <w:rPr>
                <w:rFonts w:hint="eastAsia"/>
                <w:color w:val="auto"/>
                <w:kern w:val="0"/>
                <w:sz w:val="24"/>
              </w:rPr>
              <w:t>c 环境风险源及环境风险评价，包括环境污染事故污染源识别、环境污染事</w:t>
            </w:r>
          </w:p>
          <w:p>
            <w:pPr>
              <w:spacing w:line="360" w:lineRule="auto"/>
              <w:ind w:firstLine="480" w:firstLineChars="200"/>
              <w:contextualSpacing/>
              <w:jc w:val="left"/>
              <w:rPr>
                <w:color w:val="auto"/>
                <w:kern w:val="0"/>
                <w:sz w:val="24"/>
              </w:rPr>
            </w:pPr>
            <w:r>
              <w:rPr>
                <w:rFonts w:hint="eastAsia"/>
                <w:color w:val="auto"/>
                <w:kern w:val="0"/>
                <w:sz w:val="24"/>
              </w:rPr>
              <w:t>故污染源风险分析、事故状态下排放污染物分析、最大可信事故等；</w:t>
            </w:r>
          </w:p>
          <w:p>
            <w:pPr>
              <w:spacing w:line="360" w:lineRule="auto"/>
              <w:ind w:firstLine="480" w:firstLineChars="200"/>
              <w:contextualSpacing/>
              <w:jc w:val="left"/>
              <w:rPr>
                <w:color w:val="auto"/>
                <w:kern w:val="0"/>
                <w:sz w:val="24"/>
              </w:rPr>
            </w:pPr>
            <w:r>
              <w:rPr>
                <w:rFonts w:hint="eastAsia"/>
                <w:color w:val="auto"/>
                <w:kern w:val="0"/>
                <w:sz w:val="24"/>
              </w:rPr>
              <w:t>d.组织机构与职责，包括指挥机构及职责；</w:t>
            </w:r>
          </w:p>
          <w:p>
            <w:pPr>
              <w:spacing w:line="360" w:lineRule="auto"/>
              <w:ind w:firstLine="480" w:firstLineChars="200"/>
              <w:contextualSpacing/>
              <w:jc w:val="left"/>
              <w:rPr>
                <w:color w:val="auto"/>
                <w:kern w:val="0"/>
                <w:sz w:val="24"/>
              </w:rPr>
            </w:pPr>
            <w:r>
              <w:rPr>
                <w:rFonts w:hint="eastAsia"/>
                <w:color w:val="auto"/>
                <w:kern w:val="0"/>
                <w:sz w:val="24"/>
              </w:rPr>
              <w:t>e.预防与预警，包括环境污染事故危险源监控、预警行动等；</w:t>
            </w:r>
          </w:p>
          <w:p>
            <w:pPr>
              <w:spacing w:line="360" w:lineRule="auto"/>
              <w:ind w:firstLine="360" w:firstLineChars="150"/>
              <w:contextualSpacing/>
              <w:jc w:val="left"/>
              <w:rPr>
                <w:color w:val="auto"/>
                <w:kern w:val="0"/>
                <w:sz w:val="24"/>
              </w:rPr>
            </w:pPr>
            <w:r>
              <w:rPr>
                <w:rFonts w:hint="eastAsia"/>
                <w:color w:val="auto"/>
                <w:kern w:val="0"/>
                <w:sz w:val="24"/>
              </w:rPr>
              <w:t xml:space="preserve"> f.信息报告和通报，包括信息报告与通过、信息上报、通报等；</w:t>
            </w:r>
          </w:p>
          <w:p>
            <w:pPr>
              <w:spacing w:line="360" w:lineRule="auto"/>
              <w:ind w:firstLine="480" w:firstLineChars="200"/>
              <w:contextualSpacing/>
              <w:jc w:val="left"/>
              <w:rPr>
                <w:color w:val="auto"/>
                <w:kern w:val="0"/>
                <w:sz w:val="24"/>
              </w:rPr>
            </w:pPr>
            <w:r>
              <w:rPr>
                <w:rFonts w:hint="eastAsia"/>
                <w:color w:val="auto"/>
                <w:kern w:val="0"/>
                <w:sz w:val="24"/>
              </w:rPr>
              <w:t>g.应急响应和救援措施，包括启动条件、应急救援等；</w:t>
            </w:r>
          </w:p>
          <w:p>
            <w:pPr>
              <w:spacing w:line="360" w:lineRule="auto"/>
              <w:ind w:firstLine="480" w:firstLineChars="200"/>
              <w:contextualSpacing/>
              <w:jc w:val="left"/>
              <w:rPr>
                <w:color w:val="auto"/>
                <w:kern w:val="0"/>
                <w:sz w:val="24"/>
              </w:rPr>
            </w:pPr>
            <w:r>
              <w:rPr>
                <w:rFonts w:hint="eastAsia"/>
                <w:color w:val="auto"/>
                <w:kern w:val="0"/>
                <w:sz w:val="24"/>
              </w:rPr>
              <w:t>h.应急监测；</w:t>
            </w:r>
          </w:p>
          <w:p>
            <w:pPr>
              <w:spacing w:line="360" w:lineRule="auto"/>
              <w:ind w:firstLine="480" w:firstLineChars="200"/>
              <w:contextualSpacing/>
              <w:jc w:val="left"/>
              <w:rPr>
                <w:color w:val="auto"/>
                <w:kern w:val="0"/>
                <w:sz w:val="24"/>
              </w:rPr>
            </w:pPr>
            <w:r>
              <w:rPr>
                <w:rFonts w:hint="eastAsia"/>
                <w:color w:val="auto"/>
                <w:kern w:val="0"/>
                <w:sz w:val="24"/>
              </w:rPr>
              <w:t>i.现场保护与现场洗消；</w:t>
            </w:r>
          </w:p>
          <w:p>
            <w:pPr>
              <w:spacing w:line="360" w:lineRule="auto"/>
              <w:ind w:firstLine="480" w:firstLineChars="200"/>
              <w:contextualSpacing/>
              <w:jc w:val="left"/>
              <w:rPr>
                <w:color w:val="auto"/>
                <w:kern w:val="0"/>
                <w:sz w:val="24"/>
              </w:rPr>
            </w:pPr>
            <w:r>
              <w:rPr>
                <w:rFonts w:hint="eastAsia"/>
                <w:color w:val="auto"/>
                <w:kern w:val="0"/>
                <w:sz w:val="24"/>
              </w:rPr>
              <w:t>j.应急终止；</w:t>
            </w:r>
          </w:p>
          <w:p>
            <w:pPr>
              <w:spacing w:line="360" w:lineRule="auto"/>
              <w:ind w:firstLine="480" w:firstLineChars="200"/>
              <w:contextualSpacing/>
              <w:jc w:val="left"/>
              <w:rPr>
                <w:color w:val="auto"/>
                <w:kern w:val="0"/>
                <w:sz w:val="24"/>
              </w:rPr>
            </w:pPr>
            <w:r>
              <w:rPr>
                <w:rFonts w:hint="eastAsia"/>
                <w:color w:val="auto"/>
                <w:kern w:val="0"/>
                <w:sz w:val="24"/>
              </w:rPr>
              <w:t>k.应急终止后的行动；</w:t>
            </w:r>
          </w:p>
          <w:p>
            <w:pPr>
              <w:spacing w:line="360" w:lineRule="auto"/>
              <w:ind w:firstLine="480" w:firstLineChars="200"/>
              <w:contextualSpacing/>
              <w:jc w:val="left"/>
              <w:rPr>
                <w:color w:val="auto"/>
                <w:kern w:val="0"/>
                <w:sz w:val="24"/>
              </w:rPr>
            </w:pPr>
            <w:r>
              <w:rPr>
                <w:rFonts w:hint="eastAsia"/>
                <w:color w:val="auto"/>
                <w:kern w:val="0"/>
                <w:sz w:val="24"/>
              </w:rPr>
              <w:t>l.善后处置；</w:t>
            </w:r>
          </w:p>
          <w:p>
            <w:pPr>
              <w:spacing w:line="360" w:lineRule="auto"/>
              <w:ind w:firstLine="480" w:firstLineChars="200"/>
              <w:contextualSpacing/>
              <w:jc w:val="left"/>
              <w:rPr>
                <w:color w:val="auto"/>
                <w:kern w:val="0"/>
                <w:sz w:val="24"/>
              </w:rPr>
            </w:pPr>
            <w:r>
              <w:rPr>
                <w:rFonts w:hint="eastAsia"/>
                <w:color w:val="auto"/>
                <w:kern w:val="0"/>
                <w:sz w:val="24"/>
              </w:rPr>
              <w:t>m.应急演练，包括演习方案、演习记录与总结；</w:t>
            </w:r>
          </w:p>
          <w:p>
            <w:pPr>
              <w:spacing w:line="360" w:lineRule="auto"/>
              <w:ind w:firstLine="480" w:firstLineChars="200"/>
              <w:contextualSpacing/>
              <w:jc w:val="left"/>
              <w:rPr>
                <w:color w:val="auto"/>
                <w:kern w:val="0"/>
                <w:sz w:val="24"/>
              </w:rPr>
            </w:pPr>
            <w:r>
              <w:rPr>
                <w:rFonts w:hint="eastAsia"/>
                <w:color w:val="auto"/>
                <w:kern w:val="0"/>
                <w:sz w:val="24"/>
              </w:rPr>
              <w:t>n.保证措施，包括通讯与信息保障、应急物资准备保障、经费保障；</w:t>
            </w:r>
          </w:p>
          <w:p>
            <w:pPr>
              <w:spacing w:line="360" w:lineRule="auto"/>
              <w:ind w:firstLine="480" w:firstLineChars="200"/>
              <w:contextualSpacing/>
              <w:jc w:val="left"/>
              <w:rPr>
                <w:color w:val="auto"/>
                <w:kern w:val="0"/>
                <w:sz w:val="24"/>
              </w:rPr>
            </w:pPr>
            <w:r>
              <w:rPr>
                <w:rFonts w:hint="eastAsia"/>
                <w:color w:val="auto"/>
                <w:kern w:val="0"/>
                <w:sz w:val="24"/>
              </w:rPr>
              <w:t>o.预案实施和生效时间；</w:t>
            </w:r>
          </w:p>
          <w:p>
            <w:pPr>
              <w:spacing w:line="360" w:lineRule="auto"/>
              <w:ind w:firstLine="480" w:firstLineChars="200"/>
              <w:contextualSpacing/>
              <w:jc w:val="left"/>
              <w:rPr>
                <w:color w:val="auto"/>
                <w:kern w:val="0"/>
                <w:sz w:val="24"/>
              </w:rPr>
            </w:pPr>
            <w:r>
              <w:rPr>
                <w:rFonts w:hint="eastAsia"/>
                <w:color w:val="auto"/>
                <w:kern w:val="0"/>
                <w:sz w:val="24"/>
              </w:rPr>
              <w:t>p.相关附件及附则。</w:t>
            </w:r>
          </w:p>
          <w:p>
            <w:pPr>
              <w:spacing w:line="360" w:lineRule="auto"/>
              <w:ind w:firstLine="480" w:firstLineChars="200"/>
              <w:contextualSpacing/>
              <w:jc w:val="left"/>
              <w:rPr>
                <w:color w:val="auto"/>
                <w:kern w:val="0"/>
                <w:sz w:val="24"/>
              </w:rPr>
            </w:pPr>
            <w:r>
              <w:rPr>
                <w:rFonts w:hint="eastAsia"/>
                <w:color w:val="auto"/>
                <w:kern w:val="0"/>
                <w:sz w:val="24"/>
              </w:rPr>
              <w:t>应急预案具体内容应根据《企业事业单位突发环境事件应急预案备案管理 办法(试行) 》(环发[2015]4 号) 及《关于进一步加强环境影响评价管理防范 环境风险的通知》(环发[2012]71 号)编制应急预案并进行评估备案。</w:t>
            </w:r>
          </w:p>
          <w:p>
            <w:pPr>
              <w:spacing w:line="360" w:lineRule="auto"/>
              <w:ind w:firstLine="480" w:firstLineChars="200"/>
              <w:contextualSpacing/>
              <w:jc w:val="left"/>
              <w:rPr>
                <w:color w:val="auto"/>
                <w:kern w:val="0"/>
                <w:sz w:val="24"/>
              </w:rPr>
            </w:pPr>
            <w:r>
              <w:rPr>
                <w:rFonts w:hint="eastAsia"/>
                <w:color w:val="auto"/>
                <w:kern w:val="0"/>
                <w:sz w:val="24"/>
              </w:rPr>
              <w:t>(6) 风险评价结论</w:t>
            </w:r>
          </w:p>
          <w:p>
            <w:pPr>
              <w:spacing w:line="360" w:lineRule="auto"/>
              <w:ind w:firstLine="480" w:firstLineChars="200"/>
              <w:contextualSpacing/>
              <w:jc w:val="left"/>
              <w:rPr>
                <w:color w:val="auto"/>
                <w:kern w:val="0"/>
                <w:sz w:val="24"/>
              </w:rPr>
            </w:pPr>
            <w:r>
              <w:rPr>
                <w:rFonts w:hint="eastAsia"/>
                <w:color w:val="auto"/>
                <w:kern w:val="0"/>
                <w:sz w:val="24"/>
              </w:rPr>
              <w:t>本项目的环境风险主要表现为天然气、废矿物油发生的泄漏事故导致的大气、水体以及土壤的环境污染。企业按照要求建设环保设施， 做好物料的运输、 储存工作，严格做好安全生产工作，尽量避免泄漏事故的发生， 同时制定紧急预案， 使事故得到及时有效的控制，缩短事故发生的持续时间， 可以大大降低对周围环境的影响。</w:t>
            </w:r>
          </w:p>
          <w:p>
            <w:pPr>
              <w:spacing w:line="360" w:lineRule="auto"/>
              <w:ind w:firstLine="480" w:firstLineChars="200"/>
              <w:contextualSpacing/>
              <w:jc w:val="left"/>
              <w:rPr>
                <w:b/>
                <w:bCs/>
                <w:color w:val="auto"/>
                <w:sz w:val="24"/>
              </w:rPr>
            </w:pPr>
            <w:r>
              <w:rPr>
                <w:rFonts w:hint="eastAsia"/>
                <w:b/>
                <w:bCs/>
                <w:color w:val="auto"/>
                <w:sz w:val="24"/>
              </w:rPr>
              <w:t>（七）迹地恢复措施</w:t>
            </w:r>
          </w:p>
          <w:p>
            <w:pPr>
              <w:spacing w:line="360" w:lineRule="auto"/>
              <w:ind w:firstLine="480" w:firstLineChars="200"/>
              <w:contextualSpacing/>
              <w:jc w:val="left"/>
              <w:rPr>
                <w:color w:val="auto"/>
                <w:kern w:val="0"/>
                <w:sz w:val="24"/>
              </w:rPr>
            </w:pPr>
            <w:r>
              <w:rPr>
                <w:rFonts w:hint="eastAsia"/>
                <w:bCs/>
                <w:color w:val="auto"/>
                <w:sz w:val="24"/>
              </w:rPr>
              <w:t>本项目是为</w:t>
            </w:r>
            <w:r>
              <w:rPr>
                <w:rFonts w:hint="eastAsia"/>
                <w:color w:val="auto"/>
                <w:sz w:val="24"/>
              </w:rPr>
              <w:t>鹤岗至哈尔滨国家高速公路服务的，随着公路建设工程完工后，该项目也随之结束，企业要拆除所建设备和暂设用房，平整场地，将原场地恢复到原有工业用地原始状态。</w:t>
            </w:r>
          </w:p>
          <w:p>
            <w:pPr>
              <w:pStyle w:val="2"/>
              <w:ind w:left="0"/>
              <w:rPr>
                <w:color w:val="auto"/>
              </w:rPr>
            </w:pPr>
          </w:p>
        </w:tc>
      </w:tr>
    </w:tbl>
    <w:p>
      <w:pPr>
        <w:adjustRightInd w:val="0"/>
        <w:snapToGrid w:val="0"/>
        <w:spacing w:line="360" w:lineRule="auto"/>
        <w:rPr>
          <w:b/>
          <w:color w:val="auto"/>
          <w:kern w:val="0"/>
          <w:sz w:val="28"/>
          <w:szCs w:val="28"/>
        </w:rPr>
        <w:sectPr>
          <w:pgSz w:w="11905" w:h="16838"/>
          <w:pgMar w:top="1134" w:right="1134" w:bottom="1134" w:left="1134" w:header="851" w:footer="1077" w:gutter="0"/>
          <w:cols w:space="720" w:num="1"/>
          <w:docGrid w:type="linesAndChars" w:linePitch="323" w:charSpace="0"/>
        </w:sectPr>
      </w:pPr>
    </w:p>
    <w:p>
      <w:pPr>
        <w:pStyle w:val="2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61" w:name="_Toc24709"/>
      <w:bookmarkStart w:id="62" w:name="_Toc26804"/>
      <w:r>
        <w:rPr>
          <w:rFonts w:ascii="Times New Roman" w:hAnsi="Times New Roman" w:eastAsia="黑体"/>
          <w:snapToGrid w:val="0"/>
          <w:color w:val="auto"/>
          <w:sz w:val="30"/>
          <w:szCs w:val="30"/>
        </w:rPr>
        <w:t>五、</w:t>
      </w:r>
      <w:bookmarkStart w:id="63" w:name="_Hlk54167917"/>
      <w:r>
        <w:rPr>
          <w:rFonts w:ascii="Times New Roman" w:hAnsi="Times New Roman" w:eastAsia="黑体"/>
          <w:snapToGrid w:val="0"/>
          <w:color w:val="auto"/>
          <w:sz w:val="30"/>
          <w:szCs w:val="30"/>
        </w:rPr>
        <w:t>环境保护措施监督检查清单</w:t>
      </w:r>
      <w:bookmarkEnd w:id="61"/>
      <w:bookmarkEnd w:id="62"/>
      <w:bookmarkEnd w:id="63"/>
    </w:p>
    <w:tbl>
      <w:tblPr>
        <w:tblStyle w:val="34"/>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696"/>
        <w:gridCol w:w="1700"/>
        <w:gridCol w:w="1980"/>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27" w:lineRule="auto"/>
              <w:ind w:right="192" w:firstLine="0" w:firstLineChars="0"/>
              <w:textAlignment w:val="auto"/>
              <w:rPr>
                <w:rFonts w:ascii="宋体" w:hAnsi="宋体" w:cs="宋体"/>
                <w:color w:val="auto"/>
              </w:rPr>
            </w:pPr>
            <w:r>
              <w:rPr>
                <w:rFonts w:ascii="宋体" w:hAnsi="宋体" w:cs="宋体"/>
                <w:color w:val="auto"/>
                <w:spacing w:val="-20"/>
              </w:rPr>
              <w:t>内</w:t>
            </w:r>
            <w:r>
              <w:rPr>
                <w:rFonts w:ascii="宋体" w:hAnsi="宋体" w:cs="宋体"/>
                <w:color w:val="auto"/>
                <w:spacing w:val="-19"/>
              </w:rPr>
              <w:t>容</w:t>
            </w:r>
            <w:r>
              <w:rPr>
                <w:rFonts w:ascii="宋体" w:hAnsi="宋体" w:cs="宋体"/>
                <w:color w:val="auto"/>
                <w:spacing w:val="-4"/>
              </w:rPr>
              <w:t>要</w:t>
            </w:r>
            <w:r>
              <w:rPr>
                <w:rFonts w:ascii="宋体" w:hAnsi="宋体" w:cs="宋体"/>
                <w:color w:val="auto"/>
                <w:spacing w:val="-2"/>
              </w:rPr>
              <w:t>素</w:t>
            </w: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91" w:lineRule="exact"/>
              <w:ind w:left="107" w:firstLine="0" w:firstLineChars="0"/>
              <w:textAlignment w:val="auto"/>
              <w:rPr>
                <w:rFonts w:ascii="宋体" w:hAnsi="宋体" w:cs="宋体"/>
                <w:color w:val="auto"/>
              </w:rPr>
            </w:pPr>
            <w:r>
              <w:rPr>
                <w:rFonts w:ascii="宋体" w:hAnsi="宋体" w:cs="宋体"/>
                <w:color w:val="auto"/>
                <w:spacing w:val="24"/>
                <w:position w:val="2"/>
              </w:rPr>
              <w:t>排</w:t>
            </w:r>
            <w:r>
              <w:rPr>
                <w:rFonts w:ascii="宋体" w:hAnsi="宋体" w:cs="宋体"/>
                <w:color w:val="auto"/>
                <w:spacing w:val="21"/>
                <w:position w:val="2"/>
              </w:rPr>
              <w:t>放口</w:t>
            </w:r>
            <w:r>
              <w:rPr>
                <w:rFonts w:eastAsia="Times New Roman"/>
                <w:color w:val="auto"/>
                <w:spacing w:val="21"/>
                <w:position w:val="2"/>
              </w:rPr>
              <w:t>(</w:t>
            </w:r>
            <w:r>
              <w:rPr>
                <w:rFonts w:ascii="宋体" w:hAnsi="宋体" w:cs="宋体"/>
                <w:color w:val="auto"/>
                <w:spacing w:val="21"/>
                <w:position w:val="2"/>
              </w:rPr>
              <w:t>编号</w:t>
            </w:r>
          </w:p>
        </w:tc>
        <w:tc>
          <w:tcPr>
            <w:tcW w:w="17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left="253" w:firstLine="0" w:firstLineChars="0"/>
              <w:textAlignment w:val="auto"/>
              <w:rPr>
                <w:rFonts w:ascii="宋体" w:hAnsi="宋体" w:cs="宋体"/>
                <w:color w:val="auto"/>
              </w:rPr>
            </w:pPr>
            <w:r>
              <w:rPr>
                <w:rFonts w:ascii="宋体" w:hAnsi="宋体" w:cs="宋体"/>
                <w:color w:val="auto"/>
                <w:spacing w:val="-4"/>
              </w:rPr>
              <w:t>污</w:t>
            </w:r>
            <w:r>
              <w:rPr>
                <w:rFonts w:ascii="宋体" w:hAnsi="宋体" w:cs="宋体"/>
                <w:color w:val="auto"/>
                <w:spacing w:val="-2"/>
              </w:rPr>
              <w:t>染物项目</w:t>
            </w:r>
          </w:p>
        </w:tc>
        <w:tc>
          <w:tcPr>
            <w:tcW w:w="19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left="275" w:firstLine="0" w:firstLineChars="0"/>
              <w:textAlignment w:val="auto"/>
              <w:rPr>
                <w:rFonts w:ascii="宋体" w:hAnsi="宋体" w:cs="宋体"/>
                <w:color w:val="auto"/>
              </w:rPr>
            </w:pPr>
            <w:r>
              <w:rPr>
                <w:rFonts w:ascii="宋体" w:hAnsi="宋体" w:cs="宋体"/>
                <w:color w:val="auto"/>
                <w:spacing w:val="-2"/>
              </w:rPr>
              <w:t>环境</w:t>
            </w:r>
            <w:r>
              <w:rPr>
                <w:rFonts w:ascii="宋体" w:hAnsi="宋体" w:cs="宋体"/>
                <w:color w:val="auto"/>
                <w:spacing w:val="-1"/>
              </w:rPr>
              <w:t>保护措施</w:t>
            </w:r>
          </w:p>
        </w:tc>
        <w:tc>
          <w:tcPr>
            <w:tcW w:w="21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firstLine="0" w:firstLineChars="0"/>
              <w:textAlignment w:val="auto"/>
              <w:rPr>
                <w:rFonts w:ascii="宋体" w:hAnsi="宋体" w:cs="宋体"/>
                <w:color w:val="auto"/>
              </w:rPr>
            </w:pPr>
            <w:r>
              <w:rPr>
                <w:rFonts w:ascii="宋体" w:hAnsi="宋体" w:cs="宋体"/>
                <w:color w:val="auto"/>
                <w:spacing w:val="-2"/>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59" w:lineRule="auto"/>
              <w:ind w:left="178" w:firstLine="0" w:firstLineChars="0"/>
              <w:textAlignment w:val="auto"/>
              <w:rPr>
                <w:rFonts w:ascii="宋体" w:hAnsi="宋体" w:cs="宋体"/>
                <w:color w:val="auto"/>
              </w:rPr>
            </w:pPr>
            <w:r>
              <w:rPr>
                <w:rFonts w:ascii="宋体" w:hAnsi="宋体" w:cs="宋体"/>
                <w:color w:val="auto"/>
                <w:spacing w:val="9"/>
              </w:rPr>
              <w:t>名</w:t>
            </w:r>
            <w:r>
              <w:rPr>
                <w:rFonts w:ascii="宋体" w:hAnsi="宋体" w:cs="宋体"/>
                <w:color w:val="auto"/>
                <w:spacing w:val="6"/>
              </w:rPr>
              <w:t>称</w:t>
            </w:r>
            <w:r>
              <w:rPr>
                <w:rFonts w:eastAsia="Times New Roman"/>
                <w:color w:val="auto"/>
                <w:spacing w:val="6"/>
              </w:rPr>
              <w:t>)/</w:t>
            </w:r>
            <w:r>
              <w:rPr>
                <w:rFonts w:ascii="宋体" w:hAnsi="宋体" w:cs="宋体"/>
                <w:color w:val="auto"/>
                <w:spacing w:val="6"/>
              </w:rPr>
              <w:t>污染源</w:t>
            </w:r>
          </w:p>
        </w:tc>
        <w:tc>
          <w:tcPr>
            <w:tcW w:w="1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21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19" w:lineRule="auto"/>
              <w:ind w:firstLine="0" w:firstLineChars="0"/>
              <w:jc w:val="center"/>
              <w:textAlignment w:val="auto"/>
              <w:rPr>
                <w:rFonts w:ascii="宋体" w:hAnsi="宋体" w:cs="宋体"/>
                <w:color w:val="auto"/>
              </w:rPr>
            </w:pPr>
            <w:r>
              <w:rPr>
                <w:rFonts w:ascii="宋体" w:hAnsi="宋体" w:cs="宋体"/>
                <w:color w:val="auto"/>
                <w:spacing w:val="-4"/>
              </w:rPr>
              <w:t>大</w:t>
            </w:r>
            <w:r>
              <w:rPr>
                <w:rFonts w:ascii="宋体" w:hAnsi="宋体" w:cs="宋体"/>
                <w:color w:val="auto"/>
                <w:spacing w:val="-2"/>
              </w:rPr>
              <w:t>气环境</w:t>
            </w:r>
          </w:p>
        </w:tc>
        <w:tc>
          <w:tcPr>
            <w:tcW w:w="169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firstLine="0" w:firstLineChars="0"/>
              <w:textAlignment w:val="auto"/>
              <w:rPr>
                <w:rFonts w:ascii="宋体" w:hAnsi="宋体" w:cs="宋体"/>
                <w:color w:val="auto"/>
              </w:rPr>
            </w:pPr>
            <w:r>
              <w:rPr>
                <w:rFonts w:hint="eastAsia"/>
                <w:color w:val="auto"/>
              </w:rPr>
              <w:t>D</w:t>
            </w:r>
            <w:r>
              <w:rPr>
                <w:rFonts w:hint="eastAsia"/>
                <w:color w:val="auto"/>
                <w:lang w:val="en-US" w:eastAsia="zh-CN"/>
              </w:rPr>
              <w:t>A</w:t>
            </w:r>
            <w:r>
              <w:rPr>
                <w:rFonts w:hint="eastAsia"/>
                <w:color w:val="auto"/>
              </w:rPr>
              <w:t>00</w:t>
            </w:r>
            <w:r>
              <w:rPr>
                <w:rFonts w:hint="eastAsia"/>
                <w:color w:val="auto"/>
                <w:lang w:val="en-US" w:eastAsia="zh-CN"/>
              </w:rPr>
              <w:t>1</w:t>
            </w:r>
            <w:r>
              <w:rPr>
                <w:rFonts w:ascii="宋体" w:hAnsi="宋体" w:cs="宋体"/>
                <w:color w:val="auto"/>
                <w:spacing w:val="-1"/>
              </w:rPr>
              <w:t>骨料</w:t>
            </w:r>
            <w:r>
              <w:rPr>
                <w:rFonts w:hint="eastAsia" w:ascii="宋体" w:hAnsi="宋体" w:cs="宋体"/>
                <w:color w:val="auto"/>
                <w:spacing w:val="-1"/>
              </w:rPr>
              <w:t>烘干</w:t>
            </w:r>
            <w:r>
              <w:rPr>
                <w:rFonts w:ascii="宋体" w:hAnsi="宋体" w:cs="宋体"/>
                <w:color w:val="auto"/>
                <w:spacing w:val="-1"/>
              </w:rPr>
              <w:t>粉</w:t>
            </w:r>
            <w:r>
              <w:rPr>
                <w:rFonts w:ascii="宋体" w:hAnsi="宋体" w:cs="宋体"/>
                <w:color w:val="auto"/>
                <w:spacing w:val="-16"/>
              </w:rPr>
              <w:t>尘</w:t>
            </w:r>
            <w:r>
              <w:rPr>
                <w:rFonts w:ascii="宋体" w:hAnsi="宋体" w:cs="宋体"/>
                <w:color w:val="auto"/>
                <w:spacing w:val="-15"/>
              </w:rPr>
              <w:t>、</w:t>
            </w:r>
            <w:r>
              <w:rPr>
                <w:rFonts w:hint="eastAsia" w:ascii="宋体" w:hAnsi="宋体" w:cs="宋体"/>
                <w:color w:val="auto"/>
                <w:spacing w:val="-15"/>
                <w:lang w:val="en-US" w:eastAsia="zh-CN"/>
              </w:rPr>
              <w:t>沥青拌合、沥青搅拌桶、</w:t>
            </w:r>
            <w:r>
              <w:rPr>
                <w:rFonts w:ascii="宋体" w:hAnsi="宋体" w:cs="宋体"/>
                <w:color w:val="auto"/>
                <w:spacing w:val="-2"/>
              </w:rPr>
              <w:t>燃烧器烟</w:t>
            </w:r>
            <w:r>
              <w:rPr>
                <w:rFonts w:ascii="宋体" w:hAnsi="宋体" w:cs="宋体"/>
                <w:color w:val="auto"/>
                <w:spacing w:val="-1"/>
              </w:rPr>
              <w:t>气</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jc w:val="center"/>
              <w:textAlignment w:val="auto"/>
              <w:rPr>
                <w:rFonts w:ascii="宋体" w:hAnsi="宋体" w:cs="宋体"/>
                <w:color w:val="auto"/>
              </w:rPr>
            </w:pPr>
            <w:r>
              <w:rPr>
                <w:rFonts w:ascii="宋体" w:hAnsi="宋体" w:cs="宋体"/>
                <w:color w:val="auto"/>
                <w:spacing w:val="-2"/>
              </w:rPr>
              <w:t>颗粒物</w:t>
            </w:r>
          </w:p>
        </w:tc>
        <w:tc>
          <w:tcPr>
            <w:tcW w:w="19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51" w:lineRule="auto"/>
              <w:ind w:right="229" w:firstLine="0" w:firstLineChars="0"/>
              <w:jc w:val="center"/>
              <w:textAlignment w:val="auto"/>
              <w:rPr>
                <w:rFonts w:ascii="宋体" w:hAnsi="宋体" w:cs="宋体"/>
                <w:color w:val="auto"/>
              </w:rPr>
            </w:pPr>
            <w:r>
              <w:rPr>
                <w:rFonts w:hint="eastAsia" w:ascii="宋体" w:hAnsi="宋体" w:cs="宋体"/>
                <w:color w:val="auto"/>
                <w:spacing w:val="8"/>
              </w:rPr>
              <w:t>二级除尘</w:t>
            </w:r>
            <w:r>
              <w:rPr>
                <w:rFonts w:hint="eastAsia"/>
                <w:color w:val="auto"/>
                <w:spacing w:val="8"/>
              </w:rPr>
              <w:t>+</w:t>
            </w:r>
            <w:r>
              <w:rPr>
                <w:rFonts w:hint="eastAsia" w:ascii="宋体" w:hAnsi="宋体" w:cs="宋体"/>
                <w:color w:val="auto"/>
                <w:spacing w:val="8"/>
                <w:lang w:eastAsia="zh-CN"/>
              </w:rPr>
              <w:t>活性炭吸附</w:t>
            </w:r>
            <w:r>
              <w:rPr>
                <w:rFonts w:ascii="宋体" w:hAnsi="宋体" w:cs="宋体"/>
                <w:color w:val="auto"/>
                <w:spacing w:val="-2"/>
              </w:rPr>
              <w:t>装</w:t>
            </w:r>
            <w:r>
              <w:rPr>
                <w:rFonts w:ascii="宋体" w:hAnsi="宋体" w:cs="宋体"/>
                <w:color w:val="auto"/>
                <w:spacing w:val="-1"/>
              </w:rPr>
              <w:t>置</w:t>
            </w:r>
            <w:r>
              <w:rPr>
                <w:rFonts w:eastAsia="Times New Roman"/>
                <w:color w:val="auto"/>
                <w:spacing w:val="17"/>
              </w:rPr>
              <w:t>+</w:t>
            </w:r>
            <w:r>
              <w:rPr>
                <w:rFonts w:hint="eastAsia"/>
                <w:color w:val="auto"/>
                <w:spacing w:val="16"/>
                <w:lang w:val="en-US" w:eastAsia="zh-CN"/>
              </w:rPr>
              <w:t>15m</w:t>
            </w:r>
            <w:r>
              <w:rPr>
                <w:rFonts w:ascii="宋体" w:hAnsi="宋体" w:cs="宋体"/>
                <w:color w:val="auto"/>
                <w:spacing w:val="16"/>
              </w:rPr>
              <w:t>高排气筒</w:t>
            </w:r>
          </w:p>
        </w:tc>
        <w:tc>
          <w:tcPr>
            <w:tcW w:w="2163" w:type="dxa"/>
            <w:vMerge w:val="restart"/>
            <w:tcBorders>
              <w:tl2br w:val="nil"/>
              <w:tr2bl w:val="nil"/>
            </w:tcBorders>
            <w:vAlign w:val="center"/>
          </w:tcPr>
          <w:p>
            <w:pPr>
              <w:keepNext w:val="0"/>
              <w:keepLines w:val="0"/>
              <w:pageBreakBefore w:val="0"/>
              <w:widowControl w:val="0"/>
              <w:tabs>
                <w:tab w:val="left" w:pos="247"/>
              </w:tabs>
              <w:kinsoku/>
              <w:wordWrap/>
              <w:overflowPunct/>
              <w:topLinePunct w:val="0"/>
              <w:autoSpaceDE/>
              <w:autoSpaceDN/>
              <w:bidi w:val="0"/>
              <w:spacing w:line="219" w:lineRule="auto"/>
              <w:ind w:firstLine="0" w:firstLineChars="0"/>
              <w:jc w:val="center"/>
              <w:textAlignment w:val="auto"/>
              <w:rPr>
                <w:rFonts w:ascii="宋体" w:hAnsi="宋体" w:cs="宋体"/>
                <w:color w:val="auto"/>
              </w:rPr>
            </w:pPr>
            <w:r>
              <w:rPr>
                <w:rFonts w:ascii="宋体" w:hAnsi="宋体" w:cs="宋体"/>
                <w:color w:val="auto"/>
                <w:spacing w:val="-18"/>
              </w:rPr>
              <w:t>《</w:t>
            </w:r>
            <w:r>
              <w:rPr>
                <w:rFonts w:ascii="宋体" w:hAnsi="宋体" w:cs="宋体"/>
                <w:color w:val="auto"/>
                <w:spacing w:val="-16"/>
              </w:rPr>
              <w:t>大气污染物综合</w:t>
            </w:r>
            <w:r>
              <w:rPr>
                <w:rFonts w:ascii="宋体" w:hAnsi="宋体" w:cs="宋体"/>
                <w:color w:val="auto"/>
                <w:spacing w:val="-3"/>
              </w:rPr>
              <w:t>排放标准》</w:t>
            </w:r>
            <w:r>
              <w:rPr>
                <w:rFonts w:ascii="宋体" w:hAnsi="宋体" w:cs="宋体"/>
                <w:color w:val="auto"/>
                <w:spacing w:val="6"/>
              </w:rPr>
              <w:t>(</w:t>
            </w:r>
            <w:r>
              <w:rPr>
                <w:rFonts w:eastAsia="Times New Roman"/>
                <w:color w:val="auto"/>
              </w:rPr>
              <w:t>GB</w:t>
            </w:r>
            <w:r>
              <w:rPr>
                <w:rFonts w:eastAsia="Times New Roman"/>
                <w:color w:val="auto"/>
                <w:spacing w:val="3"/>
              </w:rPr>
              <w:t>16297- 1996</w:t>
            </w:r>
            <w:r>
              <w:rPr>
                <w:rFonts w:ascii="宋体" w:hAnsi="宋体" w:cs="宋体"/>
                <w:color w:val="auto"/>
                <w:spacing w:val="3"/>
              </w:rPr>
              <w:t>)</w:t>
            </w:r>
            <w:r>
              <w:rPr>
                <w:rFonts w:hint="eastAsia" w:ascii="Times New Roman" w:hAnsi="Times New Roman" w:eastAsia="宋体" w:cs="Times New Roman"/>
                <w:color w:val="auto"/>
              </w:rPr>
              <w:t>表2中二级排放标准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15" w:lineRule="auto"/>
              <w:ind w:left="491" w:firstLine="0" w:firstLineChars="0"/>
              <w:textAlignment w:val="auto"/>
              <w:rPr>
                <w:rFonts w:ascii="宋体" w:hAnsi="宋体" w:cs="宋体"/>
                <w:color w:val="auto"/>
              </w:rPr>
            </w:pPr>
            <w:r>
              <w:rPr>
                <w:rFonts w:eastAsia="Times New Roman"/>
                <w:color w:val="auto"/>
                <w:spacing w:val="-10"/>
              </w:rPr>
              <w:t>SO</w:t>
            </w:r>
            <w:r>
              <w:rPr>
                <w:rFonts w:eastAsia="Times New Roman"/>
                <w:color w:val="auto"/>
                <w:spacing w:val="-13"/>
                <w:position w:val="-1"/>
                <w:vertAlign w:val="subscript"/>
              </w:rPr>
              <w:t>2</w:t>
            </w:r>
          </w:p>
        </w:tc>
        <w:tc>
          <w:tcPr>
            <w:tcW w:w="1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59" w:lineRule="auto"/>
              <w:ind w:left="198" w:firstLine="0" w:firstLineChars="0"/>
              <w:textAlignment w:val="auto"/>
              <w:rPr>
                <w:rFonts w:ascii="宋体" w:hAnsi="宋体" w:cs="宋体"/>
                <w:color w:val="auto"/>
              </w:rPr>
            </w:pPr>
          </w:p>
        </w:tc>
        <w:tc>
          <w:tcPr>
            <w:tcW w:w="21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15" w:lineRule="auto"/>
              <w:ind w:left="491" w:firstLine="0" w:firstLineChars="0"/>
              <w:textAlignment w:val="auto"/>
              <w:rPr>
                <w:rFonts w:eastAsia="Times New Roman"/>
                <w:color w:val="auto"/>
                <w:spacing w:val="-10"/>
              </w:rPr>
            </w:pPr>
            <w:r>
              <w:rPr>
                <w:rFonts w:eastAsia="Times New Roman"/>
                <w:color w:val="auto"/>
                <w:spacing w:val="1"/>
              </w:rPr>
              <w:t>N</w:t>
            </w:r>
            <w:r>
              <w:rPr>
                <w:rFonts w:eastAsia="Times New Roman"/>
                <w:color w:val="auto"/>
              </w:rPr>
              <w:t>O</w:t>
            </w:r>
            <w:r>
              <w:rPr>
                <w:rFonts w:eastAsia="Times New Roman"/>
                <w:color w:val="auto"/>
                <w:position w:val="-1"/>
                <w:vertAlign w:val="subscript"/>
              </w:rPr>
              <w:t>X</w:t>
            </w:r>
          </w:p>
        </w:tc>
        <w:tc>
          <w:tcPr>
            <w:tcW w:w="1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59" w:lineRule="auto"/>
              <w:ind w:left="198" w:firstLine="0" w:firstLineChars="0"/>
              <w:textAlignment w:val="auto"/>
              <w:rPr>
                <w:rFonts w:ascii="宋体" w:hAnsi="宋体" w:cs="宋体"/>
                <w:color w:val="auto"/>
              </w:rPr>
            </w:pPr>
          </w:p>
        </w:tc>
        <w:tc>
          <w:tcPr>
            <w:tcW w:w="21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66" w:lineRule="auto"/>
              <w:ind w:left="362" w:firstLine="0" w:firstLineChars="0"/>
              <w:textAlignment w:val="auto"/>
              <w:rPr>
                <w:rFonts w:ascii="宋体" w:hAnsi="宋体" w:cs="宋体"/>
                <w:color w:val="auto"/>
              </w:rPr>
            </w:pPr>
            <w:r>
              <w:rPr>
                <w:rFonts w:ascii="宋体" w:hAnsi="宋体" w:cs="宋体"/>
                <w:color w:val="auto"/>
                <w:spacing w:val="-2"/>
              </w:rPr>
              <w:t>苯并</w:t>
            </w:r>
            <w:r>
              <w:rPr>
                <w:rFonts w:eastAsia="Times New Roman"/>
                <w:color w:val="auto"/>
                <w:spacing w:val="-2"/>
              </w:rPr>
              <w:t>[</w:t>
            </w:r>
            <w:r>
              <w:rPr>
                <w:rFonts w:eastAsia="Times New Roman"/>
                <w:color w:val="auto"/>
                <w:spacing w:val="-1"/>
              </w:rPr>
              <w:t>a</w:t>
            </w:r>
            <w:r>
              <w:rPr>
                <w:rFonts w:eastAsia="Times New Roman"/>
                <w:color w:val="auto"/>
                <w:spacing w:val="-2"/>
              </w:rPr>
              <w:t>]</w:t>
            </w:r>
            <w:r>
              <w:rPr>
                <w:rFonts w:ascii="宋体" w:hAnsi="宋体" w:cs="宋体"/>
                <w:color w:val="auto"/>
                <w:spacing w:val="-2"/>
              </w:rPr>
              <w:t>芘</w:t>
            </w:r>
          </w:p>
        </w:tc>
        <w:tc>
          <w:tcPr>
            <w:tcW w:w="1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21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firstLine="0" w:firstLineChars="0"/>
              <w:jc w:val="center"/>
              <w:textAlignment w:val="auto"/>
              <w:rPr>
                <w:rFonts w:eastAsia="Times New Roman"/>
                <w:color w:val="auto"/>
              </w:rPr>
            </w:pPr>
            <w:r>
              <w:rPr>
                <w:rFonts w:hint="eastAsia" w:ascii="宋体" w:hAnsi="宋体" w:eastAsia="宋体" w:cs="宋体"/>
                <w:color w:val="auto"/>
                <w:spacing w:val="-2"/>
                <w:lang w:val="en-US" w:eastAsia="zh-CN"/>
              </w:rPr>
              <w:t>非甲烷总烃</w:t>
            </w:r>
          </w:p>
        </w:tc>
        <w:tc>
          <w:tcPr>
            <w:tcW w:w="19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1" w:lineRule="auto"/>
              <w:ind w:left="521" w:right="229" w:firstLine="0" w:firstLineChars="0"/>
              <w:textAlignment w:val="auto"/>
              <w:rPr>
                <w:rFonts w:ascii="宋体" w:hAnsi="宋体" w:cs="宋体"/>
                <w:color w:val="auto"/>
              </w:rPr>
            </w:pPr>
          </w:p>
        </w:tc>
        <w:tc>
          <w:tcPr>
            <w:tcW w:w="21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54" w:lineRule="auto"/>
              <w:ind w:right="108" w:firstLine="0" w:firstLineChars="0"/>
              <w:textAlignment w:val="auto"/>
              <w:rPr>
                <w:rFonts w:ascii="宋体" w:hAnsi="宋体" w:cs="宋体"/>
                <w:color w:val="auto"/>
              </w:rPr>
            </w:pPr>
            <w:r>
              <w:rPr>
                <w:rFonts w:hint="eastAsia"/>
                <w:color w:val="auto"/>
              </w:rPr>
              <w:t>D</w:t>
            </w:r>
            <w:r>
              <w:rPr>
                <w:rFonts w:hint="eastAsia"/>
                <w:color w:val="auto"/>
                <w:lang w:val="en-US" w:eastAsia="zh-CN"/>
              </w:rPr>
              <w:t>A</w:t>
            </w:r>
            <w:r>
              <w:rPr>
                <w:rFonts w:hint="eastAsia"/>
                <w:color w:val="auto"/>
              </w:rPr>
              <w:t>00</w:t>
            </w:r>
            <w:r>
              <w:rPr>
                <w:rFonts w:hint="eastAsia"/>
                <w:color w:val="auto"/>
                <w:lang w:val="en-US" w:eastAsia="zh-CN"/>
              </w:rPr>
              <w:t>2</w:t>
            </w:r>
            <w:r>
              <w:rPr>
                <w:rFonts w:ascii="宋体" w:hAnsi="宋体" w:cs="宋体"/>
                <w:color w:val="auto"/>
                <w:spacing w:val="-1"/>
              </w:rPr>
              <w:t>导热油</w:t>
            </w:r>
            <w:r>
              <w:rPr>
                <w:rFonts w:ascii="宋体" w:hAnsi="宋体" w:cs="宋体"/>
                <w:color w:val="auto"/>
                <w:spacing w:val="-5"/>
              </w:rPr>
              <w:t>炉</w:t>
            </w:r>
            <w:r>
              <w:rPr>
                <w:rFonts w:ascii="宋体" w:hAnsi="宋体" w:cs="宋体"/>
                <w:color w:val="auto"/>
                <w:spacing w:val="-4"/>
              </w:rPr>
              <w:t>烟气</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60" w:lineRule="auto"/>
              <w:ind w:right="180" w:firstLine="0" w:firstLineChars="0"/>
              <w:textAlignment w:val="auto"/>
              <w:rPr>
                <w:rFonts w:eastAsia="Times New Roman"/>
                <w:color w:val="auto"/>
              </w:rPr>
            </w:pPr>
            <w:r>
              <w:rPr>
                <w:rFonts w:ascii="宋体" w:hAnsi="宋体" w:cs="宋体"/>
                <w:color w:val="auto"/>
                <w:spacing w:val="-20"/>
              </w:rPr>
              <w:t>颗</w:t>
            </w:r>
            <w:r>
              <w:rPr>
                <w:rFonts w:ascii="宋体" w:hAnsi="宋体" w:cs="宋体"/>
                <w:color w:val="auto"/>
                <w:spacing w:val="-16"/>
              </w:rPr>
              <w:t>粒物、</w:t>
            </w:r>
            <w:r>
              <w:rPr>
                <w:rFonts w:eastAsia="Times New Roman"/>
                <w:color w:val="auto"/>
                <w:spacing w:val="-16"/>
              </w:rPr>
              <w:t>SO</w:t>
            </w:r>
            <w:r>
              <w:rPr>
                <w:rFonts w:eastAsia="Times New Roman"/>
                <w:color w:val="auto"/>
                <w:spacing w:val="-16"/>
                <w:position w:val="-1"/>
                <w:vertAlign w:val="subscript"/>
              </w:rPr>
              <w:t>2</w:t>
            </w:r>
            <w:r>
              <w:rPr>
                <w:rFonts w:eastAsia="Times New Roman"/>
                <w:color w:val="auto"/>
                <w:position w:val="-1"/>
              </w:rPr>
              <w:t xml:space="preserve"> </w:t>
            </w:r>
            <w:r>
              <w:rPr>
                <w:rFonts w:eastAsia="Times New Roman"/>
                <w:color w:val="auto"/>
              </w:rPr>
              <w:t>NOx</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57" w:lineRule="auto"/>
              <w:ind w:right="169" w:firstLine="0" w:firstLineChars="0"/>
              <w:textAlignment w:val="auto"/>
              <w:rPr>
                <w:rFonts w:ascii="宋体" w:hAnsi="宋体" w:cs="宋体"/>
                <w:color w:val="auto"/>
              </w:rPr>
            </w:pPr>
            <w:r>
              <w:rPr>
                <w:rFonts w:hint="eastAsia"/>
                <w:color w:val="auto"/>
                <w:spacing w:val="-1"/>
                <w:lang w:val="en-US" w:eastAsia="zh-CN"/>
              </w:rPr>
              <w:t>布袋除尘器+</w:t>
            </w:r>
            <w:r>
              <w:rPr>
                <w:rFonts w:hint="eastAsia"/>
                <w:color w:val="auto"/>
                <w:spacing w:val="-1"/>
              </w:rPr>
              <w:t>低氮燃烧+</w:t>
            </w:r>
            <w:r>
              <w:rPr>
                <w:rFonts w:hint="eastAsia"/>
                <w:color w:val="auto"/>
                <w:spacing w:val="-1"/>
                <w:lang w:val="en-US" w:eastAsia="zh-CN"/>
              </w:rPr>
              <w:t>15m</w:t>
            </w:r>
            <w:r>
              <w:rPr>
                <w:rFonts w:ascii="宋体" w:hAnsi="宋体" w:cs="宋体"/>
                <w:color w:val="auto"/>
                <w:spacing w:val="-3"/>
              </w:rPr>
              <w:t>高排气筒</w:t>
            </w:r>
          </w:p>
        </w:tc>
        <w:tc>
          <w:tcPr>
            <w:tcW w:w="2163" w:type="dxa"/>
            <w:tcBorders>
              <w:tl2br w:val="nil"/>
              <w:tr2bl w:val="nil"/>
            </w:tcBorders>
            <w:vAlign w:val="center"/>
          </w:tcPr>
          <w:p>
            <w:pPr>
              <w:keepNext w:val="0"/>
              <w:keepLines w:val="0"/>
              <w:pageBreakBefore w:val="0"/>
              <w:widowControl w:val="0"/>
              <w:tabs>
                <w:tab w:val="left" w:pos="247"/>
              </w:tabs>
              <w:kinsoku/>
              <w:wordWrap/>
              <w:overflowPunct/>
              <w:topLinePunct w:val="0"/>
              <w:autoSpaceDE/>
              <w:autoSpaceDN/>
              <w:bidi w:val="0"/>
              <w:spacing w:line="219" w:lineRule="auto"/>
              <w:ind w:left="118" w:firstLine="0" w:firstLineChars="0"/>
              <w:textAlignment w:val="auto"/>
              <w:rPr>
                <w:rFonts w:ascii="宋体" w:hAnsi="宋体" w:cs="宋体"/>
                <w:color w:val="auto"/>
              </w:rPr>
            </w:pPr>
            <w:r>
              <w:rPr>
                <w:rFonts w:ascii="宋体" w:hAnsi="宋体" w:cs="宋体"/>
                <w:color w:val="auto"/>
                <w:spacing w:val="-20"/>
              </w:rPr>
              <w:t>《</w:t>
            </w:r>
            <w:r>
              <w:rPr>
                <w:rFonts w:ascii="宋体" w:hAnsi="宋体" w:cs="宋体"/>
                <w:color w:val="auto"/>
                <w:spacing w:val="-15"/>
              </w:rPr>
              <w:t>锅炉大气污染物</w:t>
            </w:r>
            <w:r>
              <w:rPr>
                <w:rFonts w:ascii="宋体" w:hAnsi="宋体" w:cs="宋体"/>
                <w:color w:val="auto"/>
                <w:spacing w:val="-3"/>
              </w:rPr>
              <w:t>排放标准》</w:t>
            </w:r>
            <w:r>
              <w:rPr>
                <w:rFonts w:ascii="宋体" w:hAnsi="宋体" w:cs="宋体"/>
                <w:color w:val="auto"/>
              </w:rPr>
              <w:tab/>
            </w:r>
            <w:r>
              <w:rPr>
                <w:rFonts w:ascii="宋体" w:hAnsi="宋体" w:cs="宋体"/>
                <w:color w:val="auto"/>
                <w:spacing w:val="6"/>
              </w:rPr>
              <w:t>(</w:t>
            </w:r>
            <w:r>
              <w:rPr>
                <w:rFonts w:eastAsia="Times New Roman"/>
                <w:color w:val="auto"/>
              </w:rPr>
              <w:t>GB</w:t>
            </w:r>
            <w:r>
              <w:rPr>
                <w:rFonts w:eastAsia="Times New Roman"/>
                <w:color w:val="auto"/>
                <w:spacing w:val="4"/>
              </w:rPr>
              <w:t>13271-2014</w:t>
            </w:r>
            <w:r>
              <w:rPr>
                <w:rFonts w:ascii="宋体" w:hAnsi="宋体" w:cs="宋体"/>
                <w:color w:val="auto"/>
                <w:spacing w:val="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27" w:lineRule="auto"/>
              <w:ind w:right="108" w:firstLine="0" w:firstLineChars="0"/>
              <w:textAlignment w:val="auto"/>
              <w:rPr>
                <w:rFonts w:hint="eastAsia" w:ascii="宋体" w:hAnsi="宋体" w:eastAsia="宋体" w:cs="宋体"/>
                <w:color w:val="auto"/>
                <w:lang w:val="en-US" w:eastAsia="zh-CN"/>
              </w:rPr>
            </w:pPr>
            <w:r>
              <w:rPr>
                <w:rFonts w:hint="eastAsia"/>
                <w:color w:val="auto"/>
              </w:rPr>
              <w:t>D</w:t>
            </w:r>
            <w:r>
              <w:rPr>
                <w:rFonts w:hint="eastAsia"/>
                <w:color w:val="auto"/>
                <w:lang w:val="en-US" w:eastAsia="zh-CN"/>
              </w:rPr>
              <w:t>A</w:t>
            </w:r>
            <w:r>
              <w:rPr>
                <w:rFonts w:hint="eastAsia"/>
                <w:color w:val="auto"/>
              </w:rPr>
              <w:t>00</w:t>
            </w:r>
            <w:r>
              <w:rPr>
                <w:rFonts w:hint="eastAsia"/>
                <w:color w:val="auto"/>
                <w:lang w:val="en-US" w:eastAsia="zh-CN"/>
              </w:rPr>
              <w:t>1</w:t>
            </w:r>
            <w:r>
              <w:rPr>
                <w:rFonts w:ascii="宋体" w:hAnsi="宋体" w:cs="宋体"/>
                <w:color w:val="auto"/>
                <w:spacing w:val="-1"/>
              </w:rPr>
              <w:t>筒仓</w:t>
            </w:r>
            <w:r>
              <w:rPr>
                <w:rFonts w:hint="eastAsia" w:ascii="宋体" w:hAnsi="宋体" w:cs="宋体"/>
                <w:color w:val="auto"/>
                <w:spacing w:val="-1"/>
                <w:lang w:val="en-US" w:eastAsia="zh-CN"/>
              </w:rPr>
              <w:t>废气</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left="490" w:firstLine="0" w:firstLineChars="0"/>
              <w:textAlignment w:val="auto"/>
              <w:rPr>
                <w:rFonts w:ascii="宋体" w:hAnsi="宋体" w:cs="宋体"/>
                <w:color w:val="auto"/>
              </w:rPr>
            </w:pPr>
            <w:r>
              <w:rPr>
                <w:rFonts w:ascii="宋体" w:hAnsi="宋体" w:cs="宋体"/>
                <w:color w:val="auto"/>
                <w:spacing w:val="-2"/>
              </w:rPr>
              <w:t>颗粒物</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19" w:lineRule="auto"/>
              <w:ind w:firstLine="0" w:firstLineChars="0"/>
              <w:textAlignment w:val="auto"/>
              <w:rPr>
                <w:rFonts w:ascii="宋体" w:hAnsi="宋体" w:cs="宋体"/>
                <w:color w:val="auto"/>
              </w:rPr>
            </w:pPr>
            <w:r>
              <w:rPr>
                <w:rFonts w:ascii="宋体" w:hAnsi="宋体" w:cs="宋体"/>
                <w:color w:val="auto"/>
                <w:spacing w:val="16"/>
              </w:rPr>
              <w:t>仓</w:t>
            </w:r>
            <w:r>
              <w:rPr>
                <w:rFonts w:hint="eastAsia" w:ascii="宋体" w:hAnsi="宋体" w:cs="宋体"/>
                <w:color w:val="auto"/>
                <w:spacing w:val="16"/>
                <w:lang w:val="en-US" w:eastAsia="zh-CN"/>
              </w:rPr>
              <w:t>顶</w:t>
            </w:r>
            <w:r>
              <w:rPr>
                <w:rFonts w:ascii="宋体" w:hAnsi="宋体" w:cs="宋体"/>
                <w:color w:val="auto"/>
                <w:spacing w:val="16"/>
              </w:rPr>
              <w:t>除尘器(</w:t>
            </w:r>
            <w:r>
              <w:rPr>
                <w:rFonts w:ascii="宋体" w:hAnsi="宋体" w:cs="宋体"/>
                <w:color w:val="auto"/>
                <w:spacing w:val="15"/>
              </w:rPr>
              <w:t>布</w:t>
            </w:r>
            <w:r>
              <w:rPr>
                <w:rFonts w:ascii="宋体" w:hAnsi="宋体" w:cs="宋体"/>
                <w:color w:val="auto"/>
                <w:spacing w:val="-8"/>
              </w:rPr>
              <w:t>袋</w:t>
            </w:r>
            <w:r>
              <w:rPr>
                <w:rFonts w:ascii="宋体" w:hAnsi="宋体" w:cs="宋体"/>
                <w:color w:val="auto"/>
                <w:spacing w:val="-6"/>
              </w:rPr>
              <w:t>除尘)</w:t>
            </w:r>
          </w:p>
        </w:tc>
        <w:tc>
          <w:tcPr>
            <w:tcW w:w="2163" w:type="dxa"/>
            <w:tcBorders>
              <w:tl2br w:val="nil"/>
              <w:tr2bl w:val="nil"/>
            </w:tcBorders>
            <w:vAlign w:val="center"/>
          </w:tcPr>
          <w:p>
            <w:pPr>
              <w:keepNext w:val="0"/>
              <w:keepLines w:val="0"/>
              <w:pageBreakBefore w:val="0"/>
              <w:widowControl w:val="0"/>
              <w:tabs>
                <w:tab w:val="left" w:pos="247"/>
              </w:tabs>
              <w:kinsoku/>
              <w:wordWrap/>
              <w:overflowPunct/>
              <w:topLinePunct w:val="0"/>
              <w:autoSpaceDE/>
              <w:autoSpaceDN/>
              <w:bidi w:val="0"/>
              <w:spacing w:line="219" w:lineRule="auto"/>
              <w:ind w:firstLine="0" w:firstLineChars="0"/>
              <w:textAlignment w:val="auto"/>
              <w:rPr>
                <w:rFonts w:ascii="宋体" w:hAnsi="宋体" w:cs="宋体"/>
                <w:color w:val="auto"/>
              </w:rPr>
            </w:pPr>
            <w:r>
              <w:rPr>
                <w:rFonts w:ascii="宋体" w:hAnsi="宋体" w:cs="宋体"/>
                <w:color w:val="auto"/>
                <w:spacing w:val="-18"/>
              </w:rPr>
              <w:t>《</w:t>
            </w:r>
            <w:r>
              <w:rPr>
                <w:rFonts w:ascii="宋体" w:hAnsi="宋体" w:cs="宋体"/>
                <w:color w:val="auto"/>
                <w:spacing w:val="-16"/>
              </w:rPr>
              <w:t>大气污染物综合</w:t>
            </w:r>
            <w:r>
              <w:rPr>
                <w:rFonts w:ascii="宋体" w:hAnsi="宋体" w:cs="宋体"/>
                <w:color w:val="auto"/>
                <w:spacing w:val="-3"/>
              </w:rPr>
              <w:t>排放标准》</w:t>
            </w:r>
            <w:r>
              <w:rPr>
                <w:rFonts w:ascii="宋体" w:hAnsi="宋体" w:cs="宋体"/>
                <w:color w:val="auto"/>
                <w:spacing w:val="6"/>
              </w:rPr>
              <w:t>(</w:t>
            </w:r>
            <w:r>
              <w:rPr>
                <w:rFonts w:eastAsia="Times New Roman"/>
                <w:color w:val="auto"/>
              </w:rPr>
              <w:t>GB</w:t>
            </w:r>
            <w:r>
              <w:rPr>
                <w:rFonts w:eastAsia="Times New Roman"/>
                <w:color w:val="auto"/>
                <w:spacing w:val="3"/>
              </w:rPr>
              <w:t>16297- 1996</w:t>
            </w:r>
            <w:r>
              <w:rPr>
                <w:rFonts w:ascii="宋体" w:hAnsi="宋体" w:cs="宋体"/>
                <w:color w:val="auto"/>
                <w:spacing w:val="3"/>
              </w:rPr>
              <w:t>)</w:t>
            </w:r>
            <w:r>
              <w:rPr>
                <w:rFonts w:hint="eastAsia" w:ascii="Times New Roman" w:hAnsi="Times New Roman" w:eastAsia="宋体" w:cs="Times New Roman"/>
                <w:color w:val="auto"/>
              </w:rPr>
              <w:t>表2中二级排放标准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2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70" w:lineRule="auto"/>
              <w:ind w:firstLine="0" w:firstLineChars="0"/>
              <w:textAlignment w:val="auto"/>
              <w:rPr>
                <w:rFonts w:ascii="宋体" w:hAnsi="宋体" w:cs="宋体"/>
                <w:color w:val="auto"/>
              </w:rPr>
            </w:pPr>
            <w:r>
              <w:rPr>
                <w:rFonts w:ascii="宋体" w:hAnsi="宋体" w:cs="宋体"/>
                <w:color w:val="auto"/>
                <w:spacing w:val="-2"/>
              </w:rPr>
              <w:t>厂界</w:t>
            </w:r>
            <w:r>
              <w:rPr>
                <w:rFonts w:eastAsia="Times New Roman"/>
                <w:color w:val="auto"/>
                <w:spacing w:val="-1"/>
              </w:rPr>
              <w:t>/</w:t>
            </w:r>
            <w:r>
              <w:rPr>
                <w:rFonts w:ascii="宋体" w:hAnsi="宋体" w:cs="宋体"/>
                <w:color w:val="auto"/>
                <w:spacing w:val="-1"/>
              </w:rPr>
              <w:t>无组织</w:t>
            </w:r>
            <w:r>
              <w:rPr>
                <w:rFonts w:ascii="宋体" w:hAnsi="宋体" w:cs="宋体"/>
                <w:color w:val="auto"/>
                <w:spacing w:val="-2"/>
              </w:rPr>
              <w:t>粉</w:t>
            </w:r>
            <w:r>
              <w:rPr>
                <w:rFonts w:ascii="宋体" w:hAnsi="宋体" w:cs="宋体"/>
                <w:color w:val="auto"/>
                <w:spacing w:val="-1"/>
              </w:rPr>
              <w:t>尘、挥发性</w:t>
            </w:r>
            <w:r>
              <w:rPr>
                <w:rFonts w:ascii="宋体" w:hAnsi="宋体" w:cs="宋体"/>
                <w:color w:val="auto"/>
                <w:spacing w:val="-3"/>
              </w:rPr>
              <w:t>有</w:t>
            </w:r>
            <w:r>
              <w:rPr>
                <w:rFonts w:ascii="宋体" w:hAnsi="宋体" w:cs="宋体"/>
                <w:color w:val="auto"/>
                <w:spacing w:val="-2"/>
              </w:rPr>
              <w:t>机物</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firstLine="0" w:firstLineChars="0"/>
              <w:jc w:val="center"/>
              <w:textAlignment w:val="auto"/>
              <w:rPr>
                <w:rFonts w:hint="eastAsia" w:ascii="宋体" w:hAnsi="宋体" w:eastAsia="宋体" w:cs="宋体"/>
                <w:color w:val="auto"/>
                <w:lang w:eastAsia="zh-CN"/>
              </w:rPr>
            </w:pPr>
            <w:r>
              <w:rPr>
                <w:rFonts w:ascii="宋体" w:hAnsi="宋体" w:cs="宋体"/>
                <w:color w:val="auto"/>
                <w:spacing w:val="-2"/>
              </w:rPr>
              <w:t>颗粒物</w:t>
            </w:r>
            <w:r>
              <w:rPr>
                <w:rFonts w:hint="eastAsia" w:ascii="宋体" w:hAnsi="宋体" w:cs="宋体"/>
                <w:color w:val="auto"/>
                <w:spacing w:val="-2"/>
                <w:lang w:eastAsia="zh-CN"/>
              </w:rPr>
              <w:t>、</w:t>
            </w:r>
            <w:r>
              <w:rPr>
                <w:rFonts w:ascii="宋体" w:hAnsi="宋体" w:cs="宋体"/>
                <w:color w:val="auto"/>
                <w:spacing w:val="-2"/>
              </w:rPr>
              <w:t>苯并</w:t>
            </w:r>
            <w:r>
              <w:rPr>
                <w:rFonts w:eastAsia="Times New Roman"/>
                <w:color w:val="auto"/>
                <w:spacing w:val="-2"/>
              </w:rPr>
              <w:t>[</w:t>
            </w:r>
            <w:r>
              <w:rPr>
                <w:rFonts w:eastAsia="Times New Roman"/>
                <w:color w:val="auto"/>
                <w:spacing w:val="-1"/>
              </w:rPr>
              <w:t>a</w:t>
            </w:r>
            <w:r>
              <w:rPr>
                <w:rFonts w:eastAsia="Times New Roman"/>
                <w:color w:val="auto"/>
                <w:spacing w:val="-2"/>
              </w:rPr>
              <w:t>]</w:t>
            </w:r>
            <w:r>
              <w:rPr>
                <w:rFonts w:ascii="宋体" w:hAnsi="宋体" w:cs="宋体"/>
                <w:color w:val="auto"/>
                <w:spacing w:val="-2"/>
              </w:rPr>
              <w:t>芘</w:t>
            </w:r>
            <w:r>
              <w:rPr>
                <w:rFonts w:hint="eastAsia" w:ascii="宋体" w:hAnsi="宋体" w:cs="宋体"/>
                <w:color w:val="auto"/>
                <w:spacing w:val="-2"/>
                <w:lang w:eastAsia="zh-CN"/>
              </w:rPr>
              <w:t>、</w:t>
            </w:r>
            <w:r>
              <w:rPr>
                <w:rFonts w:hint="eastAsia" w:ascii="宋体" w:hAnsi="宋体" w:eastAsia="宋体" w:cs="宋体"/>
                <w:color w:val="auto"/>
                <w:spacing w:val="-2"/>
                <w:lang w:val="en-US" w:eastAsia="zh-CN"/>
              </w:rPr>
              <w:t>非甲烷总烃</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30" w:lineRule="auto"/>
              <w:ind w:right="148" w:firstLine="0" w:firstLineChars="0"/>
              <w:textAlignment w:val="auto"/>
              <w:rPr>
                <w:rFonts w:hint="eastAsia" w:ascii="宋体" w:hAnsi="宋体" w:eastAsia="宋体" w:cs="宋体"/>
                <w:color w:val="auto"/>
                <w:lang w:eastAsia="zh-CN"/>
              </w:rPr>
            </w:pPr>
            <w:r>
              <w:rPr>
                <w:rFonts w:hint="eastAsia" w:cs="宋体"/>
                <w:color w:val="auto"/>
                <w:spacing w:val="-4"/>
                <w:sz w:val="21"/>
                <w:szCs w:val="21"/>
                <w:lang w:val="en-US" w:eastAsia="zh-CN"/>
              </w:rPr>
              <w:t>骨料堆场利用</w:t>
            </w:r>
            <w:r>
              <w:rPr>
                <w:rFonts w:hint="eastAsia" w:ascii="宋体" w:hAnsi="宋体" w:eastAsia="宋体" w:cs="宋体"/>
                <w:strike w:val="0"/>
                <w:dstrike w:val="0"/>
                <w:color w:val="auto"/>
                <w:sz w:val="21"/>
                <w:szCs w:val="21"/>
                <w:lang w:val="en-US" w:eastAsia="zh-CN"/>
              </w:rPr>
              <w:t>不低于堆放物高度（2.5m）的严密围挡,并采用</w:t>
            </w:r>
            <w:r>
              <w:rPr>
                <w:rFonts w:hint="eastAsia" w:cs="宋体"/>
                <w:color w:val="auto"/>
                <w:spacing w:val="-1"/>
                <w:sz w:val="21"/>
                <w:szCs w:val="21"/>
                <w:lang w:val="en-US" w:eastAsia="zh-CN"/>
              </w:rPr>
              <w:t>定期洒水降尘</w:t>
            </w:r>
            <w:r>
              <w:rPr>
                <w:rFonts w:ascii="宋体" w:hAnsi="宋体" w:cs="宋体"/>
                <w:color w:val="auto"/>
                <w:spacing w:val="-2"/>
              </w:rPr>
              <w:t>，</w:t>
            </w:r>
            <w:r>
              <w:rPr>
                <w:rFonts w:ascii="宋体" w:hAnsi="宋体" w:cs="宋体"/>
                <w:color w:val="auto"/>
                <w:spacing w:val="-1"/>
              </w:rPr>
              <w:t>降低</w:t>
            </w:r>
            <w:r>
              <w:rPr>
                <w:rFonts w:ascii="宋体" w:hAnsi="宋体" w:cs="宋体"/>
                <w:color w:val="auto"/>
                <w:spacing w:val="-17"/>
              </w:rPr>
              <w:t>装</w:t>
            </w:r>
            <w:r>
              <w:rPr>
                <w:rFonts w:ascii="宋体" w:hAnsi="宋体" w:cs="宋体"/>
                <w:color w:val="auto"/>
                <w:spacing w:val="-16"/>
              </w:rPr>
              <w:t>载落差，密封</w:t>
            </w:r>
            <w:r>
              <w:rPr>
                <w:rFonts w:ascii="宋体" w:hAnsi="宋体" w:cs="宋体"/>
                <w:color w:val="auto"/>
                <w:spacing w:val="-2"/>
              </w:rPr>
              <w:t>输送</w:t>
            </w:r>
            <w:r>
              <w:rPr>
                <w:rFonts w:ascii="宋体" w:hAnsi="宋体" w:cs="宋体"/>
                <w:color w:val="auto"/>
                <w:spacing w:val="-1"/>
              </w:rPr>
              <w:t>设备，避免</w:t>
            </w:r>
            <w:r>
              <w:rPr>
                <w:rFonts w:ascii="宋体" w:hAnsi="宋体" w:cs="宋体"/>
                <w:color w:val="auto"/>
                <w:spacing w:val="-2"/>
              </w:rPr>
              <w:t>大风</w:t>
            </w:r>
            <w:r>
              <w:rPr>
                <w:rFonts w:ascii="宋体" w:hAnsi="宋体" w:cs="宋体"/>
                <w:color w:val="auto"/>
                <w:spacing w:val="-1"/>
              </w:rPr>
              <w:t>天气作业等</w:t>
            </w:r>
            <w:r>
              <w:rPr>
                <w:rFonts w:hint="eastAsia" w:ascii="宋体" w:hAnsi="宋体" w:cs="宋体"/>
                <w:color w:val="auto"/>
                <w:spacing w:val="-1"/>
                <w:lang w:eastAsia="zh-CN"/>
              </w:rPr>
              <w:t>。</w:t>
            </w:r>
          </w:p>
        </w:tc>
        <w:tc>
          <w:tcPr>
            <w:tcW w:w="2163" w:type="dxa"/>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textAlignment w:val="auto"/>
              <w:rPr>
                <w:rFonts w:ascii="Arial"/>
                <w:color w:val="auto"/>
              </w:rPr>
            </w:pPr>
            <w:r>
              <w:rPr>
                <w:rFonts w:ascii="宋体" w:hAnsi="宋体" w:cs="宋体"/>
                <w:color w:val="auto"/>
                <w:spacing w:val="-18"/>
              </w:rPr>
              <w:t>《</w:t>
            </w:r>
            <w:r>
              <w:rPr>
                <w:rFonts w:ascii="宋体" w:hAnsi="宋体" w:cs="宋体"/>
                <w:color w:val="auto"/>
                <w:spacing w:val="-16"/>
              </w:rPr>
              <w:t>大气污染物综合</w:t>
            </w:r>
            <w:r>
              <w:rPr>
                <w:rFonts w:ascii="宋体" w:hAnsi="宋体" w:cs="宋体"/>
                <w:color w:val="auto"/>
                <w:spacing w:val="-3"/>
              </w:rPr>
              <w:t>排放标准》</w:t>
            </w:r>
            <w:r>
              <w:rPr>
                <w:rFonts w:ascii="宋体" w:hAnsi="宋体" w:cs="宋体"/>
                <w:color w:val="auto"/>
                <w:spacing w:val="6"/>
              </w:rPr>
              <w:t>(</w:t>
            </w:r>
            <w:r>
              <w:rPr>
                <w:rFonts w:eastAsia="Times New Roman"/>
                <w:color w:val="auto"/>
              </w:rPr>
              <w:t>GB</w:t>
            </w:r>
            <w:r>
              <w:rPr>
                <w:rFonts w:eastAsia="Times New Roman"/>
                <w:color w:val="auto"/>
                <w:spacing w:val="3"/>
              </w:rPr>
              <w:t>16297- 1996</w:t>
            </w:r>
            <w:r>
              <w:rPr>
                <w:rFonts w:ascii="宋体" w:hAnsi="宋体" w:cs="宋体"/>
                <w:color w:val="auto"/>
                <w:spacing w:val="3"/>
              </w:rPr>
              <w:t>)</w:t>
            </w:r>
            <w:r>
              <w:rPr>
                <w:rFonts w:hint="eastAsia" w:ascii="Times New Roman" w:hAnsi="Times New Roman" w:eastAsia="宋体" w:cs="Times New Roman"/>
                <w:color w:val="auto"/>
              </w:rPr>
              <w:t>表2中二级排放标准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26" w:lineRule="auto"/>
              <w:ind w:right="156" w:firstLine="0" w:firstLineChars="0"/>
              <w:jc w:val="center"/>
              <w:textAlignment w:val="auto"/>
              <w:rPr>
                <w:rFonts w:ascii="宋体" w:hAnsi="宋体" w:cs="宋体"/>
                <w:color w:val="auto"/>
              </w:rPr>
            </w:pPr>
            <w:r>
              <w:rPr>
                <w:rFonts w:ascii="宋体" w:hAnsi="宋体" w:cs="宋体"/>
                <w:color w:val="auto"/>
                <w:spacing w:val="-4"/>
              </w:rPr>
              <w:t>地</w:t>
            </w:r>
            <w:r>
              <w:rPr>
                <w:rFonts w:ascii="宋体" w:hAnsi="宋体" w:cs="宋体"/>
                <w:color w:val="auto"/>
                <w:spacing w:val="-2"/>
              </w:rPr>
              <w:t>表水环</w:t>
            </w:r>
            <w:r>
              <w:rPr>
                <w:rFonts w:ascii="宋体" w:hAnsi="宋体" w:cs="宋体"/>
                <w:color w:val="auto"/>
              </w:rPr>
              <w:t xml:space="preserve"> 境</w:t>
            </w: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lang w:val="en-US" w:eastAsia="zh-CN"/>
              </w:rPr>
            </w:pPr>
            <w:r>
              <w:rPr>
                <w:rFonts w:hint="eastAsia"/>
                <w:color w:val="auto"/>
                <w:sz w:val="21"/>
                <w:szCs w:val="21"/>
                <w:lang w:val="en-US" w:eastAsia="zh-CN"/>
              </w:rPr>
              <w:t>生产废水</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cs="宋体"/>
                <w:color w:val="auto"/>
                <w:sz w:val="21"/>
                <w:szCs w:val="21"/>
              </w:rPr>
            </w:pPr>
            <w:r>
              <w:rPr>
                <w:rFonts w:hint="eastAsia"/>
                <w:color w:val="auto"/>
                <w:sz w:val="21"/>
                <w:szCs w:val="21"/>
                <w:lang w:val="en-US" w:eastAsia="zh-CN"/>
              </w:rPr>
              <w:t>石油类</w:t>
            </w:r>
            <w:r>
              <w:rPr>
                <w:color w:val="auto"/>
                <w:sz w:val="21"/>
                <w:szCs w:val="21"/>
              </w:rPr>
              <w:t>SS</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隔油沉淀池</w:t>
            </w:r>
          </w:p>
        </w:tc>
        <w:tc>
          <w:tcPr>
            <w:tcW w:w="2163" w:type="dxa"/>
            <w:tcBorders>
              <w:tl2br w:val="nil"/>
              <w:tr2bl w:val="nil"/>
            </w:tcBorders>
            <w:vAlign w:val="center"/>
          </w:tcPr>
          <w:p>
            <w:pPr>
              <w:keepNext w:val="0"/>
              <w:keepLines w:val="0"/>
              <w:pageBreakBefore w:val="0"/>
              <w:widowControl w:val="0"/>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回用生产不外排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left="266" w:firstLine="0" w:firstLineChars="0"/>
              <w:textAlignment w:val="auto"/>
              <w:rPr>
                <w:rFonts w:ascii="宋体" w:hAnsi="宋体" w:cs="宋体"/>
                <w:color w:val="auto"/>
              </w:rPr>
            </w:pPr>
            <w:r>
              <w:rPr>
                <w:rFonts w:ascii="宋体" w:hAnsi="宋体" w:cs="宋体"/>
                <w:color w:val="auto"/>
                <w:spacing w:val="-4"/>
              </w:rPr>
              <w:t>声</w:t>
            </w:r>
            <w:r>
              <w:rPr>
                <w:rFonts w:ascii="宋体" w:hAnsi="宋体" w:cs="宋体"/>
                <w:color w:val="auto"/>
                <w:spacing w:val="-3"/>
              </w:rPr>
              <w:t>环境</w:t>
            </w:r>
          </w:p>
        </w:tc>
        <w:tc>
          <w:tcPr>
            <w:tcW w:w="16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19" w:lineRule="auto"/>
              <w:ind w:firstLine="0" w:firstLineChars="0"/>
              <w:textAlignment w:val="auto"/>
              <w:rPr>
                <w:rFonts w:ascii="宋体" w:hAnsi="宋体" w:cs="宋体"/>
                <w:color w:val="auto"/>
              </w:rPr>
            </w:pPr>
            <w:r>
              <w:rPr>
                <w:rFonts w:ascii="宋体" w:hAnsi="宋体" w:cs="宋体"/>
                <w:color w:val="auto"/>
                <w:spacing w:val="-2"/>
              </w:rPr>
              <w:t>搅</w:t>
            </w:r>
            <w:r>
              <w:rPr>
                <w:rFonts w:ascii="宋体" w:hAnsi="宋体" w:cs="宋体"/>
                <w:color w:val="auto"/>
                <w:spacing w:val="-1"/>
              </w:rPr>
              <w:t>拌机、振动</w:t>
            </w:r>
            <w:r>
              <w:rPr>
                <w:rFonts w:ascii="宋体" w:hAnsi="宋体" w:cs="宋体"/>
                <w:color w:val="auto"/>
                <w:spacing w:val="-21"/>
              </w:rPr>
              <w:t>筛</w:t>
            </w:r>
            <w:r>
              <w:rPr>
                <w:rFonts w:ascii="宋体" w:hAnsi="宋体" w:cs="宋体"/>
                <w:color w:val="auto"/>
                <w:spacing w:val="-15"/>
              </w:rPr>
              <w:t>、烘干滚筒、</w:t>
            </w:r>
            <w:r>
              <w:rPr>
                <w:rFonts w:ascii="宋体" w:hAnsi="宋体" w:cs="宋体"/>
                <w:color w:val="auto"/>
                <w:spacing w:val="-3"/>
              </w:rPr>
              <w:t>风</w:t>
            </w:r>
            <w:r>
              <w:rPr>
                <w:rFonts w:ascii="宋体" w:hAnsi="宋体" w:cs="宋体"/>
                <w:color w:val="auto"/>
                <w:spacing w:val="-2"/>
              </w:rPr>
              <w:t>机等设备</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spacing w:line="192" w:lineRule="auto"/>
              <w:ind w:left="643" w:firstLine="0" w:firstLineChars="0"/>
              <w:textAlignment w:val="auto"/>
              <w:rPr>
                <w:rFonts w:eastAsia="Times New Roman"/>
                <w:color w:val="auto"/>
              </w:rPr>
            </w:pPr>
            <w:r>
              <w:rPr>
                <w:rFonts w:eastAsia="Times New Roman"/>
                <w:color w:val="auto"/>
                <w:spacing w:val="-1"/>
                <w:position w:val="1"/>
              </w:rPr>
              <w:t>L</w:t>
            </w:r>
            <w:r>
              <w:rPr>
                <w:rFonts w:eastAsia="Times New Roman"/>
                <w:color w:val="auto"/>
                <w:spacing w:val="-1"/>
              </w:rPr>
              <w:t>A</w:t>
            </w:r>
            <w:r>
              <w:rPr>
                <w:rFonts w:eastAsia="Times New Roman"/>
                <w:color w:val="auto"/>
              </w:rPr>
              <w:t>eq</w:t>
            </w:r>
          </w:p>
        </w:tc>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18" w:lineRule="auto"/>
              <w:ind w:firstLine="0" w:firstLineChars="0"/>
              <w:textAlignment w:val="auto"/>
              <w:rPr>
                <w:rFonts w:ascii="宋体" w:hAnsi="宋体" w:cs="宋体"/>
                <w:color w:val="auto"/>
              </w:rPr>
            </w:pPr>
            <w:r>
              <w:rPr>
                <w:rFonts w:ascii="宋体" w:hAnsi="宋体" w:cs="宋体"/>
                <w:color w:val="auto"/>
                <w:spacing w:val="-2"/>
              </w:rPr>
              <w:t>采用低</w:t>
            </w:r>
            <w:r>
              <w:rPr>
                <w:rFonts w:ascii="宋体" w:hAnsi="宋体" w:cs="宋体"/>
                <w:color w:val="auto"/>
                <w:spacing w:val="-1"/>
              </w:rPr>
              <w:t>噪声设</w:t>
            </w:r>
            <w:r>
              <w:rPr>
                <w:rFonts w:ascii="宋体" w:hAnsi="宋体" w:cs="宋体"/>
                <w:color w:val="auto"/>
                <w:spacing w:val="-2"/>
              </w:rPr>
              <w:t>备，安装</w:t>
            </w:r>
            <w:r>
              <w:rPr>
                <w:rFonts w:ascii="宋体" w:hAnsi="宋体" w:cs="宋体"/>
                <w:color w:val="auto"/>
                <w:spacing w:val="-1"/>
              </w:rPr>
              <w:t>减震坐</w:t>
            </w:r>
            <w:r>
              <w:rPr>
                <w:rFonts w:ascii="宋体" w:hAnsi="宋体" w:cs="宋体"/>
                <w:color w:val="auto"/>
                <w:spacing w:val="-2"/>
              </w:rPr>
              <w:t>垫，产</w:t>
            </w:r>
            <w:r>
              <w:rPr>
                <w:rFonts w:ascii="宋体" w:hAnsi="宋体" w:cs="宋体"/>
                <w:color w:val="auto"/>
                <w:spacing w:val="-1"/>
              </w:rPr>
              <w:t>噪设备合</w:t>
            </w:r>
            <w:r>
              <w:rPr>
                <w:rFonts w:ascii="宋体" w:hAnsi="宋体" w:cs="宋体"/>
                <w:color w:val="auto"/>
                <w:spacing w:val="-2"/>
              </w:rPr>
              <w:t>理布局，</w:t>
            </w:r>
            <w:r>
              <w:rPr>
                <w:rFonts w:ascii="宋体" w:hAnsi="宋体" w:cs="宋体"/>
                <w:color w:val="auto"/>
                <w:spacing w:val="-1"/>
              </w:rPr>
              <w:t>加强设</w:t>
            </w:r>
            <w:r>
              <w:rPr>
                <w:rFonts w:ascii="宋体" w:hAnsi="宋体" w:cs="宋体"/>
                <w:color w:val="auto"/>
                <w:spacing w:val="-2"/>
              </w:rPr>
              <w:t>备维护保</w:t>
            </w:r>
            <w:r>
              <w:rPr>
                <w:rFonts w:ascii="宋体" w:hAnsi="宋体" w:cs="宋体"/>
                <w:color w:val="auto"/>
                <w:spacing w:val="-1"/>
              </w:rPr>
              <w:t>养等措</w:t>
            </w:r>
            <w:r>
              <w:rPr>
                <w:rFonts w:ascii="宋体" w:hAnsi="宋体" w:cs="宋体"/>
                <w:color w:val="auto"/>
              </w:rPr>
              <w:t>施</w:t>
            </w:r>
          </w:p>
        </w:tc>
        <w:tc>
          <w:tcPr>
            <w:tcW w:w="2163"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firstLine="0" w:firstLineChars="0"/>
              <w:textAlignment w:val="auto"/>
              <w:rPr>
                <w:rFonts w:ascii="宋体" w:hAnsi="宋体" w:cs="宋体"/>
                <w:color w:val="auto"/>
              </w:rPr>
            </w:pPr>
            <w:r>
              <w:rPr>
                <w:rFonts w:ascii="宋体" w:hAnsi="宋体" w:cs="宋体"/>
                <w:color w:val="auto"/>
                <w:spacing w:val="-2"/>
              </w:rPr>
              <w:t>厂界满足《</w:t>
            </w:r>
            <w:r>
              <w:rPr>
                <w:rFonts w:ascii="宋体" w:hAnsi="宋体" w:cs="宋体"/>
                <w:color w:val="auto"/>
                <w:spacing w:val="-1"/>
              </w:rPr>
              <w:t>工业企</w:t>
            </w:r>
            <w:r>
              <w:rPr>
                <w:rFonts w:ascii="宋体" w:hAnsi="宋体" w:cs="宋体"/>
                <w:color w:val="auto"/>
                <w:spacing w:val="-2"/>
              </w:rPr>
              <w:t>业</w:t>
            </w:r>
            <w:r>
              <w:rPr>
                <w:rFonts w:ascii="宋体" w:hAnsi="宋体" w:cs="宋体"/>
                <w:color w:val="auto"/>
                <w:spacing w:val="-1"/>
              </w:rPr>
              <w:t>厂界环境噪声排</w:t>
            </w:r>
            <w:r>
              <w:rPr>
                <w:rFonts w:ascii="宋体" w:hAnsi="宋体" w:cs="宋体"/>
                <w:color w:val="auto"/>
                <w:spacing w:val="-6"/>
              </w:rPr>
              <w:t>放</w:t>
            </w:r>
            <w:r>
              <w:rPr>
                <w:rFonts w:ascii="宋体" w:hAnsi="宋体" w:cs="宋体"/>
                <w:color w:val="auto"/>
                <w:spacing w:val="-3"/>
              </w:rPr>
              <w:t>标准》</w:t>
            </w:r>
            <w:r>
              <w:rPr>
                <w:rFonts w:ascii="宋体" w:hAnsi="宋体" w:cs="宋体"/>
                <w:color w:val="auto"/>
              </w:rPr>
              <w:tab/>
            </w:r>
            <w:r>
              <w:rPr>
                <w:rFonts w:ascii="宋体" w:hAnsi="宋体" w:cs="宋体"/>
                <w:color w:val="auto"/>
                <w:spacing w:val="4"/>
              </w:rPr>
              <w:t>(</w:t>
            </w:r>
            <w:r>
              <w:rPr>
                <w:rFonts w:eastAsia="Times New Roman"/>
                <w:color w:val="auto"/>
              </w:rPr>
              <w:t>GB</w:t>
            </w:r>
            <w:r>
              <w:rPr>
                <w:rFonts w:eastAsia="Times New Roman"/>
                <w:color w:val="auto"/>
                <w:spacing w:val="4"/>
              </w:rPr>
              <w:t>12348-20 08</w:t>
            </w:r>
            <w:r>
              <w:rPr>
                <w:rFonts w:ascii="宋体" w:hAnsi="宋体" w:cs="宋体"/>
                <w:color w:val="auto"/>
                <w:spacing w:val="4"/>
              </w:rPr>
              <w:t>)</w:t>
            </w:r>
            <w:r>
              <w:rPr>
                <w:rFonts w:ascii="宋体" w:hAnsi="宋体" w:cs="宋体"/>
                <w:color w:val="auto"/>
                <w:spacing w:val="-17"/>
              </w:rPr>
              <w:t>中</w:t>
            </w:r>
            <w:r>
              <w:rPr>
                <w:rFonts w:ascii="宋体" w:hAnsi="宋体" w:cs="宋体"/>
                <w:color w:val="auto"/>
                <w:spacing w:val="-12"/>
              </w:rPr>
              <w:t xml:space="preserve"> </w:t>
            </w:r>
            <w:r>
              <w:rPr>
                <w:rFonts w:hint="eastAsia"/>
                <w:color w:val="auto"/>
                <w:spacing w:val="-12"/>
              </w:rPr>
              <w:t>2</w:t>
            </w:r>
            <w:r>
              <w:rPr>
                <w:rFonts w:ascii="宋体" w:hAnsi="宋体" w:cs="宋体"/>
                <w:color w:val="auto"/>
                <w:spacing w:val="-12"/>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12" w:lineRule="auto"/>
              <w:ind w:left="169" w:firstLine="0" w:firstLineChars="0"/>
              <w:textAlignment w:val="auto"/>
              <w:rPr>
                <w:rFonts w:ascii="宋体" w:hAnsi="宋体" w:cs="宋体"/>
                <w:color w:val="auto"/>
              </w:rPr>
            </w:pPr>
            <w:r>
              <w:rPr>
                <w:rFonts w:ascii="宋体" w:hAnsi="宋体" w:cs="宋体"/>
                <w:color w:val="auto"/>
                <w:spacing w:val="-8"/>
              </w:rPr>
              <w:t>电</w:t>
            </w:r>
            <w:r>
              <w:rPr>
                <w:rFonts w:ascii="宋体" w:hAnsi="宋体" w:cs="宋体"/>
                <w:color w:val="auto"/>
                <w:spacing w:val="-7"/>
              </w:rPr>
              <w:t>磁辐射</w:t>
            </w:r>
          </w:p>
        </w:tc>
        <w:tc>
          <w:tcPr>
            <w:tcW w:w="75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212" w:lineRule="auto"/>
              <w:ind w:left="3653" w:firstLine="0" w:firstLineChars="0"/>
              <w:textAlignment w:val="auto"/>
              <w:rPr>
                <w:rFonts w:ascii="宋体" w:hAnsi="宋体" w:cs="宋体"/>
                <w:color w:val="auto"/>
              </w:rPr>
            </w:pPr>
            <w:r>
              <w:rPr>
                <w:rFonts w:ascii="宋体" w:hAnsi="宋体" w:cs="宋体"/>
                <w:color w:val="auto"/>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20" w:lineRule="auto"/>
              <w:ind w:left="162" w:firstLine="0" w:firstLineChars="0"/>
              <w:textAlignment w:val="auto"/>
              <w:rPr>
                <w:rFonts w:ascii="宋体" w:hAnsi="宋体" w:cs="宋体"/>
                <w:color w:val="auto"/>
              </w:rPr>
            </w:pPr>
            <w:r>
              <w:rPr>
                <w:rFonts w:ascii="宋体" w:hAnsi="宋体" w:cs="宋体"/>
                <w:color w:val="auto"/>
                <w:spacing w:val="-8"/>
              </w:rPr>
              <w:t>固</w:t>
            </w:r>
            <w:r>
              <w:rPr>
                <w:rFonts w:ascii="宋体" w:hAnsi="宋体" w:cs="宋体"/>
                <w:color w:val="auto"/>
                <w:spacing w:val="-5"/>
              </w:rPr>
              <w:t>体废物</w:t>
            </w:r>
          </w:p>
        </w:tc>
        <w:tc>
          <w:tcPr>
            <w:tcW w:w="75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219" w:lineRule="auto"/>
              <w:ind w:left="108" w:firstLine="0" w:firstLineChars="0"/>
              <w:textAlignment w:val="auto"/>
              <w:rPr>
                <w:rFonts w:ascii="宋体" w:hAnsi="宋体" w:cs="宋体"/>
                <w:color w:val="auto"/>
              </w:rPr>
            </w:pPr>
            <w:r>
              <w:rPr>
                <w:rFonts w:ascii="宋体" w:hAnsi="宋体" w:cs="宋体"/>
                <w:color w:val="auto"/>
                <w:spacing w:val="-11"/>
              </w:rPr>
              <w:t>①除尘装置收</w:t>
            </w:r>
            <w:r>
              <w:rPr>
                <w:rFonts w:ascii="宋体" w:hAnsi="宋体" w:cs="宋体"/>
                <w:color w:val="auto"/>
                <w:spacing w:val="-9"/>
              </w:rPr>
              <w:t>集</w:t>
            </w:r>
            <w:r>
              <w:rPr>
                <w:rFonts w:ascii="宋体" w:hAnsi="宋体" w:cs="宋体"/>
                <w:color w:val="auto"/>
                <w:spacing w:val="-14"/>
              </w:rPr>
              <w:t>粉尘</w:t>
            </w:r>
            <w:r>
              <w:rPr>
                <w:rFonts w:ascii="宋体" w:hAnsi="宋体" w:cs="宋体"/>
                <w:color w:val="auto"/>
                <w:spacing w:val="-10"/>
              </w:rPr>
              <w:t>回</w:t>
            </w:r>
            <w:r>
              <w:rPr>
                <w:rFonts w:ascii="宋体" w:hAnsi="宋体" w:cs="宋体"/>
                <w:color w:val="auto"/>
                <w:spacing w:val="-7"/>
              </w:rPr>
              <w:t>收后用于生产；</w:t>
            </w:r>
            <w:r>
              <w:rPr>
                <w:rFonts w:ascii="宋体" w:hAnsi="宋体" w:cs="宋体"/>
                <w:color w:val="auto"/>
                <w:spacing w:val="-11"/>
              </w:rPr>
              <w:t>②</w:t>
            </w:r>
            <w:r>
              <w:rPr>
                <w:rFonts w:ascii="宋体" w:hAnsi="宋体" w:cs="宋体"/>
                <w:color w:val="auto"/>
                <w:spacing w:val="-7"/>
              </w:rPr>
              <w:t>不合格石料</w:t>
            </w:r>
            <w:r>
              <w:rPr>
                <w:rFonts w:hint="eastAsia" w:ascii="宋体" w:hAnsi="宋体" w:cs="宋体"/>
                <w:color w:val="auto"/>
                <w:spacing w:val="-7"/>
                <w:lang w:val="en-US" w:eastAsia="zh-CN"/>
              </w:rPr>
              <w:t>返回生产厂家</w:t>
            </w:r>
            <w:r>
              <w:rPr>
                <w:rFonts w:ascii="宋体" w:hAnsi="宋体" w:cs="宋体"/>
                <w:color w:val="auto"/>
                <w:spacing w:val="-7"/>
              </w:rPr>
              <w:t>；</w:t>
            </w:r>
            <w:r>
              <w:rPr>
                <w:color w:val="auto"/>
                <w:szCs w:val="21"/>
              </w:rPr>
              <w:t>废布袋由市政环卫部门处理；</w:t>
            </w:r>
            <w:r>
              <w:rPr>
                <w:rFonts w:ascii="宋体" w:hAnsi="宋体" w:cs="宋体"/>
                <w:color w:val="auto"/>
                <w:spacing w:val="-7"/>
              </w:rPr>
              <w:t>③</w:t>
            </w:r>
            <w:r>
              <w:rPr>
                <w:rFonts w:ascii="宋体" w:hAnsi="宋体" w:cs="宋体"/>
                <w:color w:val="auto"/>
                <w:spacing w:val="-4"/>
              </w:rPr>
              <w:t>废活性炭、废导热油</w:t>
            </w:r>
            <w:r>
              <w:rPr>
                <w:rFonts w:hint="eastAsia" w:ascii="宋体" w:hAnsi="宋体" w:cs="宋体"/>
                <w:color w:val="auto"/>
                <w:spacing w:val="-4"/>
                <w:lang w:eastAsia="zh-CN"/>
              </w:rPr>
              <w:t>、</w:t>
            </w:r>
            <w:r>
              <w:rPr>
                <w:rFonts w:hint="eastAsia" w:ascii="宋体" w:hAnsi="宋体" w:cs="宋体"/>
                <w:color w:val="auto"/>
                <w:spacing w:val="-4"/>
                <w:lang w:val="en-US" w:eastAsia="zh-CN"/>
              </w:rPr>
              <w:t>隔油池油污</w:t>
            </w:r>
            <w:r>
              <w:rPr>
                <w:rFonts w:ascii="宋体" w:hAnsi="宋体" w:cs="宋体"/>
                <w:color w:val="auto"/>
                <w:spacing w:val="-4"/>
              </w:rPr>
              <w:t>分别使用专用容</w:t>
            </w:r>
            <w:r>
              <w:rPr>
                <w:rFonts w:ascii="宋体" w:hAnsi="宋体" w:cs="宋体"/>
                <w:color w:val="auto"/>
                <w:spacing w:val="-3"/>
              </w:rPr>
              <w:t>器</w:t>
            </w:r>
            <w:r>
              <w:rPr>
                <w:rFonts w:ascii="宋体" w:hAnsi="宋体" w:cs="宋体"/>
                <w:color w:val="auto"/>
                <w:spacing w:val="-7"/>
              </w:rPr>
              <w:t>装存，暂存于危废</w:t>
            </w:r>
            <w:r>
              <w:rPr>
                <w:rFonts w:hint="eastAsia" w:ascii="宋体" w:hAnsi="宋体" w:cs="宋体"/>
                <w:color w:val="auto"/>
                <w:spacing w:val="-7"/>
                <w:lang w:val="en-US" w:eastAsia="zh-CN"/>
              </w:rPr>
              <w:t>贮存点</w:t>
            </w:r>
            <w:r>
              <w:rPr>
                <w:rFonts w:ascii="宋体" w:hAnsi="宋体" w:cs="宋体"/>
                <w:color w:val="auto"/>
                <w:spacing w:val="-7"/>
              </w:rPr>
              <w:t>，委托有资质单位进行处理</w:t>
            </w:r>
            <w:r>
              <w:rPr>
                <w:rFonts w:ascii="宋体" w:hAnsi="宋体" w:cs="宋体"/>
                <w:color w:val="auto"/>
                <w:spacing w:val="-4"/>
              </w:rPr>
              <w:t>。</w:t>
            </w:r>
            <w:r>
              <w:rPr>
                <w:rFonts w:ascii="宋体" w:hAnsi="宋体" w:cs="宋体"/>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50" w:lineRule="auto"/>
              <w:ind w:left="148" w:right="156" w:firstLine="0" w:firstLineChars="0"/>
              <w:textAlignment w:val="auto"/>
              <w:rPr>
                <w:rFonts w:ascii="宋体" w:hAnsi="宋体" w:cs="宋体"/>
                <w:color w:val="auto"/>
                <w:spacing w:val="-4"/>
              </w:rPr>
            </w:pPr>
            <w:r>
              <w:rPr>
                <w:rFonts w:ascii="宋体" w:hAnsi="宋体" w:cs="宋体"/>
                <w:color w:val="auto"/>
                <w:spacing w:val="-4"/>
              </w:rPr>
              <w:t>土壤及地 下水污染 防治措施</w:t>
            </w:r>
          </w:p>
        </w:tc>
        <w:tc>
          <w:tcPr>
            <w:tcW w:w="75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250" w:lineRule="auto"/>
              <w:ind w:left="148" w:right="156" w:firstLine="0" w:firstLineChars="0"/>
              <w:textAlignment w:val="auto"/>
              <w:rPr>
                <w:rFonts w:ascii="宋体" w:hAnsi="宋体" w:cs="宋体"/>
                <w:color w:val="auto"/>
                <w:spacing w:val="-4"/>
              </w:rPr>
            </w:pPr>
            <w:r>
              <w:rPr>
                <w:rFonts w:ascii="宋体" w:hAnsi="宋体" w:cs="宋体"/>
                <w:color w:val="auto"/>
                <w:spacing w:val="-4"/>
              </w:rPr>
              <w:t>①办公室、厂区地面简单防渗区，一般硬化处理；②危废</w:t>
            </w:r>
            <w:r>
              <w:rPr>
                <w:rFonts w:hint="eastAsia" w:ascii="宋体" w:hAnsi="宋体" w:cs="宋体"/>
                <w:color w:val="auto"/>
                <w:spacing w:val="-4"/>
                <w:lang w:val="en-US" w:eastAsia="zh-CN"/>
              </w:rPr>
              <w:t>贮存点</w:t>
            </w:r>
            <w:r>
              <w:rPr>
                <w:rFonts w:ascii="宋体" w:hAnsi="宋体" w:cs="宋体"/>
                <w:color w:val="auto"/>
                <w:spacing w:val="-4"/>
              </w:rPr>
              <w:t>、沥青储罐区、沥青混凝土搅拌区域作为重点防渗区域，需满足防渗层为至少1米厚粘土层(渗透系数≤10</w:t>
            </w:r>
            <w:r>
              <w:rPr>
                <w:rFonts w:ascii="宋体" w:hAnsi="宋体" w:cs="宋体"/>
                <w:color w:val="auto"/>
                <w:spacing w:val="-4"/>
                <w:vertAlign w:val="superscript"/>
              </w:rPr>
              <w:t>-7</w:t>
            </w:r>
            <w:r>
              <w:rPr>
                <w:rFonts w:ascii="宋体" w:hAnsi="宋体" w:cs="宋体"/>
                <w:color w:val="auto"/>
                <w:spacing w:val="-4"/>
              </w:rPr>
              <w:t>厘米/秒)，或2毫米厚高密度聚乙烯，或至少2毫米厚的其它人工材料，渗透系数≤10</w:t>
            </w:r>
            <w:r>
              <w:rPr>
                <w:rFonts w:ascii="宋体" w:hAnsi="宋体" w:cs="宋体"/>
                <w:color w:val="auto"/>
                <w:spacing w:val="-4"/>
                <w:vertAlign w:val="superscript"/>
              </w:rPr>
              <w:t>- 10</w:t>
            </w:r>
            <w:r>
              <w:rPr>
                <w:rFonts w:ascii="宋体" w:hAnsi="宋体" w:cs="宋体"/>
                <w:color w:val="auto"/>
                <w:spacing w:val="-4"/>
              </w:rPr>
              <w:t>厘米/秒。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27" w:lineRule="auto"/>
              <w:ind w:right="96" w:firstLine="0" w:firstLineChars="0"/>
              <w:textAlignment w:val="auto"/>
              <w:rPr>
                <w:rFonts w:ascii="宋体" w:hAnsi="宋体" w:cs="宋体"/>
                <w:color w:val="auto"/>
              </w:rPr>
            </w:pPr>
            <w:r>
              <w:rPr>
                <w:rFonts w:ascii="宋体" w:hAnsi="宋体" w:cs="宋体"/>
                <w:color w:val="auto"/>
                <w:spacing w:val="-36"/>
              </w:rPr>
              <w:t>生</w:t>
            </w:r>
            <w:r>
              <w:rPr>
                <w:rFonts w:ascii="宋体" w:hAnsi="宋体" w:cs="宋体"/>
                <w:color w:val="auto"/>
                <w:spacing w:val="-34"/>
              </w:rPr>
              <w:t>态保护措</w:t>
            </w:r>
            <w:r>
              <w:rPr>
                <w:rFonts w:ascii="宋体" w:hAnsi="宋体" w:cs="宋体"/>
                <w:color w:val="auto"/>
              </w:rPr>
              <w:t xml:space="preserve"> 施</w:t>
            </w:r>
          </w:p>
        </w:tc>
        <w:tc>
          <w:tcPr>
            <w:tcW w:w="75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323" w:lineRule="auto"/>
              <w:ind w:left="3730" w:firstLine="0" w:firstLineChars="0"/>
              <w:textAlignment w:val="auto"/>
              <w:rPr>
                <w:rFonts w:eastAsia="Times New Roman"/>
                <w:color w:val="auto"/>
              </w:rPr>
            </w:pPr>
            <w:r>
              <w:rPr>
                <w:rFonts w:eastAsia="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52" w:lineRule="auto"/>
              <w:ind w:right="172" w:firstLine="0" w:firstLineChars="0"/>
              <w:textAlignment w:val="auto"/>
              <w:rPr>
                <w:rFonts w:ascii="宋体" w:hAnsi="宋体" w:cs="宋体"/>
                <w:color w:val="auto"/>
              </w:rPr>
            </w:pPr>
            <w:r>
              <w:rPr>
                <w:rFonts w:ascii="宋体" w:hAnsi="宋体" w:cs="宋体"/>
                <w:color w:val="auto"/>
                <w:spacing w:val="-16"/>
              </w:rPr>
              <w:t>环</w:t>
            </w:r>
            <w:r>
              <w:rPr>
                <w:rFonts w:ascii="宋体" w:hAnsi="宋体" w:cs="宋体"/>
                <w:color w:val="auto"/>
                <w:spacing w:val="-14"/>
              </w:rPr>
              <w:t>境风险</w:t>
            </w:r>
            <w:r>
              <w:rPr>
                <w:rFonts w:ascii="宋体" w:hAnsi="宋体" w:cs="宋体"/>
                <w:color w:val="auto"/>
              </w:rPr>
              <w:t xml:space="preserve"> </w:t>
            </w:r>
            <w:r>
              <w:rPr>
                <w:rFonts w:ascii="宋体" w:hAnsi="宋体" w:cs="宋体"/>
                <w:color w:val="auto"/>
                <w:spacing w:val="-19"/>
              </w:rPr>
              <w:t>防</w:t>
            </w:r>
            <w:r>
              <w:rPr>
                <w:rFonts w:ascii="宋体" w:hAnsi="宋体" w:cs="宋体"/>
                <w:color w:val="auto"/>
                <w:spacing w:val="-18"/>
              </w:rPr>
              <w:t>范措施</w:t>
            </w:r>
          </w:p>
        </w:tc>
        <w:tc>
          <w:tcPr>
            <w:tcW w:w="75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250" w:lineRule="auto"/>
              <w:ind w:left="148" w:right="156" w:firstLine="0" w:firstLineChars="0"/>
              <w:textAlignment w:val="auto"/>
              <w:rPr>
                <w:rFonts w:ascii="宋体" w:hAnsi="宋体" w:cs="宋体"/>
                <w:color w:val="auto"/>
              </w:rPr>
            </w:pPr>
            <w:r>
              <w:rPr>
                <w:rFonts w:ascii="宋体" w:hAnsi="宋体" w:cs="宋体"/>
                <w:color w:val="auto"/>
                <w:spacing w:val="-16"/>
              </w:rPr>
              <w:t>储</w:t>
            </w:r>
            <w:r>
              <w:rPr>
                <w:rFonts w:ascii="宋体" w:hAnsi="宋体" w:cs="宋体"/>
                <w:color w:val="auto"/>
                <w:spacing w:val="-15"/>
              </w:rPr>
              <w:t>罐建设围堰，地面硬化、防渗处理；</w:t>
            </w:r>
            <w:r>
              <w:rPr>
                <w:rFonts w:hint="eastAsia" w:ascii="宋体" w:hAnsi="宋体" w:cs="宋体"/>
                <w:color w:val="auto"/>
                <w:spacing w:val="-15"/>
              </w:rPr>
              <w:t>天然气汽车接驳和</w:t>
            </w:r>
            <w:r>
              <w:rPr>
                <w:rFonts w:ascii="宋体" w:hAnsi="宋体" w:cs="宋体"/>
                <w:color w:val="auto"/>
                <w:spacing w:val="-15"/>
              </w:rPr>
              <w:t>储罐区设置灭火器、消防沙</w:t>
            </w:r>
            <w:r>
              <w:rPr>
                <w:rFonts w:ascii="宋体" w:hAnsi="宋体" w:cs="宋体"/>
                <w:color w:val="auto"/>
                <w:spacing w:val="-18"/>
              </w:rPr>
              <w:t>等</w:t>
            </w:r>
            <w:r>
              <w:rPr>
                <w:rFonts w:ascii="宋体" w:hAnsi="宋体" w:cs="宋体"/>
                <w:color w:val="auto"/>
                <w:spacing w:val="-14"/>
              </w:rPr>
              <w:t>消防器材；安排专人对储罐进行定期检修及管理，做到责任到人，加</w:t>
            </w:r>
            <w:r>
              <w:rPr>
                <w:rFonts w:ascii="宋体" w:hAnsi="宋体" w:cs="宋体"/>
                <w:color w:val="auto"/>
                <w:spacing w:val="-11"/>
              </w:rPr>
              <w:t>强安全检查值班制度的落实，发现问题及时汇报；员工熟练掌握站内</w:t>
            </w:r>
            <w:r>
              <w:rPr>
                <w:rFonts w:ascii="宋体" w:hAnsi="宋体" w:cs="宋体"/>
                <w:color w:val="auto"/>
                <w:spacing w:val="-10"/>
              </w:rPr>
              <w:t>各</w:t>
            </w:r>
            <w:r>
              <w:rPr>
                <w:rFonts w:ascii="宋体" w:hAnsi="宋体" w:cs="宋体"/>
                <w:color w:val="auto"/>
                <w:spacing w:val="-9"/>
              </w:rPr>
              <w:t>种</w:t>
            </w:r>
            <w:r>
              <w:rPr>
                <w:rFonts w:ascii="宋体" w:hAnsi="宋体" w:cs="宋体"/>
                <w:color w:val="auto"/>
                <w:spacing w:val="-6"/>
              </w:rPr>
              <w:t>设备的技术性能和使用方法；编制突发环境事件应急预案。</w:t>
            </w:r>
            <w:r>
              <w:rPr>
                <w:rFonts w:ascii="宋体" w:hAnsi="宋体" w:cs="宋体"/>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spacing w:line="252" w:lineRule="auto"/>
              <w:ind w:right="172" w:firstLine="0" w:firstLineChars="0"/>
              <w:textAlignment w:val="auto"/>
              <w:rPr>
                <w:rFonts w:ascii="宋体" w:hAnsi="宋体" w:cs="宋体"/>
                <w:color w:val="auto"/>
                <w:spacing w:val="-16"/>
              </w:rPr>
            </w:pPr>
            <w:r>
              <w:rPr>
                <w:rFonts w:hint="eastAsia" w:ascii="宋体" w:hAnsi="宋体" w:cs="宋体"/>
                <w:color w:val="auto"/>
                <w:spacing w:val="-16"/>
              </w:rPr>
              <w:t>其他要求</w:t>
            </w:r>
          </w:p>
        </w:tc>
        <w:tc>
          <w:tcPr>
            <w:tcW w:w="75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219" w:lineRule="auto"/>
              <w:ind w:left="107" w:firstLine="0" w:firstLineChars="0"/>
              <w:textAlignment w:val="auto"/>
              <w:rPr>
                <w:rFonts w:ascii="宋体" w:hAnsi="宋体" w:cs="宋体"/>
                <w:color w:val="auto"/>
                <w:spacing w:val="-9"/>
              </w:rPr>
            </w:pPr>
            <w:r>
              <w:rPr>
                <w:rFonts w:hint="eastAsia" w:ascii="宋体" w:hAnsi="宋体" w:cs="宋体"/>
                <w:color w:val="auto"/>
                <w:spacing w:val="-9"/>
              </w:rPr>
              <w:t>无</w:t>
            </w:r>
          </w:p>
        </w:tc>
      </w:tr>
    </w:tbl>
    <w:p>
      <w:pPr>
        <w:pStyle w:val="29"/>
        <w:spacing w:before="0" w:beforeAutospacing="0" w:after="0" w:afterAutospacing="0" w:line="360" w:lineRule="auto"/>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64" w:name="_Toc24021"/>
      <w:bookmarkStart w:id="65" w:name="_Toc22395"/>
      <w:r>
        <w:rPr>
          <w:rFonts w:ascii="Times New Roman" w:hAnsi="Times New Roman" w:eastAsia="黑体"/>
          <w:snapToGrid w:val="0"/>
          <w:color w:val="auto"/>
          <w:sz w:val="30"/>
          <w:szCs w:val="30"/>
        </w:rPr>
        <w:t>六、结论</w:t>
      </w:r>
      <w:bookmarkEnd w:id="64"/>
      <w:bookmarkEnd w:id="65"/>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spacing w:line="360" w:lineRule="auto"/>
              <w:ind w:firstLine="480" w:firstLineChars="200"/>
              <w:rPr>
                <w:color w:val="auto"/>
                <w:sz w:val="24"/>
              </w:rPr>
            </w:pPr>
            <w:r>
              <w:rPr>
                <w:color w:val="auto"/>
                <w:sz w:val="24"/>
              </w:rPr>
              <w:t>本项目运营期采取的各项环保措施在确保严格落实本报告表提出的污染物防治措施的前提下，对水环境、环境空气、声环境等的影响较小，可以被周围环境所接受。因此，本项目的建设从环境保护的角度而言是可行的。</w:t>
            </w: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p>
            <w:pPr>
              <w:spacing w:line="500" w:lineRule="exact"/>
              <w:ind w:firstLine="480" w:firstLineChars="200"/>
              <w:rPr>
                <w:color w:val="auto"/>
                <w:sz w:val="24"/>
              </w:rPr>
            </w:pPr>
          </w:p>
        </w:tc>
      </w:tr>
    </w:tbl>
    <w:p>
      <w:pPr>
        <w:rPr>
          <w:color w:val="auto"/>
        </w:rPr>
        <w:sectPr>
          <w:pgSz w:w="11905" w:h="16838"/>
          <w:pgMar w:top="1134" w:right="1134" w:bottom="1134" w:left="1134" w:header="851" w:footer="1077" w:gutter="0"/>
          <w:cols w:space="720" w:num="1"/>
          <w:docGrid w:type="linesAndChars" w:linePitch="323" w:charSpace="0"/>
        </w:sectPr>
      </w:pPr>
    </w:p>
    <w:p>
      <w:pPr>
        <w:pStyle w:val="29"/>
        <w:adjustRightInd w:val="0"/>
        <w:snapToGrid w:val="0"/>
        <w:spacing w:before="0" w:beforeAutospacing="0" w:after="0" w:afterAutospacing="0" w:line="0" w:lineRule="atLeast"/>
        <w:rPr>
          <w:rFonts w:ascii="Times New Roman" w:hAnsi="Times New Roman" w:eastAsia="黑体"/>
          <w:snapToGrid w:val="0"/>
          <w:color w:val="auto"/>
          <w:sz w:val="32"/>
          <w:szCs w:val="32"/>
        </w:rPr>
      </w:pPr>
      <w:bookmarkStart w:id="66" w:name="_Toc65222367"/>
      <w:r>
        <w:rPr>
          <w:rFonts w:ascii="Times New Roman" w:hAnsi="Times New Roman" w:eastAsia="黑体"/>
          <w:snapToGrid w:val="0"/>
          <w:color w:val="auto"/>
          <w:sz w:val="32"/>
          <w:szCs w:val="32"/>
        </w:rPr>
        <w:t>附表</w:t>
      </w:r>
      <w:bookmarkEnd w:id="66"/>
    </w:p>
    <w:p>
      <w:pPr>
        <w:pStyle w:val="29"/>
        <w:adjustRightInd w:val="0"/>
        <w:snapToGrid w:val="0"/>
        <w:spacing w:before="0" w:beforeAutospacing="0" w:after="0" w:afterAutospacing="0" w:line="0" w:lineRule="atLeast"/>
        <w:jc w:val="center"/>
        <w:outlineLvl w:val="0"/>
        <w:rPr>
          <w:rFonts w:ascii="Times New Roman" w:hAnsi="Times New Roman" w:eastAsia="方正小标宋_GBK"/>
          <w:snapToGrid w:val="0"/>
          <w:color w:val="auto"/>
          <w:sz w:val="38"/>
          <w:szCs w:val="38"/>
        </w:rPr>
      </w:pPr>
      <w:bookmarkStart w:id="67" w:name="_Toc68786114"/>
      <w:bookmarkStart w:id="68" w:name="_Toc65222368"/>
      <w:bookmarkStart w:id="69" w:name="_Toc31145"/>
      <w:bookmarkStart w:id="70" w:name="_Toc30074"/>
      <w:r>
        <w:rPr>
          <w:rFonts w:ascii="Times New Roman" w:hAnsi="Times New Roman" w:eastAsia="方正小标宋_GBK"/>
          <w:snapToGrid w:val="0"/>
          <w:color w:val="auto"/>
          <w:sz w:val="38"/>
          <w:szCs w:val="38"/>
        </w:rPr>
        <w:t>建设项目污染物排放量汇总表</w:t>
      </w:r>
      <w:bookmarkEnd w:id="67"/>
      <w:bookmarkEnd w:id="68"/>
      <w:bookmarkEnd w:id="69"/>
      <w:bookmarkEnd w:id="70"/>
    </w:p>
    <w:tbl>
      <w:tblPr>
        <w:tblStyle w:val="34"/>
        <w:tblW w:w="14318" w:type="dxa"/>
        <w:tblInd w:w="-39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1701"/>
        <w:gridCol w:w="1134"/>
        <w:gridCol w:w="1842"/>
        <w:gridCol w:w="1560"/>
        <w:gridCol w:w="1842"/>
        <w:gridCol w:w="1843"/>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60" w:type="dxa"/>
            <w:tcBorders>
              <w:tl2br w:val="single" w:color="auto" w:sz="4" w:space="0"/>
            </w:tcBorders>
            <w:tcMar>
              <w:left w:w="28" w:type="dxa"/>
              <w:right w:w="28" w:type="dxa"/>
            </w:tcMar>
            <w:vAlign w:val="center"/>
          </w:tcPr>
          <w:p>
            <w:pPr>
              <w:pStyle w:val="96"/>
              <w:adjustRightInd/>
              <w:snapToGrid/>
              <w:spacing w:beforeLines="0" w:afterLines="0" w:line="240" w:lineRule="auto"/>
              <w:contextualSpacing/>
              <w:jc w:val="right"/>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项目</w:t>
            </w:r>
          </w:p>
          <w:p>
            <w:pPr>
              <w:pStyle w:val="96"/>
              <w:adjustRightInd/>
              <w:snapToGrid/>
              <w:spacing w:beforeLines="0" w:afterLines="0" w:line="240" w:lineRule="auto"/>
              <w:contextualSpacing/>
              <w:jc w:val="left"/>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分类</w:t>
            </w:r>
          </w:p>
        </w:tc>
        <w:tc>
          <w:tcPr>
            <w:tcW w:w="1560"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污染物名称</w:t>
            </w:r>
          </w:p>
        </w:tc>
        <w:tc>
          <w:tcPr>
            <w:tcW w:w="1701"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6"/>
                <w:kern w:val="21"/>
                <w:szCs w:val="21"/>
                <w:highlight w:val="none"/>
              </w:rPr>
            </w:pPr>
            <w:r>
              <w:rPr>
                <w:rFonts w:ascii="Times New Roman" w:hAnsi="黑体" w:eastAsia="黑体"/>
                <w:snapToGrid w:val="0"/>
                <w:color w:val="auto"/>
                <w:spacing w:val="-6"/>
                <w:kern w:val="21"/>
                <w:szCs w:val="21"/>
                <w:highlight w:val="none"/>
              </w:rPr>
              <w:t>现有工程</w:t>
            </w:r>
          </w:p>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t>t/a</w:t>
            </w:r>
            <w:r>
              <w:rPr>
                <w:rFonts w:ascii="Times New Roman" w:hAnsi="黑体" w:eastAsia="黑体"/>
                <w:snapToGrid w:val="0"/>
                <w:color w:val="auto"/>
                <w:spacing w:val="-6"/>
                <w:kern w:val="21"/>
                <w:szCs w:val="21"/>
                <w:highlight w:val="none"/>
              </w:rPr>
              <w:t>（固体废物产生量）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ascii="Times New Roman" w:hAnsi="黑体" w:eastAsia="黑体"/>
                <w:color w:val="auto"/>
                <w:szCs w:val="21"/>
                <w:highlight w:val="none"/>
              </w:rPr>
              <w:t>①</w:t>
            </w:r>
            <w:r>
              <w:rPr>
                <w:rFonts w:ascii="Times New Roman" w:eastAsia="黑体"/>
                <w:snapToGrid w:val="0"/>
                <w:color w:val="auto"/>
                <w:spacing w:val="-6"/>
                <w:kern w:val="21"/>
                <w:szCs w:val="21"/>
                <w:highlight w:val="none"/>
              </w:rPr>
              <w:fldChar w:fldCharType="end"/>
            </w:r>
          </w:p>
        </w:tc>
        <w:tc>
          <w:tcPr>
            <w:tcW w:w="1134"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现有工程</w:t>
            </w:r>
          </w:p>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许可排放量</w:t>
            </w:r>
            <w:r>
              <w:rPr>
                <w:rFonts w:ascii="Times New Roman" w:eastAsia="黑体"/>
                <w:snapToGrid w:val="0"/>
                <w:color w:val="auto"/>
                <w:spacing w:val="-6"/>
                <w:kern w:val="21"/>
                <w:szCs w:val="21"/>
              </w:rPr>
              <w:t>t/a</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hAnsi="黑体"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842"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在建工程</w:t>
            </w:r>
          </w:p>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排放量</w:t>
            </w:r>
            <w:r>
              <w:rPr>
                <w:rFonts w:ascii="Times New Roman" w:eastAsia="黑体"/>
                <w:snapToGrid w:val="0"/>
                <w:color w:val="auto"/>
                <w:spacing w:val="-6"/>
                <w:kern w:val="21"/>
                <w:szCs w:val="21"/>
              </w:rPr>
              <w:t>t/a</w:t>
            </w:r>
            <w:r>
              <w:rPr>
                <w:rFonts w:ascii="Times New Roman" w:hAnsi="黑体" w:eastAsia="黑体"/>
                <w:snapToGrid w:val="0"/>
                <w:color w:val="auto"/>
                <w:spacing w:val="-6"/>
                <w:kern w:val="21"/>
                <w:szCs w:val="21"/>
              </w:rPr>
              <w:t>（固体废物产生量）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szCs w:val="21"/>
              </w:rPr>
              <w:t>③</w:t>
            </w:r>
            <w:r>
              <w:rPr>
                <w:rFonts w:ascii="Times New Roman" w:eastAsia="黑体"/>
                <w:snapToGrid w:val="0"/>
                <w:color w:val="auto"/>
                <w:spacing w:val="-6"/>
                <w:kern w:val="21"/>
                <w:szCs w:val="21"/>
              </w:rPr>
              <w:fldChar w:fldCharType="end"/>
            </w:r>
          </w:p>
        </w:tc>
        <w:tc>
          <w:tcPr>
            <w:tcW w:w="1560"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本项目</w:t>
            </w:r>
          </w:p>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排放量</w:t>
            </w:r>
            <w:r>
              <w:rPr>
                <w:rFonts w:ascii="Times New Roman" w:eastAsia="黑体"/>
                <w:snapToGrid w:val="0"/>
                <w:color w:val="auto"/>
                <w:spacing w:val="-6"/>
                <w:kern w:val="21"/>
                <w:szCs w:val="21"/>
              </w:rPr>
              <w:t>t/a</w:t>
            </w:r>
            <w:r>
              <w:rPr>
                <w:rFonts w:ascii="Times New Roman" w:hAnsi="黑体" w:eastAsia="黑体"/>
                <w:snapToGrid w:val="0"/>
                <w:color w:val="auto"/>
                <w:spacing w:val="-6"/>
                <w:kern w:val="21"/>
                <w:szCs w:val="21"/>
              </w:rPr>
              <w:t>（固体废物产生量）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szCs w:val="21"/>
              </w:rPr>
              <w:t>④</w:t>
            </w:r>
            <w:r>
              <w:rPr>
                <w:rFonts w:ascii="Times New Roman" w:eastAsia="黑体"/>
                <w:snapToGrid w:val="0"/>
                <w:color w:val="auto"/>
                <w:spacing w:val="-6"/>
                <w:kern w:val="21"/>
                <w:szCs w:val="21"/>
              </w:rPr>
              <w:fldChar w:fldCharType="end"/>
            </w:r>
          </w:p>
        </w:tc>
        <w:tc>
          <w:tcPr>
            <w:tcW w:w="1842"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以新带老削减量</w:t>
            </w:r>
            <w:r>
              <w:rPr>
                <w:rFonts w:ascii="Times New Roman" w:eastAsia="黑体"/>
                <w:snapToGrid w:val="0"/>
                <w:color w:val="auto"/>
                <w:spacing w:val="-6"/>
                <w:kern w:val="21"/>
                <w:szCs w:val="21"/>
              </w:rPr>
              <w:t>t/a</w:t>
            </w:r>
          </w:p>
          <w:p>
            <w:pPr>
              <w:pStyle w:val="96"/>
              <w:adjustRightInd/>
              <w:snapToGrid/>
              <w:spacing w:beforeLines="0" w:afterLines="0" w:line="240" w:lineRule="auto"/>
              <w:contextualSpacing/>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hAnsi="黑体" w:eastAsia="黑体"/>
                <w:color w:val="auto"/>
                <w:szCs w:val="21"/>
              </w:rPr>
              <w:t>⑤</w:t>
            </w:r>
            <w:r>
              <w:rPr>
                <w:rFonts w:ascii="Times New Roman" w:eastAsia="黑体"/>
                <w:snapToGrid w:val="0"/>
                <w:color w:val="auto"/>
                <w:spacing w:val="-16"/>
                <w:kern w:val="21"/>
                <w:szCs w:val="21"/>
              </w:rPr>
              <w:fldChar w:fldCharType="end"/>
            </w:r>
          </w:p>
        </w:tc>
        <w:tc>
          <w:tcPr>
            <w:tcW w:w="1843"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本项目建成后</w:t>
            </w:r>
          </w:p>
          <w:p>
            <w:pPr>
              <w:pStyle w:val="96"/>
              <w:adjustRightInd/>
              <w:snapToGrid/>
              <w:spacing w:beforeLines="0" w:afterLines="0" w:line="240" w:lineRule="auto"/>
              <w:contextualSpacing/>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全厂排放量</w:t>
            </w:r>
            <w:r>
              <w:rPr>
                <w:rFonts w:ascii="Times New Roman" w:eastAsia="黑体"/>
                <w:snapToGrid w:val="0"/>
                <w:color w:val="auto"/>
                <w:spacing w:val="-6"/>
                <w:kern w:val="21"/>
                <w:szCs w:val="21"/>
              </w:rPr>
              <w:t>t/a</w:t>
            </w:r>
            <w:r>
              <w:rPr>
                <w:rFonts w:ascii="Times New Roman" w:hAnsi="黑体" w:eastAsia="黑体"/>
                <w:snapToGrid w:val="0"/>
                <w:color w:val="auto"/>
                <w:spacing w:val="-16"/>
                <w:kern w:val="21"/>
                <w:szCs w:val="21"/>
              </w:rPr>
              <w:t>（固体废物产生量）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hAnsi="黑体" w:eastAsia="黑体"/>
                <w:color w:val="auto"/>
                <w:szCs w:val="21"/>
              </w:rPr>
              <w:t>⑥</w:t>
            </w:r>
            <w:r>
              <w:rPr>
                <w:rFonts w:ascii="Times New Roman" w:eastAsia="黑体"/>
                <w:snapToGrid w:val="0"/>
                <w:color w:val="auto"/>
                <w:spacing w:val="-16"/>
                <w:kern w:val="21"/>
                <w:szCs w:val="21"/>
              </w:rPr>
              <w:fldChar w:fldCharType="end"/>
            </w:r>
          </w:p>
        </w:tc>
        <w:tc>
          <w:tcPr>
            <w:tcW w:w="1276" w:type="dxa"/>
            <w:tcMar>
              <w:left w:w="28" w:type="dxa"/>
              <w:right w:w="28" w:type="dxa"/>
            </w:tcMar>
            <w:vAlign w:val="center"/>
          </w:tcPr>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变化量</w:t>
            </w:r>
            <w:r>
              <w:rPr>
                <w:rFonts w:ascii="Times New Roman" w:eastAsia="黑体"/>
                <w:snapToGrid w:val="0"/>
                <w:color w:val="auto"/>
                <w:spacing w:val="-6"/>
                <w:kern w:val="21"/>
                <w:szCs w:val="21"/>
              </w:rPr>
              <w:t>t/a</w:t>
            </w:r>
          </w:p>
          <w:p>
            <w:pPr>
              <w:pStyle w:val="96"/>
              <w:adjustRightInd/>
              <w:snapToGrid/>
              <w:spacing w:beforeLines="0" w:afterLines="0" w:line="240" w:lineRule="auto"/>
              <w:contextualSpacing/>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560" w:type="dxa"/>
            <w:vMerge w:val="restart"/>
            <w:vAlign w:val="center"/>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宋体"/>
                <w:snapToGrid w:val="0"/>
                <w:color w:val="auto"/>
                <w:kern w:val="21"/>
                <w:szCs w:val="21"/>
              </w:rPr>
              <w:t>废气</w:t>
            </w:r>
          </w:p>
        </w:tc>
        <w:tc>
          <w:tcPr>
            <w:tcW w:w="1560" w:type="dxa"/>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Times New Roman" w:eastAsia="宋体" w:cs="Times New Roman"/>
                <w:snapToGrid w:val="0"/>
                <w:color w:val="auto"/>
                <w:kern w:val="21"/>
                <w:szCs w:val="21"/>
              </w:rPr>
              <w:t>颗粒物</w:t>
            </w:r>
          </w:p>
        </w:tc>
        <w:tc>
          <w:tcPr>
            <w:tcW w:w="1701" w:type="dxa"/>
            <w:vAlign w:val="center"/>
          </w:tcPr>
          <w:p>
            <w:pPr>
              <w:pStyle w:val="96"/>
              <w:adjustRightInd/>
              <w:snapToGrid/>
              <w:spacing w:beforeLines="0" w:afterLines="0" w:line="240" w:lineRule="auto"/>
              <w:contextualSpacing/>
              <w:rPr>
                <w:rFonts w:hint="default"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0.036</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keepNext w:val="0"/>
              <w:keepLines w:val="0"/>
              <w:widowControl/>
              <w:suppressLineNumbers w:val="0"/>
              <w:jc w:val="center"/>
              <w:textAlignment w:val="center"/>
              <w:rPr>
                <w:snapToGrid w:val="0"/>
                <w:color w:val="auto"/>
                <w:kern w:val="21"/>
                <w:sz w:val="21"/>
                <w:szCs w:val="21"/>
                <w:highlight w:val="yellow"/>
              </w:rPr>
            </w:pPr>
            <w:r>
              <w:rPr>
                <w:rFonts w:hint="eastAsia"/>
                <w:color w:val="auto"/>
                <w:sz w:val="21"/>
                <w:szCs w:val="21"/>
                <w:lang w:val="en-US" w:eastAsia="zh-CN"/>
              </w:rPr>
              <w:t>0.6233</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 w:val="21"/>
                <w:szCs w:val="21"/>
                <w:highlight w:val="yellow"/>
              </w:rPr>
            </w:pPr>
            <w:r>
              <w:rPr>
                <w:rFonts w:hint="eastAsia" w:ascii="Times New Roman"/>
                <w:snapToGrid w:val="0"/>
                <w:color w:val="auto"/>
                <w:kern w:val="21"/>
                <w:szCs w:val="21"/>
                <w:lang w:val="en-US" w:eastAsia="zh-CN"/>
              </w:rPr>
              <w:t>0.036</w:t>
            </w:r>
          </w:p>
        </w:tc>
        <w:tc>
          <w:tcPr>
            <w:tcW w:w="1843" w:type="dxa"/>
            <w:vAlign w:val="center"/>
          </w:tcPr>
          <w:p>
            <w:pPr>
              <w:keepNext w:val="0"/>
              <w:keepLines w:val="0"/>
              <w:widowControl/>
              <w:suppressLineNumbers w:val="0"/>
              <w:jc w:val="center"/>
              <w:textAlignment w:val="center"/>
              <w:rPr>
                <w:snapToGrid w:val="0"/>
                <w:color w:val="auto"/>
                <w:kern w:val="21"/>
                <w:sz w:val="21"/>
                <w:szCs w:val="21"/>
                <w:highlight w:val="yellow"/>
              </w:rPr>
            </w:pPr>
            <w:r>
              <w:rPr>
                <w:rFonts w:hint="eastAsia"/>
                <w:color w:val="auto"/>
                <w:sz w:val="21"/>
                <w:szCs w:val="21"/>
                <w:lang w:val="en-US" w:eastAsia="zh-CN"/>
              </w:rPr>
              <w:t>0.6233</w:t>
            </w:r>
          </w:p>
        </w:tc>
        <w:tc>
          <w:tcPr>
            <w:tcW w:w="1276" w:type="dxa"/>
            <w:vAlign w:val="center"/>
          </w:tcPr>
          <w:p>
            <w:pPr>
              <w:keepNext w:val="0"/>
              <w:keepLines w:val="0"/>
              <w:widowControl/>
              <w:suppressLineNumbers w:val="0"/>
              <w:jc w:val="center"/>
              <w:textAlignment w:val="center"/>
              <w:rPr>
                <w:rFonts w:hint="default" w:eastAsia="宋体"/>
                <w:snapToGrid w:val="0"/>
                <w:color w:val="auto"/>
                <w:kern w:val="21"/>
                <w:szCs w:val="21"/>
                <w:highlight w:val="yellow"/>
                <w:lang w:val="en-US" w:eastAsia="zh-CN"/>
              </w:rPr>
            </w:pPr>
            <w:r>
              <w:rPr>
                <w:rFonts w:hint="eastAsia"/>
                <w:snapToGrid w:val="0"/>
                <w:color w:val="auto"/>
                <w:kern w:val="21"/>
                <w:szCs w:val="21"/>
                <w:highlight w:val="none"/>
                <w:lang w:val="en-US" w:eastAsia="zh-CN"/>
              </w:rPr>
              <w:t>0.5873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Times New Roman" w:eastAsia="宋体" w:cs="Times New Roman"/>
                <w:snapToGrid w:val="0"/>
                <w:color w:val="auto"/>
                <w:kern w:val="21"/>
                <w:szCs w:val="21"/>
              </w:rPr>
              <w:t>SO</w:t>
            </w:r>
            <w:r>
              <w:rPr>
                <w:rFonts w:ascii="Times New Roman" w:hAnsi="Times New Roman" w:eastAsia="宋体" w:cs="Times New Roman"/>
                <w:snapToGrid w:val="0"/>
                <w:color w:val="auto"/>
                <w:kern w:val="21"/>
                <w:szCs w:val="21"/>
                <w:vertAlign w:val="subscript"/>
              </w:rPr>
              <w:t>2</w:t>
            </w:r>
          </w:p>
        </w:tc>
        <w:tc>
          <w:tcPr>
            <w:tcW w:w="1701" w:type="dxa"/>
            <w:vAlign w:val="center"/>
          </w:tcPr>
          <w:p>
            <w:pPr>
              <w:pStyle w:val="96"/>
              <w:adjustRightInd/>
              <w:snapToGrid/>
              <w:spacing w:beforeLines="0" w:afterLines="0" w:line="240" w:lineRule="auto"/>
              <w:contextualSpacing/>
              <w:rPr>
                <w:rFonts w:hint="default"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0.013</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keepNext w:val="0"/>
              <w:keepLines w:val="0"/>
              <w:widowControl/>
              <w:suppressLineNumbers w:val="0"/>
              <w:jc w:val="center"/>
              <w:textAlignment w:val="center"/>
              <w:rPr>
                <w:snapToGrid w:val="0"/>
                <w:color w:val="auto"/>
                <w:kern w:val="21"/>
                <w:sz w:val="21"/>
                <w:szCs w:val="21"/>
              </w:rPr>
            </w:pPr>
            <w:r>
              <w:rPr>
                <w:rFonts w:hint="eastAsia"/>
                <w:color w:val="auto"/>
                <w:sz w:val="21"/>
                <w:szCs w:val="21"/>
                <w:lang w:val="en-US" w:eastAsia="zh-CN"/>
              </w:rPr>
              <w:t>0.113</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 w:val="21"/>
                <w:szCs w:val="21"/>
              </w:rPr>
            </w:pPr>
            <w:r>
              <w:rPr>
                <w:rFonts w:hint="eastAsia" w:ascii="Times New Roman"/>
                <w:snapToGrid w:val="0"/>
                <w:color w:val="auto"/>
                <w:kern w:val="21"/>
                <w:szCs w:val="21"/>
                <w:lang w:val="en-US" w:eastAsia="zh-CN"/>
              </w:rPr>
              <w:t>0.013</w:t>
            </w:r>
          </w:p>
        </w:tc>
        <w:tc>
          <w:tcPr>
            <w:tcW w:w="1843" w:type="dxa"/>
            <w:vAlign w:val="center"/>
          </w:tcPr>
          <w:p>
            <w:pPr>
              <w:keepNext w:val="0"/>
              <w:keepLines w:val="0"/>
              <w:widowControl/>
              <w:suppressLineNumbers w:val="0"/>
              <w:jc w:val="center"/>
              <w:textAlignment w:val="center"/>
              <w:rPr>
                <w:snapToGrid w:val="0"/>
                <w:color w:val="auto"/>
                <w:kern w:val="21"/>
                <w:sz w:val="21"/>
                <w:szCs w:val="21"/>
              </w:rPr>
            </w:pPr>
            <w:r>
              <w:rPr>
                <w:rFonts w:hint="eastAsia"/>
                <w:color w:val="auto"/>
                <w:sz w:val="21"/>
                <w:szCs w:val="21"/>
                <w:lang w:val="en-US" w:eastAsia="zh-CN"/>
              </w:rPr>
              <w:t>0.113</w:t>
            </w:r>
          </w:p>
        </w:tc>
        <w:tc>
          <w:tcPr>
            <w:tcW w:w="1276" w:type="dxa"/>
            <w:vAlign w:val="center"/>
          </w:tcPr>
          <w:p>
            <w:pPr>
              <w:keepNext w:val="0"/>
              <w:keepLines w:val="0"/>
              <w:widowControl/>
              <w:suppressLineNumbers w:val="0"/>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Times New Roman" w:eastAsia="宋体" w:cs="Times New Roman"/>
                <w:snapToGrid w:val="0"/>
                <w:color w:val="auto"/>
                <w:kern w:val="21"/>
                <w:szCs w:val="21"/>
              </w:rPr>
              <w:t>NO</w:t>
            </w:r>
            <w:r>
              <w:rPr>
                <w:rFonts w:ascii="Times New Roman" w:hAnsi="Times New Roman" w:eastAsia="宋体" w:cs="Times New Roman"/>
                <w:snapToGrid w:val="0"/>
                <w:color w:val="auto"/>
                <w:kern w:val="21"/>
                <w:szCs w:val="21"/>
                <w:vertAlign w:val="subscript"/>
              </w:rPr>
              <w:t>x</w:t>
            </w:r>
          </w:p>
        </w:tc>
        <w:tc>
          <w:tcPr>
            <w:tcW w:w="1701" w:type="dxa"/>
            <w:vAlign w:val="center"/>
          </w:tcPr>
          <w:p>
            <w:pPr>
              <w:pStyle w:val="96"/>
              <w:adjustRightInd/>
              <w:snapToGrid/>
              <w:spacing w:beforeLines="0" w:afterLines="0" w:line="240" w:lineRule="auto"/>
              <w:contextualSpacing/>
              <w:rPr>
                <w:rFonts w:hint="default"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0.376</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keepNext w:val="0"/>
              <w:keepLines w:val="0"/>
              <w:widowControl/>
              <w:suppressLineNumbers w:val="0"/>
              <w:jc w:val="center"/>
              <w:textAlignment w:val="center"/>
              <w:rPr>
                <w:snapToGrid w:val="0"/>
                <w:color w:val="auto"/>
                <w:kern w:val="21"/>
                <w:sz w:val="21"/>
                <w:szCs w:val="21"/>
              </w:rPr>
            </w:pPr>
            <w:r>
              <w:rPr>
                <w:rFonts w:hint="eastAsia"/>
                <w:color w:val="auto"/>
                <w:sz w:val="21"/>
                <w:szCs w:val="21"/>
                <w:lang w:val="en-US" w:eastAsia="zh-CN"/>
              </w:rPr>
              <w:t>0.589</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 w:val="21"/>
                <w:szCs w:val="21"/>
              </w:rPr>
            </w:pPr>
            <w:r>
              <w:rPr>
                <w:rFonts w:hint="eastAsia" w:ascii="Times New Roman"/>
                <w:snapToGrid w:val="0"/>
                <w:color w:val="auto"/>
                <w:kern w:val="21"/>
                <w:szCs w:val="21"/>
                <w:lang w:val="en-US" w:eastAsia="zh-CN"/>
              </w:rPr>
              <w:t>0.376</w:t>
            </w:r>
          </w:p>
        </w:tc>
        <w:tc>
          <w:tcPr>
            <w:tcW w:w="1843" w:type="dxa"/>
            <w:vAlign w:val="center"/>
          </w:tcPr>
          <w:p>
            <w:pPr>
              <w:keepNext w:val="0"/>
              <w:keepLines w:val="0"/>
              <w:widowControl/>
              <w:suppressLineNumbers w:val="0"/>
              <w:jc w:val="center"/>
              <w:textAlignment w:val="center"/>
              <w:rPr>
                <w:snapToGrid w:val="0"/>
                <w:color w:val="auto"/>
                <w:kern w:val="21"/>
                <w:sz w:val="21"/>
                <w:szCs w:val="21"/>
              </w:rPr>
            </w:pPr>
            <w:r>
              <w:rPr>
                <w:rFonts w:hint="eastAsia"/>
                <w:color w:val="auto"/>
                <w:sz w:val="21"/>
                <w:szCs w:val="21"/>
                <w:lang w:val="en-US" w:eastAsia="zh-CN"/>
              </w:rPr>
              <w:t>0.589</w:t>
            </w:r>
          </w:p>
        </w:tc>
        <w:tc>
          <w:tcPr>
            <w:tcW w:w="1276" w:type="dxa"/>
            <w:vAlign w:val="center"/>
          </w:tcPr>
          <w:p>
            <w:pPr>
              <w:keepNext w:val="0"/>
              <w:keepLines w:val="0"/>
              <w:widowControl/>
              <w:suppressLineNumbers w:val="0"/>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0.576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Times New Roman" w:eastAsia="宋体" w:cs="Times New Roman"/>
                <w:snapToGrid w:val="0"/>
                <w:color w:val="auto"/>
                <w:kern w:val="21"/>
                <w:szCs w:val="21"/>
              </w:rPr>
              <w:t>苯并[a]芘</w:t>
            </w:r>
          </w:p>
        </w:tc>
        <w:tc>
          <w:tcPr>
            <w:tcW w:w="1701" w:type="dxa"/>
            <w:vAlign w:val="center"/>
          </w:tcPr>
          <w:p>
            <w:pPr>
              <w:pStyle w:val="96"/>
              <w:adjustRightInd/>
              <w:snapToGrid/>
              <w:spacing w:beforeLines="0" w:afterLines="0" w:line="240" w:lineRule="auto"/>
              <w:contextualSpacing/>
              <w:rPr>
                <w:rFonts w:hint="default"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0.0000002</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keepNext w:val="0"/>
              <w:keepLines w:val="0"/>
              <w:widowControl/>
              <w:suppressLineNumbers w:val="0"/>
              <w:jc w:val="center"/>
              <w:textAlignment w:val="center"/>
              <w:rPr>
                <w:snapToGrid w:val="0"/>
                <w:color w:val="auto"/>
                <w:kern w:val="21"/>
                <w:sz w:val="21"/>
                <w:szCs w:val="21"/>
              </w:rPr>
            </w:pPr>
            <w:r>
              <w:rPr>
                <w:rFonts w:hint="eastAsia"/>
                <w:color w:val="auto"/>
                <w:sz w:val="21"/>
                <w:szCs w:val="21"/>
                <w:lang w:val="en-US" w:eastAsia="zh-CN"/>
              </w:rPr>
              <w:t>4.5</w:t>
            </w:r>
            <w:r>
              <w:rPr>
                <w:rFonts w:hint="eastAsia" w:ascii="宋体" w:hAnsi="宋体" w:cs="宋体"/>
                <w:color w:val="auto"/>
                <w:sz w:val="21"/>
                <w:szCs w:val="21"/>
              </w:rPr>
              <w:t>×</w:t>
            </w:r>
            <w:r>
              <w:rPr>
                <w:color w:val="auto"/>
                <w:sz w:val="21"/>
                <w:szCs w:val="21"/>
              </w:rPr>
              <w:t>10</w:t>
            </w:r>
            <w:r>
              <w:rPr>
                <w:color w:val="auto"/>
                <w:sz w:val="21"/>
                <w:szCs w:val="21"/>
                <w:vertAlign w:val="superscript"/>
              </w:rPr>
              <w:t>-</w:t>
            </w:r>
            <w:r>
              <w:rPr>
                <w:rFonts w:hint="eastAsia"/>
                <w:color w:val="auto"/>
                <w:sz w:val="21"/>
                <w:szCs w:val="21"/>
                <w:vertAlign w:val="superscript"/>
                <w:lang w:val="en-US" w:eastAsia="zh-CN"/>
              </w:rPr>
              <w:t>7</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 w:val="21"/>
                <w:szCs w:val="21"/>
              </w:rPr>
            </w:pPr>
            <w:r>
              <w:rPr>
                <w:rFonts w:hint="eastAsia" w:ascii="Times New Roman"/>
                <w:snapToGrid w:val="0"/>
                <w:color w:val="auto"/>
                <w:kern w:val="21"/>
                <w:szCs w:val="21"/>
                <w:lang w:val="en-US" w:eastAsia="zh-CN"/>
              </w:rPr>
              <w:t>0.0000002</w:t>
            </w:r>
          </w:p>
        </w:tc>
        <w:tc>
          <w:tcPr>
            <w:tcW w:w="1843" w:type="dxa"/>
            <w:vAlign w:val="center"/>
          </w:tcPr>
          <w:p>
            <w:pPr>
              <w:keepNext w:val="0"/>
              <w:keepLines w:val="0"/>
              <w:widowControl/>
              <w:suppressLineNumbers w:val="0"/>
              <w:jc w:val="center"/>
              <w:textAlignment w:val="center"/>
              <w:rPr>
                <w:snapToGrid w:val="0"/>
                <w:color w:val="auto"/>
                <w:kern w:val="21"/>
                <w:sz w:val="21"/>
                <w:szCs w:val="21"/>
              </w:rPr>
            </w:pPr>
            <w:r>
              <w:rPr>
                <w:rFonts w:hint="eastAsia"/>
                <w:color w:val="auto"/>
                <w:sz w:val="21"/>
                <w:szCs w:val="21"/>
                <w:lang w:val="en-US" w:eastAsia="zh-CN"/>
              </w:rPr>
              <w:t>4.5</w:t>
            </w:r>
            <w:r>
              <w:rPr>
                <w:rFonts w:hint="eastAsia" w:ascii="宋体" w:hAnsi="宋体" w:cs="宋体"/>
                <w:color w:val="auto"/>
                <w:sz w:val="21"/>
                <w:szCs w:val="21"/>
              </w:rPr>
              <w:t>×</w:t>
            </w:r>
            <w:r>
              <w:rPr>
                <w:color w:val="auto"/>
                <w:sz w:val="21"/>
                <w:szCs w:val="21"/>
              </w:rPr>
              <w:t>10</w:t>
            </w:r>
            <w:r>
              <w:rPr>
                <w:color w:val="auto"/>
                <w:sz w:val="21"/>
                <w:szCs w:val="21"/>
                <w:vertAlign w:val="superscript"/>
              </w:rPr>
              <w:t>-</w:t>
            </w:r>
            <w:r>
              <w:rPr>
                <w:rFonts w:hint="eastAsia"/>
                <w:color w:val="auto"/>
                <w:sz w:val="21"/>
                <w:szCs w:val="21"/>
                <w:vertAlign w:val="superscript"/>
                <w:lang w:val="en-US" w:eastAsia="zh-CN"/>
              </w:rPr>
              <w:t>7</w:t>
            </w:r>
          </w:p>
        </w:tc>
        <w:tc>
          <w:tcPr>
            <w:tcW w:w="1276" w:type="dxa"/>
            <w:vAlign w:val="center"/>
          </w:tcPr>
          <w:p>
            <w:pPr>
              <w:keepNext w:val="0"/>
              <w:keepLines w:val="0"/>
              <w:widowControl/>
              <w:suppressLineNumbers w:val="0"/>
              <w:jc w:val="center"/>
              <w:textAlignment w:val="center"/>
              <w:rPr>
                <w:rFonts w:hint="default" w:eastAsia="宋体"/>
                <w:snapToGrid w:val="0"/>
                <w:color w:val="auto"/>
                <w:kern w:val="21"/>
                <w:szCs w:val="21"/>
                <w:lang w:val="en-US" w:eastAsia="zh-CN"/>
              </w:rPr>
            </w:pPr>
            <w:r>
              <w:rPr>
                <w:rFonts w:hint="eastAsia"/>
                <w:snapToGrid w:val="0"/>
                <w:color w:val="auto"/>
                <w:kern w:val="21"/>
                <w:szCs w:val="21"/>
                <w:lang w:val="en-US" w:eastAsia="zh-CN"/>
              </w:rPr>
              <w:t>2.5</w:t>
            </w:r>
            <w:r>
              <w:rPr>
                <w:rFonts w:hint="eastAsia" w:ascii="宋体" w:hAnsi="宋体" w:cs="宋体"/>
                <w:color w:val="auto"/>
                <w:sz w:val="21"/>
                <w:szCs w:val="21"/>
              </w:rPr>
              <w:t>×</w:t>
            </w:r>
            <w:r>
              <w:rPr>
                <w:color w:val="auto"/>
                <w:sz w:val="21"/>
                <w:szCs w:val="21"/>
              </w:rPr>
              <w:t>10</w:t>
            </w:r>
            <w:r>
              <w:rPr>
                <w:color w:val="auto"/>
                <w:sz w:val="21"/>
                <w:szCs w:val="21"/>
                <w:vertAlign w:val="superscript"/>
              </w:rPr>
              <w:t>-</w:t>
            </w:r>
            <w:r>
              <w:rPr>
                <w:rFonts w:hint="eastAsia"/>
                <w:color w:val="auto"/>
                <w:sz w:val="21"/>
                <w:szCs w:val="21"/>
                <w:vertAlign w:val="superscript"/>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tcPr>
          <w:p>
            <w:pPr>
              <w:pStyle w:val="96"/>
              <w:adjustRightInd/>
              <w:snapToGrid/>
              <w:spacing w:beforeLines="0" w:afterLines="0" w:line="240" w:lineRule="auto"/>
              <w:contextualSpacing/>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NMHC</w:t>
            </w:r>
          </w:p>
        </w:tc>
        <w:tc>
          <w:tcPr>
            <w:tcW w:w="1701" w:type="dxa"/>
            <w:vAlign w:val="center"/>
          </w:tcPr>
          <w:p>
            <w:pPr>
              <w:pStyle w:val="96"/>
              <w:adjustRightInd/>
              <w:snapToGrid/>
              <w:spacing w:beforeLines="0" w:afterLines="0" w:line="240" w:lineRule="auto"/>
              <w:contextualSpacing/>
              <w:rPr>
                <w:rFonts w:hint="default"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0.41</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keepNext w:val="0"/>
              <w:keepLines w:val="0"/>
              <w:widowControl/>
              <w:suppressLineNumbers w:val="0"/>
              <w:jc w:val="center"/>
              <w:textAlignment w:val="center"/>
              <w:rPr>
                <w:color w:val="auto"/>
                <w:sz w:val="21"/>
                <w:szCs w:val="21"/>
              </w:rPr>
            </w:pPr>
            <w:r>
              <w:rPr>
                <w:rFonts w:hint="eastAsia" w:cs="Times New Roman"/>
                <w:color w:val="auto"/>
                <w:kern w:val="2"/>
                <w:sz w:val="21"/>
                <w:szCs w:val="21"/>
                <w:highlight w:val="none"/>
                <w:lang w:val="en-US" w:eastAsia="zh-CN" w:bidi="ar-SA"/>
              </w:rPr>
              <w:t>0.0012</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 w:val="21"/>
                <w:szCs w:val="21"/>
              </w:rPr>
            </w:pPr>
            <w:r>
              <w:rPr>
                <w:rFonts w:hint="eastAsia" w:ascii="Times New Roman"/>
                <w:snapToGrid w:val="0"/>
                <w:color w:val="auto"/>
                <w:kern w:val="21"/>
                <w:szCs w:val="21"/>
                <w:lang w:val="en-US" w:eastAsia="zh-CN"/>
              </w:rPr>
              <w:t>0.41</w:t>
            </w:r>
          </w:p>
        </w:tc>
        <w:tc>
          <w:tcPr>
            <w:tcW w:w="1843" w:type="dxa"/>
            <w:vAlign w:val="center"/>
          </w:tcPr>
          <w:p>
            <w:pPr>
              <w:keepNext w:val="0"/>
              <w:keepLines w:val="0"/>
              <w:widowControl/>
              <w:suppressLineNumbers w:val="0"/>
              <w:jc w:val="center"/>
              <w:textAlignment w:val="center"/>
              <w:rPr>
                <w:color w:val="auto"/>
                <w:sz w:val="21"/>
                <w:szCs w:val="21"/>
              </w:rPr>
            </w:pPr>
            <w:r>
              <w:rPr>
                <w:rFonts w:hint="eastAsia" w:cs="Times New Roman"/>
                <w:color w:val="auto"/>
                <w:kern w:val="2"/>
                <w:sz w:val="21"/>
                <w:szCs w:val="21"/>
                <w:highlight w:val="none"/>
                <w:lang w:val="en-US" w:eastAsia="zh-CN" w:bidi="ar-SA"/>
              </w:rPr>
              <w:t>0.0012</w:t>
            </w:r>
          </w:p>
        </w:tc>
        <w:tc>
          <w:tcPr>
            <w:tcW w:w="1276" w:type="dxa"/>
            <w:vAlign w:val="center"/>
          </w:tcPr>
          <w:p>
            <w:pPr>
              <w:keepNext w:val="0"/>
              <w:keepLines w:val="0"/>
              <w:widowControl/>
              <w:suppressLineNumbers w:val="0"/>
              <w:jc w:val="center"/>
              <w:textAlignment w:val="center"/>
              <w:rPr>
                <w:rFonts w:hint="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60" w:type="dxa"/>
            <w:vMerge w:val="restart"/>
            <w:vAlign w:val="center"/>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宋体"/>
                <w:snapToGrid w:val="0"/>
                <w:color w:val="auto"/>
                <w:kern w:val="21"/>
                <w:szCs w:val="21"/>
              </w:rPr>
              <w:t>废水</w:t>
            </w:r>
          </w:p>
        </w:tc>
        <w:tc>
          <w:tcPr>
            <w:tcW w:w="1560" w:type="dxa"/>
            <w:vAlign w:val="center"/>
          </w:tcPr>
          <w:p>
            <w:pPr>
              <w:pStyle w:val="96"/>
              <w:adjustRightInd/>
              <w:snapToGrid/>
              <w:spacing w:beforeLines="0" w:afterLines="0" w:line="240" w:lineRule="auto"/>
              <w:contextualSpacing/>
              <w:rPr>
                <w:rFonts w:ascii="Times New Roman"/>
                <w:snapToGrid w:val="0"/>
                <w:color w:val="auto"/>
                <w:kern w:val="21"/>
                <w:szCs w:val="21"/>
              </w:rPr>
            </w:pPr>
            <w:r>
              <w:rPr>
                <w:rFonts w:hint="eastAsia" w:ascii="Times New Roman"/>
                <w:snapToGrid w:val="0"/>
                <w:color w:val="auto"/>
                <w:kern w:val="21"/>
                <w:szCs w:val="21"/>
              </w:rPr>
              <w:t>COD</w:t>
            </w:r>
          </w:p>
        </w:tc>
        <w:tc>
          <w:tcPr>
            <w:tcW w:w="1701" w:type="dxa"/>
            <w:vAlign w:val="center"/>
          </w:tcPr>
          <w:p>
            <w:pPr>
              <w:pStyle w:val="96"/>
              <w:adjustRightInd/>
              <w:snapToGrid/>
              <w:spacing w:beforeLines="0" w:afterLines="0" w:line="240" w:lineRule="auto"/>
              <w:contextualSpacing/>
              <w:rPr>
                <w:rFonts w:hint="eastAsia"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autoSpaceDE w:val="0"/>
              <w:autoSpaceDN w:val="0"/>
              <w:spacing w:line="240" w:lineRule="atLeast"/>
              <w:contextualSpacing/>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3" w:type="dxa"/>
            <w:vAlign w:val="center"/>
          </w:tcPr>
          <w:p>
            <w:pPr>
              <w:autoSpaceDE w:val="0"/>
              <w:autoSpaceDN w:val="0"/>
              <w:spacing w:line="240" w:lineRule="atLeast"/>
              <w:contextualSpacing/>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276" w:type="dxa"/>
            <w:vAlign w:val="center"/>
          </w:tcPr>
          <w:p>
            <w:pPr>
              <w:autoSpaceDE w:val="0"/>
              <w:autoSpaceDN w:val="0"/>
              <w:spacing w:line="240" w:lineRule="atLeast"/>
              <w:contextualSpacing/>
              <w:jc w:val="center"/>
              <w:rPr>
                <w:rFonts w:hint="eastAsia" w:eastAsia="宋体"/>
                <w:bCs/>
                <w:color w:val="auto"/>
                <w:sz w:val="21"/>
                <w:szCs w:val="21"/>
                <w:lang w:val="en-US" w:eastAsia="zh-CN"/>
              </w:rPr>
            </w:pPr>
            <w:r>
              <w:rPr>
                <w:rFonts w:hint="eastAsia"/>
                <w:bCs/>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vAlign w:val="center"/>
          </w:tcPr>
          <w:p>
            <w:pPr>
              <w:pStyle w:val="96"/>
              <w:adjustRightInd/>
              <w:snapToGrid/>
              <w:spacing w:beforeLines="0" w:afterLines="0" w:line="240" w:lineRule="auto"/>
              <w:contextualSpacing/>
              <w:rPr>
                <w:rFonts w:ascii="Times New Roman"/>
                <w:snapToGrid w:val="0"/>
                <w:color w:val="auto"/>
                <w:kern w:val="21"/>
                <w:szCs w:val="21"/>
              </w:rPr>
            </w:pPr>
            <w:r>
              <w:rPr>
                <w:rFonts w:hint="eastAsia" w:ascii="Times New Roman"/>
                <w:snapToGrid w:val="0"/>
                <w:color w:val="auto"/>
                <w:kern w:val="21"/>
                <w:szCs w:val="21"/>
              </w:rPr>
              <w:t>氨氮</w:t>
            </w:r>
          </w:p>
        </w:tc>
        <w:tc>
          <w:tcPr>
            <w:tcW w:w="1701" w:type="dxa"/>
            <w:vAlign w:val="center"/>
          </w:tcPr>
          <w:p>
            <w:pPr>
              <w:pStyle w:val="96"/>
              <w:adjustRightInd/>
              <w:snapToGrid/>
              <w:spacing w:beforeLines="0" w:afterLines="0" w:line="240" w:lineRule="auto"/>
              <w:contextualSpacing/>
              <w:rPr>
                <w:rFonts w:hint="eastAsia" w:ascii="Times New Roman" w:eastAsiaTheme="minorEastAsia"/>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autoSpaceDE w:val="0"/>
              <w:autoSpaceDN w:val="0"/>
              <w:spacing w:line="240" w:lineRule="atLeast"/>
              <w:contextualSpacing/>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3" w:type="dxa"/>
            <w:vAlign w:val="center"/>
          </w:tcPr>
          <w:p>
            <w:pPr>
              <w:autoSpaceDE w:val="0"/>
              <w:autoSpaceDN w:val="0"/>
              <w:spacing w:line="240" w:lineRule="atLeast"/>
              <w:contextualSpacing/>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276" w:type="dxa"/>
            <w:vAlign w:val="center"/>
          </w:tcPr>
          <w:p>
            <w:pPr>
              <w:autoSpaceDE w:val="0"/>
              <w:autoSpaceDN w:val="0"/>
              <w:spacing w:line="240" w:lineRule="atLeast"/>
              <w:contextualSpacing/>
              <w:jc w:val="center"/>
              <w:rPr>
                <w:rFonts w:hint="eastAsia" w:eastAsia="宋体"/>
                <w:bCs/>
                <w:color w:val="auto"/>
                <w:sz w:val="21"/>
                <w:szCs w:val="21"/>
                <w:lang w:val="en-US" w:eastAsia="zh-CN"/>
              </w:rPr>
            </w:pPr>
            <w:r>
              <w:rPr>
                <w:rFonts w:hint="eastAsia"/>
                <w:bCs/>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60" w:type="dxa"/>
            <w:vMerge w:val="restart"/>
            <w:vAlign w:val="center"/>
          </w:tcPr>
          <w:p>
            <w:pPr>
              <w:pStyle w:val="96"/>
              <w:adjustRightInd/>
              <w:snapToGrid/>
              <w:spacing w:beforeLines="0" w:afterLines="0" w:line="240" w:lineRule="auto"/>
              <w:contextualSpacing/>
              <w:rPr>
                <w:rFonts w:ascii="Times New Roman" w:hAnsi="宋体"/>
                <w:snapToGrid w:val="0"/>
                <w:color w:val="auto"/>
                <w:kern w:val="21"/>
                <w:szCs w:val="21"/>
              </w:rPr>
            </w:pPr>
            <w:r>
              <w:rPr>
                <w:rFonts w:ascii="Times New Roman" w:hAnsi="宋体"/>
                <w:snapToGrid w:val="0"/>
                <w:color w:val="auto"/>
                <w:kern w:val="21"/>
                <w:szCs w:val="21"/>
              </w:rPr>
              <w:t>一般工业固体废物</w:t>
            </w:r>
          </w:p>
        </w:tc>
        <w:tc>
          <w:tcPr>
            <w:tcW w:w="1560" w:type="dxa"/>
          </w:tcPr>
          <w:p>
            <w:pPr>
              <w:pStyle w:val="96"/>
              <w:adjustRightInd/>
              <w:snapToGrid/>
              <w:spacing w:beforeLines="0" w:afterLines="0" w:line="240" w:lineRule="auto"/>
              <w:contextualSpacing/>
              <w:rPr>
                <w:rFonts w:ascii="Times New Roman" w:hAnsi="宋体"/>
                <w:snapToGrid w:val="0"/>
                <w:color w:val="auto"/>
                <w:kern w:val="21"/>
                <w:szCs w:val="21"/>
              </w:rPr>
            </w:pPr>
            <w:r>
              <w:rPr>
                <w:rFonts w:ascii="Times New Roman" w:hAnsi="宋体" w:eastAsia="宋体" w:cs="Times New Roman"/>
                <w:snapToGrid w:val="0"/>
                <w:color w:val="auto"/>
                <w:kern w:val="21"/>
                <w:szCs w:val="21"/>
              </w:rPr>
              <w:t>回收粉尘</w:t>
            </w:r>
          </w:p>
        </w:tc>
        <w:tc>
          <w:tcPr>
            <w:tcW w:w="1701"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jc w:val="center"/>
              <w:rPr>
                <w:color w:val="auto"/>
                <w:szCs w:val="21"/>
              </w:rPr>
            </w:pPr>
            <w:r>
              <w:rPr>
                <w:rFonts w:hint="eastAsia"/>
                <w:color w:val="auto"/>
                <w:sz w:val="21"/>
                <w:szCs w:val="21"/>
                <w:lang w:val="en-US" w:eastAsia="zh-CN"/>
              </w:rPr>
              <w:t>61.71</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3" w:type="dxa"/>
            <w:vAlign w:val="center"/>
          </w:tcPr>
          <w:p>
            <w:pPr>
              <w:jc w:val="center"/>
              <w:rPr>
                <w:rFonts w:hAnsi="宋体"/>
                <w:color w:val="auto"/>
                <w:szCs w:val="21"/>
              </w:rPr>
            </w:pPr>
            <w:r>
              <w:rPr>
                <w:rFonts w:hint="eastAsia"/>
                <w:color w:val="auto"/>
                <w:sz w:val="21"/>
                <w:szCs w:val="21"/>
                <w:lang w:val="en-US" w:eastAsia="zh-CN"/>
              </w:rPr>
              <w:t>61.71</w:t>
            </w:r>
          </w:p>
        </w:tc>
        <w:tc>
          <w:tcPr>
            <w:tcW w:w="1276" w:type="dxa"/>
            <w:vAlign w:val="center"/>
          </w:tcPr>
          <w:p>
            <w:pPr>
              <w:jc w:val="center"/>
              <w:rPr>
                <w:rFonts w:hAnsi="宋体"/>
                <w:color w:val="auto"/>
                <w:szCs w:val="21"/>
              </w:rPr>
            </w:pPr>
            <w:r>
              <w:rPr>
                <w:rFonts w:hint="eastAsia"/>
                <w:color w:val="auto"/>
                <w:sz w:val="21"/>
                <w:szCs w:val="21"/>
                <w:lang w:val="en-US" w:eastAsia="zh-CN"/>
              </w:rPr>
              <w:t>61.71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tcPr>
          <w:p>
            <w:pPr>
              <w:pStyle w:val="96"/>
              <w:adjustRightInd/>
              <w:snapToGrid/>
              <w:spacing w:beforeLines="0" w:afterLines="0" w:line="240" w:lineRule="auto"/>
              <w:contextualSpacing/>
              <w:rPr>
                <w:rFonts w:hint="default" w:ascii="Times New Roman" w:hAnsi="宋体" w:eastAsia="宋体" w:cs="Times New Roman"/>
                <w:snapToGrid w:val="0"/>
                <w:color w:val="auto"/>
                <w:kern w:val="21"/>
                <w:szCs w:val="21"/>
                <w:lang w:val="en-US" w:eastAsia="zh-CN"/>
              </w:rPr>
            </w:pPr>
            <w:r>
              <w:rPr>
                <w:rFonts w:hint="eastAsia" w:ascii="Times New Roman" w:hAnsi="宋体" w:eastAsia="宋体" w:cs="Times New Roman"/>
                <w:snapToGrid w:val="0"/>
                <w:color w:val="auto"/>
                <w:kern w:val="21"/>
                <w:szCs w:val="21"/>
                <w:lang w:val="en-US" w:eastAsia="zh-CN"/>
              </w:rPr>
              <w:t>废布袋</w:t>
            </w:r>
          </w:p>
        </w:tc>
        <w:tc>
          <w:tcPr>
            <w:tcW w:w="1701"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jc w:val="center"/>
              <w:rPr>
                <w:rFonts w:hint="eastAsia"/>
                <w:color w:val="auto"/>
                <w:sz w:val="21"/>
                <w:szCs w:val="21"/>
              </w:rPr>
            </w:pPr>
            <w:r>
              <w:rPr>
                <w:rFonts w:eastAsiaTheme="minorEastAsia"/>
                <w:color w:val="auto"/>
                <w:sz w:val="21"/>
                <w:szCs w:val="21"/>
              </w:rPr>
              <w:t>0.2t/3a</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 w:val="21"/>
                <w:szCs w:val="21"/>
              </w:rPr>
            </w:pPr>
          </w:p>
        </w:tc>
        <w:tc>
          <w:tcPr>
            <w:tcW w:w="1843" w:type="dxa"/>
            <w:vAlign w:val="center"/>
          </w:tcPr>
          <w:p>
            <w:pPr>
              <w:jc w:val="center"/>
              <w:rPr>
                <w:rFonts w:hint="eastAsia"/>
                <w:color w:val="auto"/>
                <w:sz w:val="21"/>
                <w:szCs w:val="21"/>
              </w:rPr>
            </w:pPr>
            <w:r>
              <w:rPr>
                <w:rFonts w:eastAsiaTheme="minorEastAsia"/>
                <w:color w:val="auto"/>
                <w:sz w:val="21"/>
                <w:szCs w:val="21"/>
              </w:rPr>
              <w:t>0.2t/3a</w:t>
            </w:r>
          </w:p>
        </w:tc>
        <w:tc>
          <w:tcPr>
            <w:tcW w:w="1276" w:type="dxa"/>
            <w:vAlign w:val="center"/>
          </w:tcPr>
          <w:p>
            <w:pPr>
              <w:jc w:val="center"/>
              <w:rPr>
                <w:rFonts w:hint="eastAsia"/>
                <w:color w:val="auto"/>
                <w:sz w:val="21"/>
                <w:szCs w:val="21"/>
              </w:rPr>
            </w:pPr>
            <w:r>
              <w:rPr>
                <w:rFonts w:eastAsiaTheme="minorEastAsia"/>
                <w:color w:val="auto"/>
                <w:sz w:val="21"/>
                <w:szCs w:val="21"/>
              </w:rPr>
              <w:t>0.2t/3a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tcPr>
          <w:p>
            <w:pPr>
              <w:pStyle w:val="96"/>
              <w:adjustRightInd/>
              <w:snapToGrid/>
              <w:spacing w:beforeLines="0" w:afterLines="0" w:line="240" w:lineRule="auto"/>
              <w:contextualSpacing/>
              <w:rPr>
                <w:rFonts w:ascii="Times New Roman" w:hAnsi="宋体"/>
                <w:snapToGrid w:val="0"/>
                <w:color w:val="auto"/>
                <w:kern w:val="21"/>
                <w:szCs w:val="21"/>
              </w:rPr>
            </w:pPr>
            <w:r>
              <w:rPr>
                <w:rFonts w:ascii="Times New Roman" w:hAnsi="宋体" w:eastAsia="宋体" w:cs="Times New Roman"/>
                <w:snapToGrid w:val="0"/>
                <w:color w:val="auto"/>
                <w:kern w:val="21"/>
                <w:szCs w:val="21"/>
              </w:rPr>
              <w:t>不合格石料</w:t>
            </w:r>
          </w:p>
        </w:tc>
        <w:tc>
          <w:tcPr>
            <w:tcW w:w="1701"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134"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560" w:type="dxa"/>
            <w:vAlign w:val="center"/>
          </w:tcPr>
          <w:p>
            <w:pPr>
              <w:jc w:val="center"/>
              <w:rPr>
                <w:color w:val="auto"/>
                <w:szCs w:val="21"/>
              </w:rPr>
            </w:pPr>
            <w:r>
              <w:rPr>
                <w:rFonts w:hint="eastAsia"/>
                <w:color w:val="auto"/>
                <w:szCs w:val="21"/>
              </w:rPr>
              <w:t>30</w:t>
            </w:r>
          </w:p>
        </w:tc>
        <w:tc>
          <w:tcPr>
            <w:tcW w:w="1842" w:type="dxa"/>
            <w:vAlign w:val="center"/>
          </w:tcPr>
          <w:p>
            <w:pPr>
              <w:pStyle w:val="96"/>
              <w:adjustRightInd/>
              <w:snapToGrid/>
              <w:spacing w:beforeLines="0" w:afterLines="0" w:line="240" w:lineRule="auto"/>
              <w:contextualSpacing/>
              <w:rPr>
                <w:rFonts w:ascii="Times New Roman"/>
                <w:snapToGrid w:val="0"/>
                <w:color w:val="auto"/>
                <w:kern w:val="21"/>
                <w:szCs w:val="21"/>
              </w:rPr>
            </w:pPr>
          </w:p>
        </w:tc>
        <w:tc>
          <w:tcPr>
            <w:tcW w:w="1843" w:type="dxa"/>
            <w:vAlign w:val="center"/>
          </w:tcPr>
          <w:p>
            <w:pPr>
              <w:jc w:val="center"/>
              <w:rPr>
                <w:rFonts w:hAnsi="宋体"/>
                <w:color w:val="auto"/>
                <w:szCs w:val="21"/>
              </w:rPr>
            </w:pPr>
            <w:r>
              <w:rPr>
                <w:rFonts w:hint="eastAsia"/>
                <w:color w:val="auto"/>
                <w:szCs w:val="21"/>
              </w:rPr>
              <w:t>30</w:t>
            </w:r>
          </w:p>
        </w:tc>
        <w:tc>
          <w:tcPr>
            <w:tcW w:w="1276" w:type="dxa"/>
            <w:vAlign w:val="center"/>
          </w:tcPr>
          <w:p>
            <w:pPr>
              <w:jc w:val="center"/>
              <w:rPr>
                <w:rFonts w:hAnsi="宋体"/>
                <w:color w:val="auto"/>
                <w:szCs w:val="21"/>
              </w:rPr>
            </w:pPr>
            <w:r>
              <w:rPr>
                <w:rFonts w:hint="eastAsia"/>
                <w:color w:val="auto"/>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60" w:type="dxa"/>
            <w:vMerge w:val="restart"/>
            <w:vAlign w:val="center"/>
          </w:tcPr>
          <w:p>
            <w:pPr>
              <w:pStyle w:val="96"/>
              <w:adjustRightInd/>
              <w:snapToGrid/>
              <w:spacing w:beforeLines="0" w:afterLines="0" w:line="240" w:lineRule="auto"/>
              <w:contextualSpacing/>
              <w:rPr>
                <w:rFonts w:ascii="Times New Roman"/>
                <w:snapToGrid w:val="0"/>
                <w:color w:val="auto"/>
                <w:kern w:val="21"/>
                <w:szCs w:val="21"/>
              </w:rPr>
            </w:pPr>
            <w:r>
              <w:rPr>
                <w:rFonts w:ascii="Times New Roman" w:hAnsi="宋体"/>
                <w:snapToGrid w:val="0"/>
                <w:color w:val="auto"/>
                <w:kern w:val="21"/>
                <w:szCs w:val="21"/>
              </w:rPr>
              <w:t>危险废物</w:t>
            </w:r>
          </w:p>
        </w:tc>
        <w:tc>
          <w:tcPr>
            <w:tcW w:w="1560" w:type="dxa"/>
            <w:shd w:val="clear" w:color="auto" w:fill="auto"/>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隔油池油污</w:t>
            </w:r>
          </w:p>
        </w:tc>
        <w:tc>
          <w:tcPr>
            <w:tcW w:w="1701"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134"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842"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560" w:type="dxa"/>
            <w:shd w:val="clear" w:color="auto" w:fill="auto"/>
            <w:vAlign w:val="center"/>
          </w:tcPr>
          <w:p>
            <w:pPr>
              <w:autoSpaceDE w:val="0"/>
              <w:autoSpaceDN w:val="0"/>
              <w:contextualSpacing/>
              <w:jc w:val="center"/>
              <w:rPr>
                <w:rFonts w:hint="default" w:ascii="Times New Roman" w:hAnsi="宋体" w:eastAsia="宋体" w:cs="Times New Roman"/>
                <w:color w:val="auto"/>
                <w:kern w:val="2"/>
                <w:sz w:val="21"/>
                <w:szCs w:val="21"/>
                <w:lang w:val="en-US" w:eastAsia="zh-CN" w:bidi="ar-SA"/>
              </w:rPr>
            </w:pPr>
            <w:r>
              <w:rPr>
                <w:rFonts w:hint="eastAsia" w:hAnsi="宋体"/>
                <w:color w:val="auto"/>
                <w:szCs w:val="21"/>
                <w:lang w:val="en-US" w:eastAsia="zh-CN"/>
              </w:rPr>
              <w:t>0.001</w:t>
            </w:r>
          </w:p>
        </w:tc>
        <w:tc>
          <w:tcPr>
            <w:tcW w:w="1842"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843" w:type="dxa"/>
            <w:shd w:val="clear" w:color="auto" w:fill="auto"/>
            <w:vAlign w:val="center"/>
          </w:tcPr>
          <w:p>
            <w:pPr>
              <w:autoSpaceDE w:val="0"/>
              <w:autoSpaceDN w:val="0"/>
              <w:contextualSpacing/>
              <w:jc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lang w:val="en-US" w:eastAsia="zh-CN"/>
              </w:rPr>
              <w:t>0.001</w:t>
            </w:r>
          </w:p>
        </w:tc>
        <w:tc>
          <w:tcPr>
            <w:tcW w:w="1276" w:type="dxa"/>
            <w:shd w:val="clear" w:color="auto" w:fill="auto"/>
            <w:vAlign w:val="center"/>
          </w:tcPr>
          <w:p>
            <w:pPr>
              <w:autoSpaceDE w:val="0"/>
              <w:autoSpaceDN w:val="0"/>
              <w:contextualSpacing/>
              <w:jc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shd w:val="clear" w:color="auto" w:fill="auto"/>
            <w:vAlign w:val="center"/>
          </w:tcPr>
          <w:p>
            <w:pPr>
              <w:topLinePunct/>
              <w:adjustRightInd w:val="0"/>
              <w:snapToGrid w:val="0"/>
              <w:jc w:val="center"/>
              <w:rPr>
                <w:rFonts w:hint="default" w:ascii="Times New Roman" w:hAnsi="宋体" w:eastAsia="宋体" w:cs="Times New Roman"/>
                <w:color w:val="auto"/>
                <w:kern w:val="2"/>
                <w:sz w:val="21"/>
                <w:szCs w:val="21"/>
                <w:lang w:val="en-US" w:eastAsia="zh-CN" w:bidi="ar-SA"/>
              </w:rPr>
            </w:pPr>
            <w:r>
              <w:rPr>
                <w:rFonts w:hint="eastAsia"/>
                <w:color w:val="auto"/>
                <w:kern w:val="0"/>
                <w:szCs w:val="21"/>
              </w:rPr>
              <w:t>废活性炭</w:t>
            </w:r>
          </w:p>
        </w:tc>
        <w:tc>
          <w:tcPr>
            <w:tcW w:w="1701"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134"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842"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560" w:type="dxa"/>
            <w:shd w:val="clear" w:color="auto" w:fill="auto"/>
            <w:vAlign w:val="center"/>
          </w:tcPr>
          <w:p>
            <w:pPr>
              <w:autoSpaceDE w:val="0"/>
              <w:autoSpaceDN w:val="0"/>
              <w:contextualSpacing/>
              <w:jc w:val="center"/>
              <w:rPr>
                <w:rFonts w:hint="default" w:ascii="Times New Roman" w:hAnsi="宋体" w:eastAsia="宋体" w:cs="Times New Roman"/>
                <w:color w:val="auto"/>
                <w:kern w:val="2"/>
                <w:sz w:val="21"/>
                <w:szCs w:val="21"/>
                <w:lang w:val="en-US" w:eastAsia="zh-CN" w:bidi="ar-SA"/>
              </w:rPr>
            </w:pPr>
            <w:r>
              <w:rPr>
                <w:rFonts w:hint="eastAsia" w:hAnsi="宋体"/>
                <w:color w:val="auto"/>
                <w:szCs w:val="21"/>
              </w:rPr>
              <w:t>0.5</w:t>
            </w:r>
          </w:p>
        </w:tc>
        <w:tc>
          <w:tcPr>
            <w:tcW w:w="1842"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843" w:type="dxa"/>
            <w:shd w:val="clear" w:color="auto" w:fill="auto"/>
            <w:vAlign w:val="center"/>
          </w:tcPr>
          <w:p>
            <w:pPr>
              <w:autoSpaceDE w:val="0"/>
              <w:autoSpaceDN w:val="0"/>
              <w:contextualSpacing/>
              <w:jc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rPr>
              <w:t>0.5</w:t>
            </w:r>
          </w:p>
        </w:tc>
        <w:tc>
          <w:tcPr>
            <w:tcW w:w="1276" w:type="dxa"/>
            <w:shd w:val="clear" w:color="auto" w:fill="auto"/>
            <w:vAlign w:val="center"/>
          </w:tcPr>
          <w:p>
            <w:pPr>
              <w:autoSpaceDE w:val="0"/>
              <w:autoSpaceDN w:val="0"/>
              <w:contextualSpacing/>
              <w:jc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60" w:type="dxa"/>
            <w:vMerge w:val="continue"/>
            <w:vAlign w:val="center"/>
          </w:tcPr>
          <w:p>
            <w:pPr>
              <w:pStyle w:val="96"/>
              <w:adjustRightInd/>
              <w:snapToGrid/>
              <w:spacing w:beforeLines="0" w:afterLines="0" w:line="240" w:lineRule="auto"/>
              <w:contextualSpacing/>
              <w:rPr>
                <w:rFonts w:ascii="Times New Roman" w:hAnsi="宋体"/>
                <w:snapToGrid w:val="0"/>
                <w:color w:val="auto"/>
                <w:kern w:val="21"/>
                <w:szCs w:val="21"/>
              </w:rPr>
            </w:pPr>
          </w:p>
        </w:tc>
        <w:tc>
          <w:tcPr>
            <w:tcW w:w="1560" w:type="dxa"/>
            <w:shd w:val="clear" w:color="auto" w:fill="auto"/>
            <w:vAlign w:val="center"/>
          </w:tcPr>
          <w:p>
            <w:pPr>
              <w:topLinePunct/>
              <w:adjustRightInd w:val="0"/>
              <w:snapToGrid w:val="0"/>
              <w:jc w:val="center"/>
              <w:rPr>
                <w:rFonts w:ascii="Times New Roman" w:hAnsi="宋体" w:eastAsia="宋体" w:cs="Times New Roman"/>
                <w:color w:val="auto"/>
                <w:kern w:val="2"/>
                <w:sz w:val="21"/>
                <w:szCs w:val="21"/>
                <w:lang w:val="en-US" w:eastAsia="zh-CN" w:bidi="ar-SA"/>
              </w:rPr>
            </w:pPr>
            <w:r>
              <w:rPr>
                <w:rFonts w:hint="eastAsia"/>
                <w:color w:val="auto"/>
                <w:kern w:val="0"/>
                <w:szCs w:val="21"/>
              </w:rPr>
              <w:t>废导热油</w:t>
            </w:r>
          </w:p>
        </w:tc>
        <w:tc>
          <w:tcPr>
            <w:tcW w:w="1701"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134"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842"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560" w:type="dxa"/>
            <w:shd w:val="clear" w:color="auto" w:fill="auto"/>
            <w:vAlign w:val="center"/>
          </w:tcPr>
          <w:p>
            <w:pPr>
              <w:autoSpaceDE w:val="0"/>
              <w:autoSpaceDN w:val="0"/>
              <w:contextualSpacing/>
              <w:jc w:val="center"/>
              <w:rPr>
                <w:rFonts w:ascii="Times New Roman" w:hAnsi="宋体" w:eastAsia="宋体" w:cs="Times New Roman"/>
                <w:color w:val="auto"/>
                <w:kern w:val="2"/>
                <w:sz w:val="21"/>
                <w:szCs w:val="21"/>
                <w:lang w:val="en-US" w:eastAsia="zh-CN" w:bidi="ar-SA"/>
              </w:rPr>
            </w:pPr>
            <w:r>
              <w:rPr>
                <w:rFonts w:hint="eastAsia" w:hAnsi="宋体"/>
                <w:color w:val="auto"/>
                <w:szCs w:val="21"/>
              </w:rPr>
              <w:t>0.3</w:t>
            </w:r>
          </w:p>
        </w:tc>
        <w:tc>
          <w:tcPr>
            <w:tcW w:w="1842" w:type="dxa"/>
            <w:shd w:val="clear" w:color="auto" w:fill="auto"/>
            <w:vAlign w:val="center"/>
          </w:tcPr>
          <w:p>
            <w:pPr>
              <w:pStyle w:val="96"/>
              <w:adjustRightInd/>
              <w:snapToGrid/>
              <w:spacing w:beforeLines="0" w:afterLines="0" w:line="240" w:lineRule="auto"/>
              <w:contextualSpacing/>
              <w:rPr>
                <w:rFonts w:ascii="Times New Roman" w:hAnsiTheme="minorHAnsi" w:eastAsiaTheme="minorEastAsia" w:cstheme="minorBidi"/>
                <w:snapToGrid w:val="0"/>
                <w:color w:val="auto"/>
                <w:kern w:val="21"/>
                <w:sz w:val="21"/>
                <w:szCs w:val="21"/>
                <w:lang w:val="en-US" w:eastAsia="zh-CN" w:bidi="ar-SA"/>
              </w:rPr>
            </w:pPr>
          </w:p>
        </w:tc>
        <w:tc>
          <w:tcPr>
            <w:tcW w:w="1843" w:type="dxa"/>
            <w:shd w:val="clear" w:color="auto" w:fill="auto"/>
            <w:vAlign w:val="center"/>
          </w:tcPr>
          <w:p>
            <w:pPr>
              <w:autoSpaceDE w:val="0"/>
              <w:autoSpaceDN w:val="0"/>
              <w:contextualSpacing/>
              <w:jc w:val="center"/>
              <w:rPr>
                <w:rFonts w:ascii="Times New Roman" w:hAnsi="宋体" w:eastAsia="宋体" w:cs="Times New Roman"/>
                <w:color w:val="auto"/>
                <w:kern w:val="2"/>
                <w:sz w:val="21"/>
                <w:szCs w:val="21"/>
                <w:lang w:val="en-US" w:eastAsia="zh-CN" w:bidi="ar-SA"/>
              </w:rPr>
            </w:pPr>
            <w:r>
              <w:rPr>
                <w:rFonts w:hint="eastAsia" w:hAnsi="宋体"/>
                <w:color w:val="auto"/>
                <w:szCs w:val="21"/>
              </w:rPr>
              <w:t>0.3</w:t>
            </w:r>
          </w:p>
        </w:tc>
        <w:tc>
          <w:tcPr>
            <w:tcW w:w="1276" w:type="dxa"/>
            <w:shd w:val="clear" w:color="auto" w:fill="auto"/>
            <w:vAlign w:val="center"/>
          </w:tcPr>
          <w:p>
            <w:pPr>
              <w:autoSpaceDE w:val="0"/>
              <w:autoSpaceDN w:val="0"/>
              <w:contextualSpacing/>
              <w:jc w:val="center"/>
              <w:rPr>
                <w:rFonts w:ascii="Times New Roman" w:hAnsi="宋体" w:eastAsia="宋体" w:cs="Times New Roman"/>
                <w:color w:val="auto"/>
                <w:kern w:val="2"/>
                <w:sz w:val="21"/>
                <w:szCs w:val="21"/>
                <w:lang w:val="en-US" w:eastAsia="zh-CN" w:bidi="ar-SA"/>
              </w:rPr>
            </w:pPr>
            <w:r>
              <w:rPr>
                <w:rFonts w:hint="eastAsia" w:hAnsi="宋体"/>
                <w:color w:val="auto"/>
                <w:szCs w:val="21"/>
              </w:rPr>
              <w:t>0.3</w:t>
            </w:r>
          </w:p>
        </w:tc>
      </w:tr>
    </w:tbl>
    <w:p>
      <w:pPr>
        <w:pStyle w:val="96"/>
        <w:spacing w:beforeLines="80" w:after="32"/>
        <w:jc w:val="left"/>
        <w:rPr>
          <w:rFonts w:ascii="Times New Roman"/>
          <w:snapToGrid w:val="0"/>
          <w:color w:val="auto"/>
          <w:spacing w:val="-6"/>
          <w:kern w:val="21"/>
          <w:szCs w:val="21"/>
        </w:rPr>
      </w:pPr>
      <w:r>
        <w:rPr>
          <w:rFonts w:ascii="Times New Roman" w:hAnsi="Times New Roman" w:cs="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hAnsi="Times New Roman" w:cs="Times New Roman"/>
          <w:color w:val="auto"/>
          <w:szCs w:val="21"/>
        </w:rPr>
        <w:t>⑥</w:t>
      </w:r>
      <w:r>
        <w:rPr>
          <w:rFonts w:ascii="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hAnsi="Times New Roman" w:cs="Times New Roman"/>
          <w:color w:val="auto"/>
          <w:szCs w:val="21"/>
        </w:rPr>
        <w:t>①</w:t>
      </w:r>
      <w:r>
        <w:rPr>
          <w:rFonts w:ascii="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hAnsi="Times New Roman" w:cs="Times New Roman"/>
          <w:color w:val="auto"/>
          <w:szCs w:val="21"/>
        </w:rPr>
        <w:t>③</w:t>
      </w:r>
      <w:r>
        <w:rPr>
          <w:rFonts w:ascii="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hAnsi="Times New Roman" w:cs="Times New Roman"/>
          <w:color w:val="auto"/>
          <w:szCs w:val="21"/>
        </w:rPr>
        <w:t>④</w:t>
      </w:r>
      <w:r>
        <w:rPr>
          <w:rFonts w:ascii="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hAnsi="Times New Roman" w:cs="Times New Roman"/>
          <w:color w:val="auto"/>
          <w:szCs w:val="21"/>
        </w:rPr>
        <w:t>⑤</w:t>
      </w:r>
      <w:r>
        <w:rPr>
          <w:rFonts w:ascii="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hAnsi="Times New Roman" w:cs="Times New Roman"/>
          <w:color w:val="auto"/>
          <w:szCs w:val="21"/>
        </w:rPr>
        <w:t>⑦</w:t>
      </w:r>
      <w:r>
        <w:rPr>
          <w:rFonts w:ascii="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hAnsi="Times New Roman" w:cs="Times New Roman"/>
          <w:color w:val="auto"/>
          <w:szCs w:val="21"/>
        </w:rPr>
        <w:t>⑥</w:t>
      </w:r>
      <w:r>
        <w:rPr>
          <w:rFonts w:ascii="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hAnsi="Times New Roman" w:cs="Times New Roman"/>
          <w:color w:val="auto"/>
          <w:szCs w:val="21"/>
        </w:rPr>
        <w:t>①</w:t>
      </w:r>
      <w:r>
        <w:rPr>
          <w:rFonts w:ascii="Times New Roman"/>
          <w:snapToGrid w:val="0"/>
          <w:color w:val="auto"/>
          <w:spacing w:val="-6"/>
          <w:kern w:val="21"/>
          <w:szCs w:val="21"/>
        </w:rPr>
        <w:fldChar w:fldCharType="end"/>
      </w:r>
    </w:p>
    <w:p>
      <w:pPr>
        <w:rPr>
          <w:color w:val="auto"/>
        </w:rPr>
        <w:sectPr>
          <w:pgSz w:w="16838" w:h="11905" w:orient="landscape"/>
          <w:pgMar w:top="1134" w:right="1134" w:bottom="1134" w:left="1134" w:header="851" w:footer="1077" w:gutter="0"/>
          <w:cols w:space="720" w:num="1"/>
          <w:docGrid w:type="linesAndChars" w:linePitch="323" w:charSpace="0"/>
        </w:sectPr>
      </w:pPr>
    </w:p>
    <w:p>
      <w:pPr>
        <w:rPr>
          <w:rFonts w:hint="eastAsia" w:eastAsia="宋体"/>
          <w:color w:val="auto"/>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rPr>
      </w:pPr>
      <w:r>
        <w:rPr>
          <w:color w:val="auto"/>
          <w:sz w:val="28"/>
        </w:rPr>
        <mc:AlternateContent>
          <mc:Choice Requires="wps">
            <w:drawing>
              <wp:anchor distT="0" distB="0" distL="114300" distR="114300" simplePos="0" relativeHeight="251697152" behindDoc="0" locked="0" layoutInCell="1" allowOverlap="1">
                <wp:simplePos x="0" y="0"/>
                <wp:positionH relativeFrom="column">
                  <wp:posOffset>150495</wp:posOffset>
                </wp:positionH>
                <wp:positionV relativeFrom="paragraph">
                  <wp:posOffset>4730750</wp:posOffset>
                </wp:positionV>
                <wp:extent cx="76200" cy="132080"/>
                <wp:effectExtent l="12700" t="12700" r="25400" b="26670"/>
                <wp:wrapNone/>
                <wp:docPr id="106" name="矩形 106"/>
                <wp:cNvGraphicFramePr/>
                <a:graphic xmlns:a="http://schemas.openxmlformats.org/drawingml/2006/main">
                  <a:graphicData uri="http://schemas.microsoft.com/office/word/2010/wordprocessingShape">
                    <wps:wsp>
                      <wps:cNvSpPr/>
                      <wps:spPr>
                        <a:xfrm>
                          <a:off x="860425" y="4138295"/>
                          <a:ext cx="76200" cy="132080"/>
                        </a:xfrm>
                        <a:prstGeom prst="rect">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5pt;margin-top:372.5pt;height:10.4pt;width:6pt;z-index:251697152;v-text-anchor:middle;mso-width-relative:page;mso-height-relative:page;" fillcolor="#DDDDDD [3204]" filled="t" stroked="t" coordsize="21600,21600" o:gfxdata="UEsDBAoAAAAAAIdO4kAAAAAAAAAAAAAAAAAEAAAAZHJzL1BLAwQUAAAACACHTuJAH1QuHNUAAAAJ&#10;AQAADwAAAGRycy9kb3ducmV2LnhtbE2Pz06DQBDG7ya+w2ZMvBi7lEIhyNLENj6ApQePA7sCkZ0l&#10;7NLi2zue9Djf/PL9KQ+rHcXVzH5wpGC7iUAYap0eqFNwqd+ecxA+IGkcHRkF38bDobq/K7HQ7kbv&#10;5noOnWAT8gUq6EOYCil92xuLfuMmQ/z7dLPFwOfcST3jjc3tKOMo2kuLA3FCj5M59qb9Oi9WQRL7&#10;IXv9WJ9Ox3rJuwTrqcGTUo8P2+gFRDBr+IPhtz5Xh4o7NW4h7cWoIN5lTCrIkpQ3MbBLWWhY2Kc5&#10;yKqU/xdUP1BLAwQUAAAACACHTuJABSGck3MCAADqBAAADgAAAGRycy9lMm9Eb2MueG1srVTNbtsw&#10;DL4P2DsIuq920iRNgzpF0CDDgGItkA07K7IcG9DfJCVO9zIDdttD7HGGvcY+yW6bdj30MB9kUqQ/&#10;kh9JX1welCR74XxjdEEHJzklQnNTNnpb0M+fVu+mlPjAdMmk0aKgd8LTy/nbNxetnYmhqY0shSMA&#10;0X7W2oLWIdhZlnleC8X8ibFCw1gZp1iA6rZZ6VgLdCWzYZ5Psta40jrDhfe4XXZG2iO61wCaqmq4&#10;WBq+U0KHDtUJyQJK8nVjPZ2nbKtK8HBTVV4EIguKSkM6EQTyJp7Z/ILNto7ZuuF9Cuw1KTyrSbFG&#10;I+gD1JIFRnau+QdKNdwZb6pwwo3KukISI6hikD/jZl0zK1ItoNrbB9L9/4PlH/e3jjQlJiGfUKKZ&#10;Qsv/fP/5+9cPEm/AT2v9DG5re+t6zUOMxR4qp+IbZZBDQaeTfDQcU3JX0NHgdDo8H3f0ikMgHPaz&#10;CfpPCYd9cDrMp4n97BHGOh/eC6NIFArq0LzEKdtf+4DQcL13iVG9kU25aqRMitturqQje4ZGL9MT&#10;g+OTJ25Sk7agw/EoJcIwvhXGBjkpCwq83lLC5BZ7wYNLsZ987Y+DrFY5npeCxCSXzNddMgmhd5Ma&#10;KUU+OwajtDHlHTrgTDea3vJVg++vmQ+3zGEWwRi2NdzgqKRB9qaXKKmN+/bSffTHiMBKSYvZRmVf&#10;d8wJSuQHjeE5H4xGcRmSMhqfDaG4Y8vm2KJ36sqA1QH+C5YnMfoHeS9WzqgvWOpFjAoT0xyxOw57&#10;5Sp0O4ffAheLRXLDAlgWrvXa8ggeu6jNYhdM1aRuP7LTk4YVSB3t1zXu2LGevB5/Uf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1QuHNUAAAAJAQAADwAAAAAAAAABACAAAAAiAAAAZHJzL2Rvd25y&#10;ZXYueG1sUEsBAhQAFAAAAAgAh07iQAUhnJNzAgAA6gQAAA4AAAAAAAAAAQAgAAAAJAEAAGRycy9l&#10;Mm9Eb2MueG1sUEsFBgAAAAAGAAYAWQEAAAkGAAAAAA==&#10;">
                <v:fill on="t" focussize="0,0"/>
                <v:stroke weight="2pt" color="#FF0000 [2404]" joinstyle="round"/>
                <v:imagedata o:title=""/>
                <o:lock v:ext="edit" aspectratio="f"/>
              </v:rect>
            </w:pict>
          </mc:Fallback>
        </mc:AlternateContent>
      </w: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31750</wp:posOffset>
                </wp:positionH>
                <wp:positionV relativeFrom="paragraph">
                  <wp:posOffset>4448175</wp:posOffset>
                </wp:positionV>
                <wp:extent cx="1077595" cy="779780"/>
                <wp:effectExtent l="4445" t="5080" r="22860" b="15240"/>
                <wp:wrapNone/>
                <wp:docPr id="72" name="文本框 27"/>
                <wp:cNvGraphicFramePr/>
                <a:graphic xmlns:a="http://schemas.openxmlformats.org/drawingml/2006/main">
                  <a:graphicData uri="http://schemas.microsoft.com/office/word/2010/wordprocessingShape">
                    <wps:wsp>
                      <wps:cNvSpPr txBox="1"/>
                      <wps:spPr>
                        <a:xfrm>
                          <a:off x="5601335" y="3998595"/>
                          <a:ext cx="1077595" cy="779780"/>
                        </a:xfrm>
                        <a:prstGeom prst="rect">
                          <a:avLst/>
                        </a:prstGeom>
                        <a:solidFill>
                          <a:srgbClr val="FFFFFF"/>
                        </a:solidFill>
                        <a:ln w="6350">
                          <a:solidFill>
                            <a:prstClr val="black"/>
                          </a:solidFill>
                        </a:ln>
                        <a:effectLst/>
                      </wps:spPr>
                      <wps:txbx>
                        <w:txbxContent>
                          <w:p>
                            <w:pPr>
                              <w:jc w:val="center"/>
                            </w:pPr>
                            <w:r>
                              <w:rPr>
                                <w:rFonts w:hint="eastAsia"/>
                              </w:rPr>
                              <w:t>图例</w:t>
                            </w:r>
                          </w:p>
                          <w:p>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2.5pt;margin-top:350.25pt;height:61.4pt;width:84.85pt;z-index:251660288;mso-width-relative:page;mso-height-relative:page;" fillcolor="#FFFFFF" filled="t" stroked="t" coordsize="21600,21600" o:gfxdata="UEsDBAoAAAAAAIdO4kAAAAAAAAAAAAAAAAAEAAAAZHJzL1BLAwQUAAAACACHTuJAIx/48NYAAAAJ&#10;AQAADwAAAGRycy9kb3ducmV2LnhtbE2PwU7DMBBE70j8g7VI3KjdhDZVmk0lkJAQN0ou3Nx4m0SN&#10;15HtNuXvcU9wHM1o5k21u9pRXMiHwTHCcqFAELfODNwhNF9vTxsQIWo2enRMCD8UYFff31W6NG7m&#10;T7rsYydSCYdSI/QxTqWUoe3J6rBwE3Hyjs5bHZP0nTRez6ncjjJTai2tHjgt9Hqi157a0/5sEd7X&#10;L/GbGvNh8ix3cyNbfxwD4uPDUm1BRLrGvzDc8BM61Inp4M5sghgRVulJRCiUWoG4+cVzAeKAsMny&#10;HGRdyf8P6l9QSwMEFAAAAAgAh07iQIQXPZZvAgAA0wQAAA4AAABkcnMvZTJvRG9jLnhtbK1UzW7b&#10;MAy+D9g7CLqvdpKmboI4RdYiw4BiLZANOyuyHAuTRE1SYncPsL3BTrvsvufqc4ySk/7u0MN8kEmR&#10;/kh+JD0767QiO+G8BFPSwVFOiTAcKmk2Jf30cfnmlBIfmKmYAiNKeiM8PZu/fjVr7VQMoQFVCUcQ&#10;xPhpa0vahGCnWeZ5IzTzR2CFQWMNTrOAqttklWMtomuVDfP8JGvBVdYBF97j7UVvpHtE9xJAqGvJ&#10;xQXwrRYm9KhOKBawJN9I6+k8ZVvXgoeruvYiEFVSrDSkE4OgvI5nNp+x6cYx20i+T4G9JIUnNWkm&#10;DQa9g7pggZGtk8+gtOQOPNThiIPO+kISI1jFIH/CzaphVqRakGpv70j3/w+Wf9hdOyKrkhZDSgzT&#10;2PHbnz9uf/25/f2dDItIUGv9FP1WFj1D9xY6HJvDvcfLWHdXOx3fWBFB+/gkH4xGY0puSjqaTE7H&#10;k3FPtegC4REgL4p4STh6FMWkOE29yO6RrPPhnQBNolBSh61MDLPdpQ+YFboeXGJgD0pWS6lUUtxm&#10;fa4c2TFs+zI9MTx+8shNGdKW9GQ0zhPyI1vEvoNYK8a/PEdAPGViPJEmbZ9XpKunJUqhW3d7DtdQ&#10;3SCFDvop9JYvJUa5ZD5cM4djh0OJixmu8KgVYGqwlyhpwH371330x2lAKyUtjnFJ/dctc4IS9d7g&#10;nEwGx8dx7pNyPC6GqLiHlvVDi9nqc0DKBvgLsDyJ0T+og1g70J9xfxcxKpqY4Ri7pOEgnod+uXD/&#10;uVgskhNOumXh0qwsj9CRMAOLbYBapkZGmnpusEVRwVlPzdrvZVymh3ryuv8X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x/48NYAAAAJAQAADwAAAAAAAAABACAAAAAiAAAAZHJzL2Rvd25yZXYu&#10;eG1sUEsBAhQAFAAAAAgAh07iQIQXPZZvAgAA0wQAAA4AAAAAAAAAAQAgAAAAJQEAAGRycy9lMm9E&#10;b2MueG1sUEsFBgAAAAAGAAYAWQEAAAYGAAAAAA==&#10;">
                <v:fill on="t" focussize="0,0"/>
                <v:stroke weight="0.5pt" color="#000000" joinstyle="round"/>
                <v:imagedata o:title=""/>
                <o:lock v:ext="edit" aspectratio="f"/>
                <v:textbox>
                  <w:txbxContent>
                    <w:p>
                      <w:pPr>
                        <w:jc w:val="center"/>
                      </w:pPr>
                      <w:r>
                        <w:rPr>
                          <w:rFonts w:hint="eastAsia"/>
                        </w:rPr>
                        <w:t>图例</w:t>
                      </w:r>
                    </w:p>
                    <w:p>
                      <w:pPr>
                        <w:jc w:val="center"/>
                      </w:pPr>
                      <w:r>
                        <w:rPr>
                          <w:rFonts w:hint="eastAsia"/>
                        </w:rPr>
                        <w:t>项目位置</w:t>
                      </w:r>
                    </w:p>
                  </w:txbxContent>
                </v:textbox>
              </v:shape>
            </w:pict>
          </mc:Fallback>
        </mc:AlternateContent>
      </w:r>
      <w:r>
        <w:rPr>
          <w:rFonts w:hint="eastAsia" w:ascii="华文中宋" w:hAnsi="华文中宋" w:eastAsia="华文中宋" w:cs="华文中宋"/>
          <w:b/>
          <w:bCs/>
          <w:color w:val="auto"/>
          <w:lang w:eastAsia="zh-CN"/>
        </w:rPr>
        <w:drawing>
          <wp:anchor distT="0" distB="0" distL="114300" distR="114300" simplePos="0" relativeHeight="251696128" behindDoc="0" locked="0" layoutInCell="1" allowOverlap="1">
            <wp:simplePos x="0" y="0"/>
            <wp:positionH relativeFrom="column">
              <wp:posOffset>20320</wp:posOffset>
            </wp:positionH>
            <wp:positionV relativeFrom="paragraph">
              <wp:posOffset>114300</wp:posOffset>
            </wp:positionV>
            <wp:extent cx="790575" cy="757555"/>
            <wp:effectExtent l="0" t="0" r="9525" b="4445"/>
            <wp:wrapNone/>
            <wp:docPr id="8" name="图片 8" descr="17136895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3689577780"/>
                    <pic:cNvPicPr>
                      <a:picLocks noChangeAspect="1"/>
                    </pic:cNvPicPr>
                  </pic:nvPicPr>
                  <pic:blipFill>
                    <a:blip r:embed="rId14"/>
                    <a:stretch>
                      <a:fillRect/>
                    </a:stretch>
                  </pic:blipFill>
                  <pic:spPr>
                    <a:xfrm>
                      <a:off x="0" y="0"/>
                      <a:ext cx="790575" cy="757555"/>
                    </a:xfrm>
                    <a:prstGeom prst="rect">
                      <a:avLst/>
                    </a:prstGeom>
                  </pic:spPr>
                </pic:pic>
              </a:graphicData>
            </a:graphic>
          </wp:anchor>
        </w:drawing>
      </w:r>
      <w:r>
        <w:rPr>
          <w:rFonts w:eastAsia="黑体"/>
          <w:color w:val="auto"/>
          <w:sz w:val="28"/>
          <w:szCs w:val="28"/>
        </w:rPr>
        <w:drawing>
          <wp:inline distT="0" distB="0" distL="114300" distR="114300">
            <wp:extent cx="6113780" cy="5175885"/>
            <wp:effectExtent l="0" t="0" r="1270" b="5715"/>
            <wp:docPr id="93" name="图片 93" descr="cca2c070-b636-49f6-9575-3b0ddc4e9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ca2c070-b636-49f6-9575-3b0ddc4e961b"/>
                    <pic:cNvPicPr>
                      <a:picLocks noChangeAspect="1"/>
                    </pic:cNvPicPr>
                  </pic:nvPicPr>
                  <pic:blipFill>
                    <a:blip r:embed="rId15"/>
                    <a:stretch>
                      <a:fillRect/>
                    </a:stretch>
                  </pic:blipFill>
                  <pic:spPr>
                    <a:xfrm>
                      <a:off x="0" y="0"/>
                      <a:ext cx="6113780" cy="5175885"/>
                    </a:xfrm>
                    <a:prstGeom prst="rect">
                      <a:avLst/>
                    </a:prstGeom>
                  </pic:spPr>
                </pic:pic>
              </a:graphicData>
            </a:graphic>
          </wp:inline>
        </w:drawing>
      </w:r>
    </w:p>
    <w:p>
      <w:pPr>
        <w:spacing w:line="360" w:lineRule="auto"/>
        <w:jc w:val="center"/>
        <w:outlineLvl w:val="0"/>
        <w:rPr>
          <w:rFonts w:eastAsia="黑体"/>
          <w:color w:val="auto"/>
          <w:sz w:val="28"/>
          <w:szCs w:val="28"/>
        </w:rPr>
      </w:pPr>
      <w:bookmarkStart w:id="71" w:name="_Toc21663"/>
      <w:r>
        <w:rPr>
          <w:rFonts w:eastAsia="黑体"/>
          <w:color w:val="auto"/>
          <w:sz w:val="28"/>
          <w:szCs w:val="28"/>
        </w:rPr>
        <w:t>附图1 项目</w:t>
      </w:r>
      <w:r>
        <w:rPr>
          <w:rFonts w:ascii="Times New Roman" w:hAnsi="Times New Roman" w:eastAsia="黑体" w:cs="Times New Roman"/>
          <w:color w:val="auto"/>
          <w:sz w:val="28"/>
          <w:szCs w:val="28"/>
        </w:rPr>
        <w:t>地理</w:t>
      </w:r>
      <w:r>
        <w:rPr>
          <w:rFonts w:eastAsia="黑体"/>
          <w:color w:val="auto"/>
          <w:sz w:val="28"/>
          <w:szCs w:val="28"/>
        </w:rPr>
        <w:t>位置</w:t>
      </w:r>
      <w:r>
        <w:rPr>
          <w:rFonts w:hint="eastAsia" w:eastAsia="黑体"/>
          <w:color w:val="auto"/>
          <w:sz w:val="28"/>
          <w:szCs w:val="28"/>
          <w:lang w:val="en-US" w:eastAsia="zh-CN"/>
        </w:rPr>
        <w:t>及敏感保护目标</w:t>
      </w:r>
      <w:r>
        <w:rPr>
          <w:rFonts w:eastAsia="黑体"/>
          <w:color w:val="auto"/>
          <w:sz w:val="28"/>
          <w:szCs w:val="28"/>
        </w:rPr>
        <w:t>图</w:t>
      </w:r>
      <w:bookmarkEnd w:id="71"/>
    </w:p>
    <w:p>
      <w:pPr>
        <w:pStyle w:val="42"/>
        <w:keepNext w:val="0"/>
        <w:keepLines w:val="0"/>
        <w:pageBreakBefore w:val="0"/>
        <w:widowControl/>
        <w:kinsoku/>
        <w:wordWrap/>
        <w:overflowPunct/>
        <w:topLinePunct w:val="0"/>
        <w:autoSpaceDE w:val="0"/>
        <w:autoSpaceDN w:val="0"/>
        <w:bidi w:val="0"/>
        <w:adjustRightInd w:val="0"/>
        <w:snapToGrid/>
        <w:textAlignment w:val="auto"/>
        <w:outlineLvl w:val="9"/>
        <w:rPr>
          <w:rFonts w:ascii="Times New Roman" w:cs="Times New Roman"/>
          <w:color w:val="auto"/>
        </w:rPr>
      </w:pPr>
    </w:p>
    <w:p>
      <w:pPr>
        <w:pStyle w:val="77"/>
        <w:rPr>
          <w:color w:val="auto"/>
        </w:rPr>
        <w:sectPr>
          <w:pgSz w:w="11905" w:h="16838"/>
          <w:pgMar w:top="1134" w:right="1134" w:bottom="1134" w:left="1134" w:header="851" w:footer="1077" w:gutter="0"/>
          <w:cols w:space="720" w:num="1"/>
          <w:docGrid w:type="linesAndChars" w:linePitch="323"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9"/>
        <w:rPr>
          <w:color w:val="auto"/>
        </w:rPr>
      </w:pPr>
      <w:r>
        <w:rPr>
          <w:color w:val="auto"/>
          <w:sz w:val="21"/>
        </w:rPr>
        <w:drawing>
          <wp:anchor distT="0" distB="0" distL="114300" distR="114300" simplePos="0" relativeHeight="251702272" behindDoc="1" locked="0" layoutInCell="1" allowOverlap="1">
            <wp:simplePos x="0" y="0"/>
            <wp:positionH relativeFrom="column">
              <wp:posOffset>1447800</wp:posOffset>
            </wp:positionH>
            <wp:positionV relativeFrom="paragraph">
              <wp:posOffset>44450</wp:posOffset>
            </wp:positionV>
            <wp:extent cx="6292850" cy="5438775"/>
            <wp:effectExtent l="0" t="0" r="12700" b="9525"/>
            <wp:wrapNone/>
            <wp:docPr id="19" name="图片 19" descr="a2431e8d-b0cd-437f-8e37-3b5d37c70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2431e8d-b0cd-437f-8e37-3b5d37c705f7"/>
                    <pic:cNvPicPr>
                      <a:picLocks noChangeAspect="1"/>
                    </pic:cNvPicPr>
                  </pic:nvPicPr>
                  <pic:blipFill>
                    <a:blip r:embed="rId16"/>
                    <a:stretch>
                      <a:fillRect/>
                    </a:stretch>
                  </pic:blipFill>
                  <pic:spPr>
                    <a:xfrm>
                      <a:off x="0" y="0"/>
                      <a:ext cx="6292850" cy="54387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bookmarkStart w:id="72" w:name="_Toc110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r>
        <w:rPr>
          <w:color w:val="auto"/>
          <w:sz w:val="21"/>
        </w:rPr>
        <mc:AlternateContent>
          <mc:Choice Requires="wps">
            <w:drawing>
              <wp:anchor distT="0" distB="0" distL="114300" distR="114300" simplePos="0" relativeHeight="251698176" behindDoc="0" locked="0" layoutInCell="1" allowOverlap="1">
                <wp:simplePos x="0" y="0"/>
                <wp:positionH relativeFrom="column">
                  <wp:posOffset>4732020</wp:posOffset>
                </wp:positionH>
                <wp:positionV relativeFrom="paragraph">
                  <wp:posOffset>220980</wp:posOffset>
                </wp:positionV>
                <wp:extent cx="424180" cy="290830"/>
                <wp:effectExtent l="4445" t="4445" r="9525" b="9525"/>
                <wp:wrapNone/>
                <wp:docPr id="126" name="文本框 126"/>
                <wp:cNvGraphicFramePr/>
                <a:graphic xmlns:a="http://schemas.openxmlformats.org/drawingml/2006/main">
                  <a:graphicData uri="http://schemas.microsoft.com/office/word/2010/wordprocessingShape">
                    <wps:wsp>
                      <wps:cNvSpPr txBox="1"/>
                      <wps:spPr>
                        <a:xfrm>
                          <a:off x="0" y="0"/>
                          <a:ext cx="424180" cy="2908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0"/>
                                <w:szCs w:val="10"/>
                                <w:lang w:val="en-US" w:eastAsia="zh-CN"/>
                              </w:rPr>
                            </w:pPr>
                            <w:r>
                              <w:rPr>
                                <w:rFonts w:hint="eastAsia"/>
                                <w:sz w:val="10"/>
                                <w:szCs w:val="10"/>
                                <w:lang w:val="en-US" w:eastAsia="zh-CN"/>
                              </w:rPr>
                              <w:t>危废点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pt;margin-top:17.4pt;height:22.9pt;width:33.4pt;z-index:251698176;mso-width-relative:page;mso-height-relative:page;" filled="f" stroked="t" coordsize="21600,21600" o:gfxdata="UEsDBAoAAAAAAIdO4kAAAAAAAAAAAAAAAAAEAAAAZHJzL1BLAwQUAAAACACHTuJAgl1TvtkAAAAJ&#10;AQAADwAAAGRycy9kb3ducmV2LnhtbE2PTU/DMAyG70j8h8hI3FjSsi+VpjsgdkBCSAzEOKataSoS&#10;pzRZN/j1mBPcbPnR6+ctNyfvxIRj7ANpyGYKBFIT2p46DS/P26s1iJgMtcYFQg1fGGFTnZ+VpmjD&#10;kZ5w2qVOcAjFwmiwKQ2FlLGx6E2chQGJb+9h9CbxOnayHc2Rw72TuVJL6U1P/MGaAW8tNh+7g9fw&#10;8Lr/vNs+vqk91q5fTG5l779rrS8vMnUDIuEp/cHwq8/qULFTHQ7URuE0rOaLnFEN13OuwMA6y7lc&#10;zYNagqxK+b9B9QNQSwMEFAAAAAgAh07iQKQmn4hSAgAAkgQAAA4AAABkcnMvZTJvRG9jLnhtbK1U&#10;wW4TMRC9I/EPlu90kzSUNuqmCq2KkCpaqSDOjtebteT1GNvJbvkA+ANOXLjzXf0Onr1JGxUOPZDD&#10;ZjzzdjzvzcyenvWtYRvlgyZb8vHBiDNlJVXarkr+6ePlq2POQhS2EoasKvmdCvxs/vLFaedmakIN&#10;mUp5hiQ2zDpX8iZGNyuKIBvVinBATlkEa/KtiDj6VVF50SF7a4rJaHRUdOQr50mqEOC9GIJ8m9E/&#10;JyHVtZbqguS6VTYOWb0yIoJSaLQLfJ6rrWsl43VdBxWZKTmYxvzEJbCX6VnMT8Vs5YVrtNyWIJ5T&#10;whNOrdAWlz6kuhBRsLXXf6VqtfQUqI4HktpiIJIVAYvx6Ik2t41wKnOB1ME9iB7+X1r5YXPjma4w&#10;CZMjzqxo0fL7H9/vf/6+//WNJSck6lyYAXnrgI39W+oB3/kDnIl5X/s2/YMTQxwC3z0IrPrIJJzT&#10;yXR8jIhEaHIyOj7MDSgeX3Y+xHeKWpaMknv0L8sqNlchohBAd5B0l6VLbUzuobGsK/nR4etRfiGQ&#10;0VUKJljwq+W58Wwj0hTkX6oeyfZgOBkLZ+I6cEpW7Jf9VoAlVXfg72kYouDkpUaVVyLEG+ExNSCG&#10;vYrXeNSGUA1tLc4a8l//5U94NBNRzjpMYcnDl7XwijPz3qLNJ+PpFGljPkxfv5ng4Pcjy/2IXbfn&#10;BIpjbLCT2Uz4aHZm7an9jPVbpFsRElbi7pLHnXkeh93A+kq1WGQQBtWJeGVvnUypB90X60i1zi1J&#10;Mg3abNXDqGZxt2uVdmH/nFGPn5L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JdU77ZAAAACQEA&#10;AA8AAAAAAAAAAQAgAAAAIgAAAGRycy9kb3ducmV2LnhtbFBLAQIUABQAAAAIAIdO4kCkJp+IUgIA&#10;AJIEAAAOAAAAAAAAAAEAIAAAACgBAABkcnMvZTJvRG9jLnhtbFBLBQYAAAAABgAGAFkBAADsBQAA&#10;AAA=&#10;">
                <v:fill on="f" focussize="0,0"/>
                <v:stroke weight="0.5pt" color="#000000 [3213]" joinstyle="round"/>
                <v:imagedata o:title=""/>
                <o:lock v:ext="edit" aspectratio="f"/>
                <v:textbox>
                  <w:txbxContent>
                    <w:p>
                      <w:pPr>
                        <w:rPr>
                          <w:rFonts w:hint="default" w:eastAsia="宋体"/>
                          <w:sz w:val="10"/>
                          <w:szCs w:val="10"/>
                          <w:lang w:val="en-US" w:eastAsia="zh-CN"/>
                        </w:rPr>
                      </w:pPr>
                      <w:r>
                        <w:rPr>
                          <w:rFonts w:hint="eastAsia"/>
                          <w:sz w:val="10"/>
                          <w:szCs w:val="10"/>
                          <w:lang w:val="en-US" w:eastAsia="zh-CN"/>
                        </w:rPr>
                        <w:t>危废点</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r>
        <w:rPr>
          <w:color w:val="auto"/>
          <w:sz w:val="28"/>
        </w:rPr>
        <mc:AlternateContent>
          <mc:Choice Requires="wps">
            <w:drawing>
              <wp:anchor distT="0" distB="0" distL="114300" distR="114300" simplePos="0" relativeHeight="251703296" behindDoc="0" locked="0" layoutInCell="1" allowOverlap="1">
                <wp:simplePos x="0" y="0"/>
                <wp:positionH relativeFrom="column">
                  <wp:posOffset>3834765</wp:posOffset>
                </wp:positionH>
                <wp:positionV relativeFrom="paragraph">
                  <wp:posOffset>265430</wp:posOffset>
                </wp:positionV>
                <wp:extent cx="650875" cy="276225"/>
                <wp:effectExtent l="0" t="0" r="15875" b="9525"/>
                <wp:wrapNone/>
                <wp:docPr id="109" name="文本框 109"/>
                <wp:cNvGraphicFramePr/>
                <a:graphic xmlns:a="http://schemas.openxmlformats.org/drawingml/2006/main">
                  <a:graphicData uri="http://schemas.microsoft.com/office/word/2010/wordprocessingShape">
                    <wps:wsp>
                      <wps:cNvSpPr txBox="1"/>
                      <wps:spPr>
                        <a:xfrm>
                          <a:off x="4635500" y="2764790"/>
                          <a:ext cx="65087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粉料仓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95pt;margin-top:20.9pt;height:21.75pt;width:51.25pt;z-index:251703296;mso-width-relative:page;mso-height-relative:page;" fillcolor="#FFFFFF [3201]" filled="t" stroked="f" coordsize="21600,21600" o:gfxdata="UEsDBAoAAAAAAIdO4kAAAAAAAAAAAAAAAAAEAAAAZHJzL1BLAwQUAAAACACHTuJAn3p++dUAAAAJ&#10;AQAADwAAAGRycy9kb3ducmV2LnhtbE2Pu07EMBBFeyT+wRokOtYOG8IS4myBRIvEvmpvPMQR8Tiy&#10;vc+vZ6igHM3Rvec2y7MfxRFjGgJpKGYKBFIX7EC9hs36/WEBImVD1oyBUMMFEyzb25vG1Dac6BOP&#10;q9wLDqFUGw0u56mWMnUOvUmzMCHx7ytEbzKfsZc2mhOH+1E+KlVJbwbiBmcmfHPYfa8OXsOu99fd&#10;tpiis34s6eN6WW/CoPX9XaFeQWQ85z8YfvVZHVp22ocD2SRGDZWavzCqoSx4AgPPqipB7DUsnuYg&#10;20b+X9D+AFBLAwQUAAAACACHTuJAKpByCVoCAACeBAAADgAAAGRycy9lMm9Eb2MueG1srVTBbhMx&#10;EL0j8Q+W73Q3aTZpo26q0CoIqaKVAuLseL1ZS7bH2E52ywfAH/TEhTvf1e9g7N20pXDogRycsefl&#10;zcybmZydd1qRvXBeginp6CinRBgOlTTbkn76uHpzQokPzFRMgRElvRWeni9evzpr7VyMoQFVCUeQ&#10;xPh5a0vahGDnWeZ5IzTzR2CFQWcNTrOAV7fNKsdaZNcqG+f5NGvBVdYBF97j62XvpAOjewkh1LXk&#10;4hL4TgsTelYnFAtYkm+k9XSRsq1rwcN1XXsRiCopVhrSiUHQ3sQzW5yx+dYx20g+pMBeksKzmjST&#10;BoM+UF2ywMjOyb+otOQOPNThiIPO+kKSIljFKH+mzbphVqRaUGpvH0T3/4+Wf9jfOCIrnIT8lBLD&#10;NLb8/u77/Y9f9z+/kfiIErXWzxG5togN3VvoEH549/gYK+9qp+M31kTQP5keF0WOMt+WdDybTman&#10;g9iiC4QjYFrkJ7OCEt4DxuMiMmaPRNb58E6AJtEoqcNeJonZ/sqHHnqAxLgelKxWUql0cdvNhXJk&#10;z7Dvq/QZ2P+AKUNazOS4yBOzgfj7nloZTCbW3dcXrdBtukGMDVS3qIWDfqC85SuJWV4xH26YwwnC&#10;wnHHwjUetQIMAoNFSQPu67/eIx4bi15KWpzIkvovO+YEJeq9wZafjiaTOMLpMilmY7y4p57NU4/Z&#10;6QvA4ke4zZYnM+KDOpi1A/0ZV3EZo6KLGY6xSxoO5kXo9wRXmYvlMoFwaC0LV2ZteaSOUhtY7gLU&#10;MrUkytRrM6iHY5uaOqxY3Iun94R6/Ft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en751QAA&#10;AAkBAAAPAAAAAAAAAAEAIAAAACIAAABkcnMvZG93bnJldi54bWxQSwECFAAUAAAACACHTuJAKpBy&#10;CVoCAACeBAAADgAAAAAAAAABACAAAAAkAQAAZHJzL2Uyb0RvYy54bWxQSwUGAAAAAAYABgBZAQAA&#10;8AUAAAAA&#10;">
                <v:fill on="t" focussize="0,0"/>
                <v:stroke on="f" weight="0.5pt"/>
                <v:imagedata o:title=""/>
                <o:lock v:ext="edit" aspectratio="f"/>
                <v:textbox>
                  <w:txbxContent>
                    <w:p>
                      <w:pPr>
                        <w:rPr>
                          <w:rFonts w:hint="eastAsia" w:eastAsia="宋体"/>
                          <w:lang w:val="en-US" w:eastAsia="zh-CN"/>
                        </w:rPr>
                      </w:pPr>
                      <w:r>
                        <w:rPr>
                          <w:rFonts w:hint="eastAsia"/>
                          <w:lang w:val="en-US" w:eastAsia="zh-CN"/>
                        </w:rPr>
                        <w:t>粉料仓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r>
        <w:rPr>
          <w:color w:val="auto"/>
          <w:sz w:val="28"/>
        </w:rPr>
        <mc:AlternateContent>
          <mc:Choice Requires="wps">
            <w:drawing>
              <wp:anchor distT="0" distB="0" distL="114300" distR="114300" simplePos="0" relativeHeight="251702272" behindDoc="0" locked="0" layoutInCell="1" allowOverlap="1">
                <wp:simplePos x="0" y="0"/>
                <wp:positionH relativeFrom="column">
                  <wp:posOffset>3966845</wp:posOffset>
                </wp:positionH>
                <wp:positionV relativeFrom="paragraph">
                  <wp:posOffset>242570</wp:posOffset>
                </wp:positionV>
                <wp:extent cx="402590" cy="395605"/>
                <wp:effectExtent l="4445" t="4445" r="12065" b="19050"/>
                <wp:wrapNone/>
                <wp:docPr id="108" name="椭圆 108"/>
                <wp:cNvGraphicFramePr/>
                <a:graphic xmlns:a="http://schemas.openxmlformats.org/drawingml/2006/main">
                  <a:graphicData uri="http://schemas.microsoft.com/office/word/2010/wordprocessingShape">
                    <wps:wsp>
                      <wps:cNvSpPr/>
                      <wps:spPr>
                        <a:xfrm>
                          <a:off x="4686935" y="3013710"/>
                          <a:ext cx="402590" cy="395605"/>
                        </a:xfrm>
                        <a:prstGeom prst="ellipse">
                          <a:avLst/>
                        </a:prstGeom>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2.35pt;margin-top:19.1pt;height:31.15pt;width:31.7pt;z-index:251702272;v-text-anchor:middle;mso-width-relative:page;mso-height-relative:page;" fillcolor="#DDDDDD [3204]" filled="t" stroked="t" coordsize="21600,21600" o:gfxdata="UEsDBAoAAAAAAIdO4kAAAAAAAAAAAAAAAAAEAAAAZHJzL1BLAwQUAAAACACHTuJAJ2VkdtoAAAAK&#10;AQAADwAAAGRycy9kb3ducmV2LnhtbE2Py07DMBBF90j8gzVI7KjtQNMoxKkEoixYtQW1WzeePEQ8&#10;TmO3KX9fs4Ll6B7de6ZYXmzPzjj6zpECORPAkCpnOmoUfH2uHjJgPmgyuneECn7Qw7K8vSl0btxE&#10;GzxvQ8NiCflcK2hDGHLOfdWi1X7mBqSY1W60OsRzbLgZ9RTLbc8TIVJudUdxodUDvrZYfW9PVsHx&#10;be8/jvKl3q32i2kz17u1rN+Vur+T4hlYwEv4g+FXP6pDGZ0O7kTGs15BmjwtIqrgMUuARSDNMgns&#10;EEkh5sDLgv9/obwCUEsDBBQAAAAIAIdO4kDx25CDcQIAAO4EAAAOAAAAZHJzL2Uyb0RvYy54bWyt&#10;VM1u2zAMvg/YOwi6r3Z+2wR1iqBBhwHFGqAbdlZkKRYgiZqkxOkeYE+x4657rO05Rslum3Y99DAf&#10;bFKkP5IfSZ1fHIwme+GDAlvRwUlJibAcamW3Ff386erdGSUhMlszDVZU9E4EerF4++a8dXMxhAZ0&#10;LTxBEBvmratoE6ObF0XgjTAsnIATFo0SvGERVb8tas9aRDe6GJbltGjB184DFyHg6aoz0h7RvwYQ&#10;pFRcrIDvjLCxQ/VCs4glhUa5QBc5WykFjzdSBhGJrihWGvMbg6C8Se9icc7mW89co3ifAntNCs9q&#10;MkxZDPoAtWKRkZ1X/0AZxT0EkPGEgym6QjIjWMWgfMbNbcOcyLUg1cE9kB7+Hyz/uF97omqchBIb&#10;b5nBlv/5+ev3j+8knSA/rQtzdLt1a99rAcVU7EF6k75YBjlUdDw9m85GE0ruKjoqB6PTQc+vOETC&#10;k0M5nMyQeZ4cZpNpOUn4xSOQ8yG+F2BIEioqtMZmJgbYnO2vQ+y8773ScQCt6iuldVb8dnOpPdkz&#10;7PYqP32AJ27akrai09EkpcJwhCWODorGIQ3Bbilheou7waPPoZ/8HI5jlPl5KUbKccVC0+WSEXo3&#10;bbHkxGnHYpI2UN9hFzx04xkcv1L4/zULcc08ziMmihsbb/AlNWDy0EuUNOC/vXSe/HFM0EpJi/ON&#10;lX3dMS8o0R8sDtBsMB4jbMzKeHI6RMUfWzbHFrszl4CkDvBucDyLyT/qe1F6MF9wsZcpKpqY5Ri7&#10;47BXLmO3d3g1cLFcZjdcAsfitb11PIGnJlpY7iJIlZv9yE5PGq5Bnph+ZdOeHevZ6/GaW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2VkdtoAAAAKAQAADwAAAAAAAAABACAAAAAiAAAAZHJzL2Rv&#10;d25yZXYueG1sUEsBAhQAFAAAAAgAh07iQPHbkINxAgAA7gQAAA4AAAAAAAAAAQAgAAAAKQEAAGRy&#10;cy9lMm9Eb2MueG1sUEsFBgAAAAAGAAYAWQEAAAwGAAAAAA==&#10;">
                <v:fill on="t" focussize="0,0"/>
                <v:stroke weight="0.5pt" color="#000000 [3213]"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r>
        <w:rPr>
          <w:color w:val="auto"/>
          <w:sz w:val="28"/>
        </w:rPr>
        <mc:AlternateContent>
          <mc:Choice Requires="wps">
            <w:drawing>
              <wp:anchor distT="0" distB="0" distL="114300" distR="114300" simplePos="0" relativeHeight="251704320" behindDoc="0" locked="0" layoutInCell="1" allowOverlap="1">
                <wp:simplePos x="0" y="0"/>
                <wp:positionH relativeFrom="column">
                  <wp:posOffset>6523355</wp:posOffset>
                </wp:positionH>
                <wp:positionV relativeFrom="paragraph">
                  <wp:posOffset>213995</wp:posOffset>
                </wp:positionV>
                <wp:extent cx="476250" cy="336550"/>
                <wp:effectExtent l="4445" t="4445" r="14605" b="20955"/>
                <wp:wrapNone/>
                <wp:docPr id="110" name="矩形 110"/>
                <wp:cNvGraphicFramePr/>
                <a:graphic xmlns:a="http://schemas.openxmlformats.org/drawingml/2006/main">
                  <a:graphicData uri="http://schemas.microsoft.com/office/word/2010/wordprocessingShape">
                    <wps:wsp>
                      <wps:cNvSpPr/>
                      <wps:spPr>
                        <a:xfrm>
                          <a:off x="7294880" y="4838700"/>
                          <a:ext cx="476250" cy="33655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3.65pt;margin-top:16.85pt;height:26.5pt;width:37.5pt;z-index:251704320;v-text-anchor:middle;mso-width-relative:page;mso-height-relative:page;" filled="f" stroked="t" coordsize="21600,21600" o:gfxdata="UEsDBAoAAAAAAIdO4kAAAAAAAAAAAAAAAAAEAAAAZHJzL1BLAwQUAAAACACHTuJAcELP1tYAAAAL&#10;AQAADwAAAGRycy9kb3ducmV2LnhtbE2PwW7CMBBE70j9B2srcQObRMI0jYPUSkU9IQH9ABNvk6jx&#10;OoodoP36Lqf2OLNPszPl9uZ7ccExdoEMrJYKBFIdXEeNgY/T22IDIiZLzvaB0MA3RthWD7PSFi5c&#10;6YCXY2oEh1AsrIE2paGQMtYtehuXYUDi22cYvU0sx0a60V453PcyU2otve2IP7R2wNcW66/j5A34&#10;/U/nTpPGfXoPO+1envwhc8bMH1fqGUTCW/qD4V6fq0PFnc5hIhdFz1plOmfWQJ5rEHeCLXbOBjZr&#10;DbIq5f8N1S9QSwMEFAAAAAgAh07iQDdYv/1nAgAAwgQAAA4AAABkcnMvZTJvRG9jLnhtbK1Uy24T&#10;MRTdI/EPlvd08mqSRp1UUaMipIpGKoi14/FkLPmF7WRSfgaJHR/B5yB+g2PP9EFh0QVZOPf6Xp/r&#10;e3zunF8ctSIH4YO0pqTDkwElwnBbSbMr6ccPV2/mlITITMWUNaKkdyLQi+XrV+etW4iRbayqhCcA&#10;MWHRupI2MbpFUQTeCM3CiXXCIFhbr1mE63dF5VkLdK2K0WAwLVrrK+ctFyFgd90FaY/oXwJo61py&#10;sbZ8r4WJHaoXikW0FBrpAl3m29a14PGmroOIRJUUnca8ogjsbVqL5Tlb7DxzjeT9FdhLrvCsJ82k&#10;QdEHqDWLjOy9/AtKS+5tsHU84VYXXSOZEXQxHDzj5rZhTuReQHVwD6SH/wfL3x82nsgKShiCE8M0&#10;nvzX1+8/f3wjaQf8tC4skHbrNr73AszU7LH2Ov2jDXIs6Wx0NpnPgXJX0sl8PJ8Nen7FMRKOhMls&#10;OjpFnCNhPJ6ewgZi8QjkfIhvhdUkGSX1eL7MKjtch9il3qekusZeSaWwzxbKkLak03GGZ5BlDTmg&#10;knZoLZgdJUztoHcefUYMVskqnU6Hg99tL5UnB5ZUkn/9xf5IS6XXLDRdXg71acqgjcRTx0yytra6&#10;A7PedpILjl9JnL9mIW6Yh8bAA6Yw3mCplcXlbW9R0lj/5V/7KR9PjyglLTSLzj7vmReUqHcGojgb&#10;TiaAjdmZnM5GcPzTyPZpxOz1pUXDQ8y749lM+VHdm7W3+hOGdZWqIsQMR+2Ow965jN0sYdy5WK1y&#10;GoTtWLw2t44n8O6hVvtoa5nf8JGdnjRIO6ugH8M0O0/9nPX46V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BCz9bWAAAACwEAAA8AAAAAAAAAAQAgAAAAIgAAAGRycy9kb3ducmV2LnhtbFBLAQIU&#10;ABQAAAAIAIdO4kA3WL/9ZwIAAMIEAAAOAAAAAAAAAAEAIAAAACUBAABkcnMvZTJvRG9jLnhtbFBL&#10;BQYAAAAABgAGAFkBAAD+BQAAAAA=&#10;">
                <v:fill on="f" focussize="0,0"/>
                <v:stroke weight="0.5pt" color="#000000 [3213]" joinstyle="round"/>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r>
        <w:rPr>
          <w:color w:val="auto"/>
          <w:sz w:val="28"/>
        </w:rPr>
        <mc:AlternateContent>
          <mc:Choice Requires="wps">
            <w:drawing>
              <wp:anchor distT="0" distB="0" distL="114300" distR="114300" simplePos="0" relativeHeight="251705344" behindDoc="0" locked="0" layoutInCell="1" allowOverlap="1">
                <wp:simplePos x="0" y="0"/>
                <wp:positionH relativeFrom="column">
                  <wp:posOffset>6683375</wp:posOffset>
                </wp:positionH>
                <wp:positionV relativeFrom="paragraph">
                  <wp:posOffset>255905</wp:posOffset>
                </wp:positionV>
                <wp:extent cx="650875" cy="276225"/>
                <wp:effectExtent l="0" t="0" r="15875" b="9525"/>
                <wp:wrapNone/>
                <wp:docPr id="111" name="文本框 111"/>
                <wp:cNvGraphicFramePr/>
                <a:graphic xmlns:a="http://schemas.openxmlformats.org/drawingml/2006/main">
                  <a:graphicData uri="http://schemas.microsoft.com/office/word/2010/wordprocessingShape">
                    <wps:wsp>
                      <wps:cNvSpPr txBox="1"/>
                      <wps:spPr>
                        <a:xfrm>
                          <a:off x="0" y="0"/>
                          <a:ext cx="65087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6.25pt;margin-top:20.15pt;height:21.75pt;width:51.25pt;z-index:251705344;mso-width-relative:page;mso-height-relative:page;" fillcolor="#FFFFFF [3201]" filled="t" stroked="f" coordsize="21600,21600" o:gfxdata="UEsDBAoAAAAAAIdO4kAAAAAAAAAAAAAAAAAEAAAAZHJzL1BLAwQUAAAACACHTuJAkE/82dYAAAAL&#10;AQAADwAAAGRycy9kb3ducmV2LnhtbE2Py07DMBBF90j8gzVI7KidtqmiEKcLJLZItKVrNx7iCHsc&#10;xe7z65muYHk1R3fObdaX4MUJpzRE0lDMFAikLtqBeg277ftLBSJlQ9b4SKjhignW7eNDY2obz/SJ&#10;p03uBZdQqo0Gl/NYS5k6h8GkWRyR+PYdp2Ayx6mXdjJnLg9ezpVayWAG4g/OjPjmsPvZHIOGfR9u&#10;+69inJwNfkkft+t2Fwetn58K9Qoi4yX/wXDXZ3Vo2ekQj2ST8JxVOS+Z1bBUCxB3oihLnnfQUC0q&#10;kG0j/29ofwFQSwMEFAAAAAgAh07iQEwjVyNQAgAAkgQAAA4AAABkcnMvZTJvRG9jLnhtbK1UwY7T&#10;MBC9I/EPlu9s2tJ2l6rpqnRVhLRiVyqIs+s4jSXbY2y3SfkA+IM9ceHOd/U7GDtptywc9kAP6dgz&#10;eTPvzUym141WZCecl2By2r/oUSIMh0KaTU4/fVy+uqLEB2YKpsCInO6Fp9ezly+mtZ2IAVSgCuEI&#10;ghg/qW1OqxDsJMs8r4Rm/gKsMOgswWkW8Og2WeFYjehaZYNeb5zV4ArrgAvv8famddIO0T0HEMpS&#10;cnEDfKuFCS2qE4oFpOQraT2dpWrLUvBwV5ZeBKJyikxDemIStNfxmc2mbLJxzFaSdyWw55TwhJNm&#10;0mDSE9QNC4xsnfwLSkvuwEMZLjjorCWSFEEW/d4TbVYVsyJxQam9PYnu/x8s/7C7d0QWOAn9PiWG&#10;aWz54eH74cevw89vJF6iRLX1E4xcWYwNzVtoMPx47/EyMm9Kp+M/ciLoR4H3J4FFEwjHy/God3U5&#10;ooSja3A5HgxGESV7fNk6H94J0CQaOXXYvyQr29360IYeQ2IuD0oWS6lUOrjNeqEc2THs9TL9OvQ/&#10;wpQhNVbyetRLyAbi+y20MlhM5NpyilZo1k0nwBqKPfJ30A6Rt3wpscpb5sM9czg1SBn3Ktzho1SA&#10;SaCzKKnAff3XfYzHZqKXkhqnMKf+y5Y5QYl6b7DNb/rDYRzbdBiOLgd4cOee9bnHbPUCkDw2EqtL&#10;ZowP6miWDvRnXL95zIouZjjmzmk4movQ7gauLxfzeQrCQbUs3JqV5RE6Sm1gvg1QytSSKFOrTace&#10;jmpqardWcRfOzynq8V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T/zZ1gAAAAsBAAAPAAAA&#10;AAAAAAEAIAAAACIAAABkcnMvZG93bnJldi54bWxQSwECFAAUAAAACACHTuJATCNXI1ACAACSBAAA&#10;DgAAAAAAAAABACAAAAAlAQAAZHJzL2Uyb0RvYy54bWxQSwUGAAAAAAYABgBZAQAA5wUAAAAA&#10;">
                <v:fill on="t" focussize="0,0"/>
                <v:stroke on="f" weight="0.5pt"/>
                <v:imagedata o:title=""/>
                <o:lock v:ext="edit" aspectratio="f"/>
                <v:textbox>
                  <w:txbxContent>
                    <w:p>
                      <w:pPr>
                        <w:rPr>
                          <w:rFonts w:hint="default" w:eastAsia="宋体"/>
                          <w:lang w:val="en-US" w:eastAsia="zh-CN"/>
                        </w:rPr>
                      </w:pPr>
                      <w:r>
                        <w:rPr>
                          <w:rFonts w:hint="eastAsia"/>
                          <w:lang w:val="en-US" w:eastAsia="zh-CN"/>
                        </w:rPr>
                        <w:t>沉淀池</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eastAsia="黑体"/>
          <w:color w:val="auto"/>
          <w:sz w:val="28"/>
          <w:szCs w:val="28"/>
          <w:highlight w:val="none"/>
        </w:rPr>
      </w:pPr>
    </w:p>
    <w:p>
      <w:pPr>
        <w:spacing w:line="360" w:lineRule="auto"/>
        <w:jc w:val="center"/>
        <w:outlineLvl w:val="0"/>
        <w:rPr>
          <w:color w:val="auto"/>
          <w:sz w:val="28"/>
          <w:szCs w:val="28"/>
          <w:highlight w:val="green"/>
        </w:rPr>
        <w:sectPr>
          <w:pgSz w:w="16838" w:h="11905" w:orient="landscape"/>
          <w:pgMar w:top="1134" w:right="1134" w:bottom="1134" w:left="1134" w:header="851" w:footer="1077" w:gutter="0"/>
          <w:cols w:space="720" w:num="1"/>
          <w:docGrid w:type="linesAndChars" w:linePitch="323" w:charSpace="0"/>
        </w:sectPr>
      </w:pPr>
      <w:bookmarkStart w:id="73" w:name="_Toc25442"/>
      <w:r>
        <w:rPr>
          <w:color w:val="auto"/>
          <w:sz w:val="21"/>
        </w:rPr>
        <mc:AlternateContent>
          <mc:Choice Requires="wps">
            <w:drawing>
              <wp:anchor distT="0" distB="0" distL="114300" distR="114300" simplePos="0" relativeHeight="251699200" behindDoc="0" locked="0" layoutInCell="1" allowOverlap="1">
                <wp:simplePos x="0" y="0"/>
                <wp:positionH relativeFrom="column">
                  <wp:posOffset>6511290</wp:posOffset>
                </wp:positionH>
                <wp:positionV relativeFrom="paragraph">
                  <wp:posOffset>3985260</wp:posOffset>
                </wp:positionV>
                <wp:extent cx="394970" cy="283845"/>
                <wp:effectExtent l="4445" t="4445" r="19685" b="16510"/>
                <wp:wrapNone/>
                <wp:docPr id="127" name="文本框 127"/>
                <wp:cNvGraphicFramePr/>
                <a:graphic xmlns:a="http://schemas.openxmlformats.org/drawingml/2006/main">
                  <a:graphicData uri="http://schemas.microsoft.com/office/word/2010/wordprocessingShape">
                    <wps:wsp>
                      <wps:cNvSpPr txBox="1"/>
                      <wps:spPr>
                        <a:xfrm>
                          <a:off x="0" y="0"/>
                          <a:ext cx="394970" cy="28384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0"/>
                                <w:szCs w:val="10"/>
                                <w:lang w:val="en-US" w:eastAsia="zh-CN"/>
                              </w:rPr>
                            </w:pPr>
                            <w:r>
                              <w:rPr>
                                <w:rFonts w:hint="eastAsia"/>
                                <w:sz w:val="10"/>
                                <w:szCs w:val="10"/>
                                <w:lang w:val="en-US"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7pt;margin-top:313.8pt;height:22.35pt;width:31.1pt;z-index:251699200;mso-width-relative:page;mso-height-relative:page;" filled="f" stroked="t" coordsize="21600,21600" o:gfxdata="UEsDBAoAAAAAAIdO4kAAAAAAAAAAAAAAAAAEAAAAZHJzL1BLAwQUAAAACACHTuJAY6sqpNsAAAAN&#10;AQAADwAAAGRycy9kb3ducmV2LnhtbE2PwU7DMBBE70j8g7VI3KjdQJMqxOkB0QMSQqIgytGJlzjC&#10;XofYTQtfj3OC287uaPZNtTk5yyYcQ+9JwnIhgCG1XvfUSXh92V6tgYWoSCvrCSV8Y4BNfX5WqVL7&#10;Iz3jtIsdSyEUSiXBxDiUnIfWoFNh4QekdPvwo1MxybHjelTHFO4sz4TIuVM9pQ9GDXhnsP3cHZyE&#10;x7f91/326V3ssbH9arKFefhppLy8WIpbYBFP8c8MM35ChzoxNf5AOjCbtMhWN8krIc+KHNhsEet5&#10;atKqyK6B1xX/36L+BVBLAwQUAAAACACHTuJA9mqKClECAACSBAAADgAAAGRycy9lMm9Eb2MueG1s&#10;rVTNbtswDL4P2DsIui/OX9skiFNkKTIMKNYC2bCzIsuxAEnUJCV29wDbG+y0y+57rj7HKNlJg26H&#10;HuaDTJE0ye8j6fl1oxU5COclmJwOen1KhOFQSLPL6aeP6zcTSnxgpmAKjMjpg/D0evH61by2MzGE&#10;ClQhHMEgxs9qm9MqBDvLMs8roZnvgRUGjSU4zQJe3S4rHKsxulbZsN+/zGpwhXXAhfeovWmNtIvo&#10;XhIQylJycQN8r4UJbVQnFAsIyVfSerpI1Zal4OGuLL0IROUUkYZ0YhKUt/HMFnM22zlmK8m7EthL&#10;SniGSTNpMOkp1A0LjOyd/CuUltyBhzL0OOisBZIYQRSD/jNuNhWzImFBqr09ke7/X1j+4XDviCxw&#10;EoZXlBimseWPP74//vz9+OsbiUqkqLZ+hp4bi76heQsNuh/1HpUReVM6Hd+IiaAdCX44ESyaQDgq&#10;R9Px9AotHE3DyWgyvohRsqePrfPhnQBNopBTh/1LtLLDrQ+t69El5jKwlkqlHipD6pxeji766QMP&#10;ShbRGN28221XypEDi1OQni7vmRtWoQwWE7G2mKIUmm3TEbCF4gHxO2iHyFu+lljlLfPhnjmcGgSG&#10;exXu8CgVYDXQSZRU4L7+Sx/9sZlopaTGKcyp/7JnTlCi3hts83QwHmPYkC7ji6shXty5ZXtuMXu9&#10;AoQ4wA22PInRP6ijWDrQn3H9ljErmpjhmDun4SiuQrsbuL5cLJfJCQfVsnBrNpbH0C3vy32AUqaW&#10;RJpabjr2cFRTU7u1irtwfk9eT7+S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qyqk2wAAAA0B&#10;AAAPAAAAAAAAAAEAIAAAACIAAABkcnMvZG93bnJldi54bWxQSwECFAAUAAAACACHTuJA9mqKClEC&#10;AACSBAAADgAAAAAAAAABACAAAAAqAQAAZHJzL2Uyb0RvYy54bWxQSwUGAAAAAAYABgBZAQAA7QUA&#10;AAAA&#10;">
                <v:fill on="f" focussize="0,0"/>
                <v:stroke weight="0.5pt" color="#000000 [3213]" joinstyle="round"/>
                <v:imagedata o:title=""/>
                <o:lock v:ext="edit" aspectratio="f"/>
                <v:textbox>
                  <w:txbxContent>
                    <w:p>
                      <w:pPr>
                        <w:rPr>
                          <w:rFonts w:hint="default" w:eastAsia="宋体"/>
                          <w:sz w:val="10"/>
                          <w:szCs w:val="10"/>
                          <w:lang w:val="en-US" w:eastAsia="zh-CN"/>
                        </w:rPr>
                      </w:pPr>
                      <w:r>
                        <w:rPr>
                          <w:rFonts w:hint="eastAsia"/>
                          <w:sz w:val="10"/>
                          <w:szCs w:val="10"/>
                          <w:lang w:val="en-US" w:eastAsia="zh-CN"/>
                        </w:rPr>
                        <w:t>沉淀池</w:t>
                      </w:r>
                    </w:p>
                  </w:txbxContent>
                </v:textbox>
              </v:shape>
            </w:pict>
          </mc:Fallback>
        </mc:AlternateContent>
      </w:r>
      <w:r>
        <w:rPr>
          <w:rFonts w:eastAsia="黑体"/>
          <w:color w:val="auto"/>
          <w:sz w:val="28"/>
          <w:szCs w:val="28"/>
          <w:highlight w:val="none"/>
        </w:rPr>
        <w:t>附图</w:t>
      </w:r>
      <w:r>
        <w:rPr>
          <w:rFonts w:hint="eastAsia" w:eastAsia="黑体"/>
          <w:color w:val="auto"/>
          <w:sz w:val="28"/>
          <w:szCs w:val="28"/>
          <w:highlight w:val="none"/>
        </w:rPr>
        <w:t>2</w:t>
      </w:r>
      <w:r>
        <w:rPr>
          <w:rFonts w:eastAsia="黑体"/>
          <w:color w:val="auto"/>
          <w:sz w:val="28"/>
          <w:szCs w:val="28"/>
          <w:highlight w:val="none"/>
        </w:rPr>
        <w:t xml:space="preserve"> 项目</w:t>
      </w:r>
      <w:r>
        <w:rPr>
          <w:rFonts w:ascii="Times New Roman" w:hAnsi="Times New Roman" w:eastAsia="黑体" w:cs="Times New Roman"/>
          <w:color w:val="auto"/>
          <w:sz w:val="28"/>
          <w:szCs w:val="28"/>
          <w:highlight w:val="none"/>
        </w:rPr>
        <w:t>平面</w:t>
      </w:r>
      <w:r>
        <w:rPr>
          <w:rFonts w:eastAsia="黑体"/>
          <w:color w:val="auto"/>
          <w:sz w:val="28"/>
          <w:szCs w:val="28"/>
          <w:highlight w:val="none"/>
        </w:rPr>
        <w:t>布置图</w:t>
      </w:r>
      <w:bookmarkEnd w:id="72"/>
      <w:bookmarkEnd w:id="73"/>
    </w:p>
    <w:p>
      <w:pPr>
        <w:jc w:val="center"/>
        <w:rPr>
          <w:rFonts w:hint="eastAsia" w:eastAsia="宋体"/>
          <w:color w:val="auto"/>
          <w:sz w:val="28"/>
          <w:szCs w:val="28"/>
          <w:lang w:eastAsia="zh-CN"/>
        </w:rPr>
      </w:pPr>
      <w:r>
        <w:rPr>
          <w:color w:val="auto"/>
          <w:sz w:val="28"/>
        </w:rPr>
        <mc:AlternateContent>
          <mc:Choice Requires="wps">
            <w:drawing>
              <wp:anchor distT="0" distB="0" distL="114300" distR="114300" simplePos="0" relativeHeight="251700224" behindDoc="0" locked="0" layoutInCell="1" allowOverlap="1">
                <wp:simplePos x="0" y="0"/>
                <wp:positionH relativeFrom="column">
                  <wp:posOffset>39370</wp:posOffset>
                </wp:positionH>
                <wp:positionV relativeFrom="paragraph">
                  <wp:posOffset>3394075</wp:posOffset>
                </wp:positionV>
                <wp:extent cx="1275715" cy="1029335"/>
                <wp:effectExtent l="4445" t="4445" r="15240" b="13970"/>
                <wp:wrapNone/>
                <wp:docPr id="130" name="文本框 27"/>
                <wp:cNvGraphicFramePr/>
                <a:graphic xmlns:a="http://schemas.openxmlformats.org/drawingml/2006/main">
                  <a:graphicData uri="http://schemas.microsoft.com/office/word/2010/wordprocessingShape">
                    <wps:wsp>
                      <wps:cNvSpPr txBox="1"/>
                      <wps:spPr>
                        <a:xfrm>
                          <a:off x="0" y="0"/>
                          <a:ext cx="1275715" cy="1029335"/>
                        </a:xfrm>
                        <a:prstGeom prst="rect">
                          <a:avLst/>
                        </a:prstGeom>
                        <a:solidFill>
                          <a:srgbClr val="FFFFFF"/>
                        </a:solidFill>
                        <a:ln w="6350">
                          <a:solidFill>
                            <a:prstClr val="black"/>
                          </a:solidFill>
                        </a:ln>
                        <a:effectLst/>
                      </wps:spPr>
                      <wps:txbx>
                        <w:txbxContent>
                          <w:p>
                            <w:pPr>
                              <w:jc w:val="center"/>
                            </w:pPr>
                            <w:r>
                              <w:rPr>
                                <w:rFonts w:hint="eastAsia"/>
                              </w:rPr>
                              <w:t>图例</w:t>
                            </w:r>
                          </w:p>
                          <w:p>
                            <w:pPr>
                              <w:jc w:val="center"/>
                              <w:rPr>
                                <w:rFonts w:hint="eastAsia"/>
                              </w:rPr>
                            </w:pPr>
                            <w:r>
                              <w:rPr>
                                <w:rFonts w:hint="eastAsia"/>
                              </w:rPr>
                              <w:t>项目位置</w:t>
                            </w:r>
                          </w:p>
                          <w:p>
                            <w:pPr>
                              <w:pStyle w:val="17"/>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140335" cy="266700"/>
                                  <wp:effectExtent l="0" t="0" r="12065" b="0"/>
                                  <wp:docPr id="107" name="图片 107" descr="a722f712-5be1-4c5d-b391-040985788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a722f712-5be1-4c5d-b391-0409857886c7"/>
                                          <pic:cNvPicPr>
                                            <a:picLocks noChangeAspect="1"/>
                                          </pic:cNvPicPr>
                                        </pic:nvPicPr>
                                        <pic:blipFill>
                                          <a:blip r:embed="rId17"/>
                                          <a:stretch>
                                            <a:fillRect/>
                                          </a:stretch>
                                        </pic:blipFill>
                                        <pic:spPr>
                                          <a:xfrm>
                                            <a:off x="0" y="0"/>
                                            <a:ext cx="140335" cy="266700"/>
                                          </a:xfrm>
                                          <a:prstGeom prst="rect">
                                            <a:avLst/>
                                          </a:prstGeom>
                                        </pic:spPr>
                                      </pic:pic>
                                    </a:graphicData>
                                  </a:graphic>
                                </wp:inline>
                              </w:drawing>
                            </w:r>
                            <w:r>
                              <w:rPr>
                                <w:rFonts w:hint="eastAsia"/>
                                <w:lang w:val="en-US" w:eastAsia="zh-CN"/>
                              </w:rPr>
                              <w:t xml:space="preserve">   大气点位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3.1pt;margin-top:267.25pt;height:81.05pt;width:100.45pt;z-index:251700224;mso-width-relative:page;mso-height-relative:page;" fillcolor="#FFFFFF" filled="t" stroked="t" coordsize="21600,21600" o:gfxdata="UEsDBAoAAAAAAIdO4kAAAAAAAAAAAAAAAAAEAAAAZHJzL1BLAwQUAAAACACHTuJADKnTP9YAAAAJ&#10;AQAADwAAAGRycy9kb3ducmV2LnhtbE2PwU7DMBBE70j8g7VI3KidhBqaxqkEEhLiRsmFmxtvkwh7&#10;HdluU/4ec4Lj6o1m3ja7i7PsjCFOnhQUKwEMqfdmokFB9/Fy9wgsJk1GW0+o4Bsj7Nrrq0bXxi/0&#10;jud9GlguoVhrBWNKc8157Ed0Oq78jJTZ0QenUz7DwE3QSy53lpdCSO70RHlh1DM+j9h/7U9Owat8&#10;Sp/YmTdTlZVfOt6Ho41K3d4UYgss4SX9heFXP6tDm50O/kQmMqtAljmoYF3dr4FlXoqHAtghg42U&#10;wNuG//+g/QFQSwMEFAAAAAgAh07iQKO3h1RhAgAAyQQAAA4AAABkcnMvZTJvRG9jLnhtbK1US27b&#10;MBDdF+gdCO5r+RPHjRE5cGO4KGA0AdKia5qiLKIkhyVpS+4Bmht01U33PVfO0SElO78usqgX8gxn&#10;9Gbm8Y3OLxqtyE44L8HkdNDrUyIMh0KaTU4/f1q+eUuJD8wUTIEROd0LTy9mr1+d13YqhlCBKoQj&#10;CGL8tLY5rUKw0yzzvBKa+R5YYTBYgtMsoOs2WeFYjehaZcN+/zSrwRXWARfe4+miDdIO0b0EEMpS&#10;crEAvtXChBbVCcUCjuQraT2dpW7LUvBwVZZeBKJyipOG9MQiaK/jM5uds+nGMVtJ3rXAXtLCk5k0&#10;kwaLHqEWLDCydfIZlJbcgYcy9DjorB0kMYJTDPpPuLmpmBVpFqTa2yPp/v/B8o+7a0dkgUoYISeG&#10;abzyu5+3d7/+3P3+QYaTyFBt/RQTbyymhuYdNJh9OPd4GAdvSqfjP45EMI5Y+yO/ogmEx5eGk/Fk&#10;MKaEY2zQH56NRuOIk92/bp0P7wVoEo2cOrzAxCvbrXxoUw8psZoHJYulVCo5brO+VI7sGF72Mv06&#10;9EdpypA6p6ejcT8hP4pF7CPEWjH+9TkCdqtMrCeSvrq+IkctF9EKzbrpiFtDsUfeHLTa85YvJVZZ&#10;MR+umUOxIVW4juEKH6UCbA06i5IK3Pd/ncd81ABGKalRvDn137bMCUrUB4PqOBucnCBsSM7JeDJE&#10;xz2MrB9GzFZfAlI2wMW3PJkxP6iDWTrQX3Br57EqhpjhWDun4WBehnalcOu5mM9TEurbsrAyN5ZH&#10;6EiYgfk2QCnTRUaaWm5QANFBhScpd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yp0z/WAAAACQEAAA8AAAAAAAAAAQAgAAAAIgAAAGRycy9kb3ducmV2LnhtbFBLAQIUABQAAAAI&#10;AIdO4kCjt4dUYQIAAMkEAAAOAAAAAAAAAAEAIAAAACUBAABkcnMvZTJvRG9jLnhtbFBLBQYAAAAA&#10;BgAGAFkBAAD4BQAAAAA=&#10;">
                <v:fill on="t" focussize="0,0"/>
                <v:stroke weight="0.5pt" color="#000000" joinstyle="round"/>
                <v:imagedata o:title=""/>
                <o:lock v:ext="edit" aspectratio="f"/>
                <v:textbox>
                  <w:txbxContent>
                    <w:p>
                      <w:pPr>
                        <w:jc w:val="center"/>
                      </w:pPr>
                      <w:r>
                        <w:rPr>
                          <w:rFonts w:hint="eastAsia"/>
                        </w:rPr>
                        <w:t>图例</w:t>
                      </w:r>
                    </w:p>
                    <w:p>
                      <w:pPr>
                        <w:jc w:val="center"/>
                        <w:rPr>
                          <w:rFonts w:hint="eastAsia"/>
                        </w:rPr>
                      </w:pPr>
                      <w:r>
                        <w:rPr>
                          <w:rFonts w:hint="eastAsia"/>
                        </w:rPr>
                        <w:t>项目位置</w:t>
                      </w:r>
                    </w:p>
                    <w:p>
                      <w:pPr>
                        <w:pStyle w:val="17"/>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140335" cy="266700"/>
                            <wp:effectExtent l="0" t="0" r="12065" b="0"/>
                            <wp:docPr id="107" name="图片 107" descr="a722f712-5be1-4c5d-b391-040985788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a722f712-5be1-4c5d-b391-0409857886c7"/>
                                    <pic:cNvPicPr>
                                      <a:picLocks noChangeAspect="1"/>
                                    </pic:cNvPicPr>
                                  </pic:nvPicPr>
                                  <pic:blipFill>
                                    <a:blip r:embed="rId17"/>
                                    <a:stretch>
                                      <a:fillRect/>
                                    </a:stretch>
                                  </pic:blipFill>
                                  <pic:spPr>
                                    <a:xfrm>
                                      <a:off x="0" y="0"/>
                                      <a:ext cx="140335" cy="266700"/>
                                    </a:xfrm>
                                    <a:prstGeom prst="rect">
                                      <a:avLst/>
                                    </a:prstGeom>
                                  </pic:spPr>
                                </pic:pic>
                              </a:graphicData>
                            </a:graphic>
                          </wp:inline>
                        </w:drawing>
                      </w:r>
                      <w:r>
                        <w:rPr>
                          <w:rFonts w:hint="eastAsia"/>
                          <w:lang w:val="en-US" w:eastAsia="zh-CN"/>
                        </w:rPr>
                        <w:t xml:space="preserve">   大气点位</w:t>
                      </w:r>
                    </w:p>
                  </w:txbxContent>
                </v:textbox>
              </v:shape>
            </w:pict>
          </mc:Fallback>
        </mc:AlternateContent>
      </w:r>
      <w:r>
        <w:rPr>
          <w:color w:val="auto"/>
          <w:sz w:val="28"/>
        </w:rPr>
        <mc:AlternateContent>
          <mc:Choice Requires="wps">
            <w:drawing>
              <wp:anchor distT="0" distB="0" distL="114300" distR="114300" simplePos="0" relativeHeight="251701248" behindDoc="0" locked="0" layoutInCell="1" allowOverlap="1">
                <wp:simplePos x="0" y="0"/>
                <wp:positionH relativeFrom="column">
                  <wp:posOffset>154940</wp:posOffset>
                </wp:positionH>
                <wp:positionV relativeFrom="paragraph">
                  <wp:posOffset>3736975</wp:posOffset>
                </wp:positionV>
                <wp:extent cx="146685" cy="109855"/>
                <wp:effectExtent l="12700" t="12700" r="31115" b="29845"/>
                <wp:wrapNone/>
                <wp:docPr id="131" name="矩形 131"/>
                <wp:cNvGraphicFramePr/>
                <a:graphic xmlns:a="http://schemas.openxmlformats.org/drawingml/2006/main">
                  <a:graphicData uri="http://schemas.microsoft.com/office/word/2010/wordprocessingShape">
                    <wps:wsp>
                      <wps:cNvSpPr/>
                      <wps:spPr>
                        <a:xfrm>
                          <a:off x="867410" y="4618355"/>
                          <a:ext cx="146685" cy="109855"/>
                        </a:xfrm>
                        <a:prstGeom prst="rect">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294.25pt;height:8.65pt;width:11.55pt;z-index:251701248;v-text-anchor:middle;mso-width-relative:page;mso-height-relative:page;" fillcolor="#DDDDDD [3204]" filled="t" stroked="t" coordsize="21600,21600" o:gfxdata="UEsDBAoAAAAAAIdO4kAAAAAAAAAAAAAAAAAEAAAAZHJzL1BLAwQUAAAACACHTuJALR5d+NcAAAAJ&#10;AQAADwAAAGRycy9kb3ducmV2LnhtbE2PQU7DMBBF90jcwRokNojajZzWCplUohUHoOmC5SQ2SURs&#10;R7HThttjVrAajebpz/vlYbUju5o5DN4hbDcCmHGt14PrEC7127MCFiI5TaN3BuHbBDhU93clFdrf&#10;3Lu5nmPHUogLBSH0MU4F56HtjaWw8ZNx6fbpZ0sxrXPH9Uy3FG5Hngmx45YGlz70NJljb9qv82IR&#10;ZBaG/evH+nQ61ovqJNVTQyfEx4eteAEWzRr/YPjVT+pQJafGL04HNiJkUiYSIVcqB5YAuU+zQdiJ&#10;XAGvSv6/QfUDUEsDBBQAAAAIAIdO4kBCl36CdAIAAOsEAAAOAAAAZHJzL2Uyb0RvYy54bWytVMFu&#10;2zAMvQ/YPwi6r7ZTJ02DOkXQIMOAYi2QDTsrshwbkCVNUuJ0PzNgt33EPmfYb+xJdtu066GH+SCT&#10;JvVIPpK+uDy0kuyFdY1WBc1OUkqE4rps1Lagnz+t3k0pcZ6pkkmtREHvhKOX87dvLjozEyNda1kK&#10;SwCi3KwzBa29N7MkcbwWLXMn2ggFY6VtyzxUu01KyzqgtzIZpekk6bQtjdVcOIevy95IB0T7GkBd&#10;VQ0XS813rVC+R7VCMo+SXN0YR+cx26oS3N9UlROeyIKiUh9PBIG8CWcyv2CzrWWmbviQAntNCs9q&#10;almjEPQBask8Izvb/APVNtxqpyt/wnWb9IVERlBFlj7jZl0zI2ItoNqZB9Ld/4PlH/e3ljQlJuE0&#10;o0SxFi3/8/3n718/SPgCfjrjZnBbm1s7aA5iKPZQ2Ta8UQY5FHQ6OcszEHtX0HySTU/H455ecfCE&#10;w57lk8l0TAmHQ5aeT3t78ohjrPPvhW5JEApq0b1IKttfO4/YcL13CWGdlk25aqSMit1urqQle4ZO&#10;L+MTouPKEzepSFfQ0ThPkShnmN8KcwOxNeDAqS0lTG6xGNzbGPvJbXccZLVK8bwUJCS5ZK7uk4kI&#10;g5tUSCkQ2lMYpI0u79ACq/vZdIavGty/Zs7fMothRKJYV3+Do5Ia2etBoqTW9ttL34M/ZgRWSjoM&#10;Nyr7umNWUCI/KEzPeZbngPVRycdnIyj22LI5tqhde6XBKuYD2UUx+Ht5L1ZWt1+w1YsQFSamOGL3&#10;HA7Kle+XDv8FLhaL6IYNMMxfq7XhATx0UenFzuuqid1+ZGcgDTsQOzrsa1iyYz16Pf6j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R5d+NcAAAAJAQAADwAAAAAAAAABACAAAAAiAAAAZHJzL2Rv&#10;d25yZXYueG1sUEsBAhQAFAAAAAgAh07iQEKXfoJ0AgAA6wQAAA4AAAAAAAAAAQAgAAAAJgEAAGRy&#10;cy9lMm9Eb2MueG1sUEsFBgAAAAAGAAYAWQEAAAwGAAAAAA==&#10;">
                <v:fill on="t" focussize="0,0"/>
                <v:stroke weight="2pt" color="#FF0000 [2404]" joinstyle="round"/>
                <v:imagedata o:title=""/>
                <o:lock v:ext="edit" aspectratio="f"/>
              </v:rect>
            </w:pict>
          </mc:Fallback>
        </mc:AlternateContent>
      </w:r>
      <w:r>
        <w:rPr>
          <w:rFonts w:hint="eastAsia" w:eastAsia="宋体"/>
          <w:color w:val="auto"/>
          <w:sz w:val="28"/>
          <w:szCs w:val="28"/>
          <w:lang w:eastAsia="zh-CN"/>
        </w:rPr>
        <w:drawing>
          <wp:inline distT="0" distB="0" distL="114300" distR="114300">
            <wp:extent cx="6115685" cy="4342130"/>
            <wp:effectExtent l="0" t="0" r="18415" b="1270"/>
            <wp:docPr id="88" name="图片 88" descr="136ee405-c4d0-42f6-81eb-6bbf51016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36ee405-c4d0-42f6-81eb-6bbf510167d8"/>
                    <pic:cNvPicPr>
                      <a:picLocks noChangeAspect="1"/>
                    </pic:cNvPicPr>
                  </pic:nvPicPr>
                  <pic:blipFill>
                    <a:blip r:embed="rId18"/>
                    <a:stretch>
                      <a:fillRect/>
                    </a:stretch>
                  </pic:blipFill>
                  <pic:spPr>
                    <a:xfrm>
                      <a:off x="0" y="0"/>
                      <a:ext cx="6115685" cy="4342130"/>
                    </a:xfrm>
                    <a:prstGeom prst="rect">
                      <a:avLst/>
                    </a:prstGeom>
                  </pic:spPr>
                </pic:pic>
              </a:graphicData>
            </a:graphic>
          </wp:inline>
        </w:drawing>
      </w:r>
    </w:p>
    <w:p>
      <w:pPr>
        <w:spacing w:line="360" w:lineRule="auto"/>
        <w:jc w:val="center"/>
        <w:outlineLvl w:val="0"/>
        <w:rPr>
          <w:color w:val="auto"/>
          <w:sz w:val="28"/>
          <w:szCs w:val="28"/>
          <w:highlight w:val="none"/>
        </w:rPr>
      </w:pPr>
      <w:bookmarkStart w:id="74" w:name="_Toc5940"/>
      <w:r>
        <w:rPr>
          <w:rFonts w:eastAsia="黑体"/>
          <w:color w:val="auto"/>
          <w:sz w:val="28"/>
          <w:szCs w:val="28"/>
          <w:highlight w:val="none"/>
        </w:rPr>
        <w:t>附图</w:t>
      </w:r>
      <w:r>
        <w:rPr>
          <w:rFonts w:hint="eastAsia" w:eastAsia="黑体"/>
          <w:color w:val="auto"/>
          <w:sz w:val="28"/>
          <w:szCs w:val="28"/>
          <w:highlight w:val="none"/>
        </w:rPr>
        <w:t>3  现状监测布点图</w:t>
      </w:r>
      <w:bookmarkEnd w:id="74"/>
    </w:p>
    <w:p>
      <w:pPr>
        <w:rPr>
          <w:color w:val="auto"/>
          <w:sz w:val="28"/>
          <w:szCs w:val="28"/>
        </w:rPr>
      </w:pPr>
    </w:p>
    <w:p>
      <w:pPr>
        <w:rPr>
          <w:rFonts w:eastAsia="黑体"/>
          <w:color w:val="auto"/>
          <w:sz w:val="28"/>
          <w:szCs w:val="28"/>
        </w:rPr>
      </w:pPr>
      <w:bookmarkStart w:id="75" w:name="_Toc12589"/>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p>
      <w:pPr>
        <w:rPr>
          <w:rFonts w:eastAsia="黑体"/>
          <w:color w:val="auto"/>
          <w:sz w:val="28"/>
          <w:szCs w:val="28"/>
        </w:rPr>
      </w:pPr>
    </w:p>
    <w:bookmarkEnd w:id="75"/>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eastAsia="黑体"/>
          <w:color w:val="auto"/>
          <w:sz w:val="28"/>
          <w:szCs w:val="28"/>
        </w:rPr>
      </w:pPr>
    </w:p>
    <w:p>
      <w:pPr>
        <w:spacing w:line="360" w:lineRule="auto"/>
        <w:outlineLvl w:val="0"/>
        <w:rPr>
          <w:rFonts w:eastAsia="黑体"/>
          <w:color w:val="auto"/>
          <w:sz w:val="28"/>
          <w:szCs w:val="28"/>
        </w:rPr>
      </w:pPr>
      <w:bookmarkStart w:id="76" w:name="_Toc27997"/>
      <w:r>
        <w:rPr>
          <w:rFonts w:eastAsia="黑体"/>
          <w:color w:val="auto"/>
          <w:sz w:val="28"/>
          <w:szCs w:val="28"/>
        </w:rPr>
        <w:t>附件1 营业执照</w:t>
      </w:r>
      <w:bookmarkEnd w:id="76"/>
    </w:p>
    <w:p>
      <w:pPr>
        <w:rPr>
          <w:rFonts w:hint="eastAsia" w:eastAsia="宋体"/>
          <w:color w:val="auto"/>
          <w:lang w:eastAsia="zh-CN"/>
        </w:rPr>
      </w:pPr>
      <w:r>
        <w:rPr>
          <w:rFonts w:hint="eastAsia" w:eastAsia="宋体"/>
          <w:color w:val="auto"/>
          <w:lang w:eastAsia="zh-CN"/>
        </w:rPr>
        <w:drawing>
          <wp:inline distT="0" distB="0" distL="114300" distR="114300">
            <wp:extent cx="6114415" cy="4441190"/>
            <wp:effectExtent l="0" t="0" r="635" b="16510"/>
            <wp:docPr id="21" name="图片 21" descr="6b2936ef-6a58-4d87-bff8-4bf7aadf1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b2936ef-6a58-4d87-bff8-4bf7aadf182e"/>
                    <pic:cNvPicPr>
                      <a:picLocks noChangeAspect="1"/>
                    </pic:cNvPicPr>
                  </pic:nvPicPr>
                  <pic:blipFill>
                    <a:blip r:embed="rId19"/>
                    <a:stretch>
                      <a:fillRect/>
                    </a:stretch>
                  </pic:blipFill>
                  <pic:spPr>
                    <a:xfrm>
                      <a:off x="0" y="0"/>
                      <a:ext cx="6114415" cy="4441190"/>
                    </a:xfrm>
                    <a:prstGeom prst="rect">
                      <a:avLst/>
                    </a:prstGeom>
                  </pic:spPr>
                </pic:pic>
              </a:graphicData>
            </a:graphic>
          </wp:inline>
        </w:drawing>
      </w:r>
    </w:p>
    <w:p>
      <w:pPr>
        <w:rPr>
          <w:color w:val="auto"/>
        </w:rPr>
        <w:sectPr>
          <w:pgSz w:w="11905" w:h="16838"/>
          <w:pgMar w:top="1134" w:right="1134" w:bottom="1134" w:left="1134" w:header="851" w:footer="1077" w:gutter="0"/>
          <w:cols w:space="720" w:num="1"/>
          <w:docGrid w:type="linesAndChars" w:linePitch="323" w:charSpace="0"/>
        </w:sectPr>
      </w:pPr>
    </w:p>
    <w:p>
      <w:pPr>
        <w:spacing w:line="360" w:lineRule="auto"/>
        <w:outlineLvl w:val="0"/>
        <w:rPr>
          <w:rFonts w:hint="eastAsia" w:eastAsia="黑体"/>
          <w:color w:val="auto"/>
          <w:sz w:val="28"/>
          <w:szCs w:val="28"/>
          <w:lang w:val="en-US" w:eastAsia="zh-CN"/>
        </w:rPr>
      </w:pPr>
      <w:bookmarkStart w:id="77" w:name="_Toc8251"/>
      <w:r>
        <w:rPr>
          <w:rFonts w:eastAsia="黑体"/>
          <w:color w:val="auto"/>
          <w:sz w:val="28"/>
          <w:szCs w:val="28"/>
        </w:rPr>
        <w:t>附件</w:t>
      </w:r>
      <w:r>
        <w:rPr>
          <w:rFonts w:hint="eastAsia" w:eastAsia="黑体"/>
          <w:color w:val="auto"/>
          <w:sz w:val="28"/>
          <w:szCs w:val="28"/>
          <w:lang w:val="en-US" w:eastAsia="zh-CN"/>
        </w:rPr>
        <w:t>2</w:t>
      </w:r>
      <w:r>
        <w:rPr>
          <w:rFonts w:hint="eastAsia" w:ascii="Times New Roman" w:hAnsi="Times New Roman" w:eastAsia="黑体" w:cs="Times New Roman"/>
          <w:color w:val="auto"/>
          <w:sz w:val="28"/>
          <w:szCs w:val="28"/>
          <w:lang w:val="en-US" w:eastAsia="zh-CN"/>
        </w:rPr>
        <w:t>检测</w:t>
      </w:r>
      <w:r>
        <w:rPr>
          <w:rFonts w:hint="eastAsia" w:eastAsia="黑体"/>
          <w:color w:val="auto"/>
          <w:sz w:val="28"/>
          <w:szCs w:val="28"/>
          <w:lang w:val="en-US" w:eastAsia="zh-CN"/>
        </w:rPr>
        <w:t>报告</w:t>
      </w:r>
      <w:bookmarkEnd w:id="77"/>
    </w:p>
    <w:p>
      <w:pPr>
        <w:pStyle w:val="17"/>
        <w:jc w:val="center"/>
        <w:rPr>
          <w:rFonts w:hint="eastAsia"/>
          <w:color w:val="auto"/>
          <w:lang w:val="en-US" w:eastAsia="zh-CN"/>
        </w:rPr>
      </w:pPr>
    </w:p>
    <w:p>
      <w:pPr>
        <w:pStyle w:val="17"/>
        <w:rPr>
          <w:rFonts w:hint="default"/>
          <w:color w:val="auto"/>
          <w:lang w:val="en-US" w:eastAsia="zh-CN"/>
        </w:rPr>
        <w:sectPr>
          <w:pgSz w:w="11906" w:h="16838"/>
          <w:pgMar w:top="1440" w:right="1474" w:bottom="1440" w:left="1474" w:header="851" w:footer="992" w:gutter="0"/>
          <w:cols w:space="0" w:num="1"/>
          <w:docGrid w:type="lines" w:linePitch="312" w:charSpace="0"/>
        </w:sectPr>
      </w:pPr>
    </w:p>
    <w:p>
      <w:pPr>
        <w:spacing w:line="360" w:lineRule="auto"/>
        <w:outlineLvl w:val="0"/>
        <w:rPr>
          <w:rFonts w:hint="default" w:ascii="Times New Roman" w:hAnsi="Times New Roman" w:eastAsia="黑体" w:cs="Times New Roman"/>
          <w:color w:val="auto"/>
          <w:sz w:val="28"/>
          <w:szCs w:val="28"/>
          <w:lang w:val="en-US" w:eastAsia="zh-CN"/>
        </w:rPr>
      </w:pPr>
      <w:bookmarkStart w:id="78" w:name="_Toc2306"/>
      <w:r>
        <w:rPr>
          <w:rFonts w:hint="eastAsia" w:ascii="Times New Roman" w:hAnsi="Times New Roman" w:eastAsia="黑体" w:cs="Times New Roman"/>
          <w:color w:val="auto"/>
          <w:sz w:val="28"/>
          <w:szCs w:val="28"/>
          <w:lang w:val="en-US" w:eastAsia="zh-CN"/>
        </w:rPr>
        <w:t>附件3现有工程环评批复</w:t>
      </w:r>
      <w:bookmarkEnd w:id="78"/>
    </w:p>
    <w:p>
      <w:pPr>
        <w:rPr>
          <w:rFonts w:hint="default"/>
          <w:color w:val="auto"/>
          <w:lang w:val="en-US" w:eastAsia="zh-CN"/>
        </w:rPr>
      </w:pPr>
      <w:r>
        <w:rPr>
          <w:color w:val="auto"/>
        </w:rPr>
        <w:drawing>
          <wp:inline distT="0" distB="0" distL="114300" distR="114300">
            <wp:extent cx="7748270" cy="5479415"/>
            <wp:effectExtent l="0" t="0" r="6985" b="50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rot="16200000">
                      <a:off x="0" y="0"/>
                      <a:ext cx="7748270" cy="5479415"/>
                    </a:xfrm>
                    <a:prstGeom prst="rect">
                      <a:avLst/>
                    </a:prstGeom>
                    <a:noFill/>
                    <a:ln>
                      <a:noFill/>
                    </a:ln>
                  </pic:spPr>
                </pic:pic>
              </a:graphicData>
            </a:graphic>
          </wp:inline>
        </w:drawing>
      </w:r>
      <w:r>
        <w:rPr>
          <w:color w:val="auto"/>
        </w:rPr>
        <w:drawing>
          <wp:inline distT="0" distB="0" distL="114300" distR="114300">
            <wp:extent cx="7833360" cy="5539740"/>
            <wp:effectExtent l="0" t="0" r="3810" b="152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1"/>
                    <a:stretch>
                      <a:fillRect/>
                    </a:stretch>
                  </pic:blipFill>
                  <pic:spPr>
                    <a:xfrm rot="16200000">
                      <a:off x="0" y="0"/>
                      <a:ext cx="7833360" cy="5539740"/>
                    </a:xfrm>
                    <a:prstGeom prst="rect">
                      <a:avLst/>
                    </a:prstGeom>
                    <a:noFill/>
                    <a:ln>
                      <a:noFill/>
                    </a:ln>
                  </pic:spPr>
                </pic:pic>
              </a:graphicData>
            </a:graphic>
          </wp:inline>
        </w:drawing>
      </w:r>
      <w:r>
        <w:rPr>
          <w:color w:val="auto"/>
        </w:rPr>
        <w:drawing>
          <wp:inline distT="0" distB="0" distL="114300" distR="114300">
            <wp:extent cx="7863205" cy="5560695"/>
            <wp:effectExtent l="0" t="0" r="1905" b="444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2"/>
                    <a:stretch>
                      <a:fillRect/>
                    </a:stretch>
                  </pic:blipFill>
                  <pic:spPr>
                    <a:xfrm rot="16200000">
                      <a:off x="0" y="0"/>
                      <a:ext cx="7863205" cy="5560695"/>
                    </a:xfrm>
                    <a:prstGeom prst="rect">
                      <a:avLst/>
                    </a:prstGeom>
                    <a:noFill/>
                    <a:ln>
                      <a:noFill/>
                    </a:ln>
                  </pic:spPr>
                </pic:pic>
              </a:graphicData>
            </a:graphic>
          </wp:inline>
        </w:drawing>
      </w:r>
    </w:p>
    <w:p>
      <w:pPr>
        <w:rPr>
          <w:rFonts w:hint="default"/>
          <w:color w:val="auto"/>
          <w:lang w:val="en-US" w:eastAsia="zh-CN"/>
        </w:rPr>
        <w:sectPr>
          <w:pgSz w:w="11906" w:h="16838"/>
          <w:pgMar w:top="1440" w:right="1474" w:bottom="1440" w:left="1474" w:header="851" w:footer="992" w:gutter="0"/>
          <w:cols w:space="0" w:num="1"/>
          <w:docGrid w:type="lines" w:linePitch="312" w:charSpace="0"/>
        </w:sectPr>
      </w:pPr>
    </w:p>
    <w:p>
      <w:pPr>
        <w:spacing w:line="360" w:lineRule="auto"/>
        <w:outlineLvl w:val="0"/>
        <w:rPr>
          <w:rFonts w:hint="default" w:ascii="Times New Roman" w:hAnsi="Times New Roman" w:eastAsia="黑体" w:cs="Times New Roman"/>
          <w:color w:val="auto"/>
          <w:sz w:val="28"/>
          <w:szCs w:val="28"/>
          <w:lang w:val="en-US" w:eastAsia="zh-CN"/>
        </w:rPr>
      </w:pPr>
      <w:bookmarkStart w:id="79" w:name="_Toc9780"/>
      <w:r>
        <w:rPr>
          <w:rFonts w:hint="eastAsia" w:ascii="Times New Roman" w:hAnsi="Times New Roman" w:eastAsia="黑体" w:cs="Times New Roman"/>
          <w:color w:val="auto"/>
          <w:sz w:val="28"/>
          <w:szCs w:val="28"/>
          <w:lang w:val="en-US" w:eastAsia="zh-CN"/>
        </w:rPr>
        <w:t>附件4现有工程验收批复</w:t>
      </w:r>
      <w:bookmarkEnd w:id="79"/>
    </w:p>
    <w:p>
      <w:pPr>
        <w:spacing w:line="360" w:lineRule="auto"/>
        <w:jc w:val="both"/>
        <w:outlineLvl w:val="0"/>
        <w:rPr>
          <w:color w:val="auto"/>
        </w:rPr>
        <w:sectPr>
          <w:pgSz w:w="11906" w:h="16838"/>
          <w:pgMar w:top="1440" w:right="1474" w:bottom="1440" w:left="1474" w:header="851" w:footer="992" w:gutter="0"/>
          <w:cols w:space="0" w:num="1"/>
          <w:docGrid w:type="lines" w:linePitch="312" w:charSpace="0"/>
        </w:sectPr>
      </w:pPr>
      <w:bookmarkStart w:id="80" w:name="_Toc29947"/>
      <w:r>
        <w:rPr>
          <w:color w:val="auto"/>
        </w:rPr>
        <w:drawing>
          <wp:inline distT="0" distB="0" distL="114300" distR="114300">
            <wp:extent cx="7952105" cy="5623560"/>
            <wp:effectExtent l="0" t="0" r="15240" b="1079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3"/>
                    <a:stretch>
                      <a:fillRect/>
                    </a:stretch>
                  </pic:blipFill>
                  <pic:spPr>
                    <a:xfrm rot="16200000">
                      <a:off x="0" y="0"/>
                      <a:ext cx="7952105" cy="5623560"/>
                    </a:xfrm>
                    <a:prstGeom prst="rect">
                      <a:avLst/>
                    </a:prstGeom>
                    <a:noFill/>
                    <a:ln>
                      <a:noFill/>
                    </a:ln>
                  </pic:spPr>
                </pic:pic>
              </a:graphicData>
            </a:graphic>
          </wp:inline>
        </w:drawing>
      </w:r>
      <w:r>
        <w:rPr>
          <w:color w:val="auto"/>
        </w:rPr>
        <w:drawing>
          <wp:inline distT="0" distB="0" distL="114300" distR="114300">
            <wp:extent cx="7928610" cy="5606415"/>
            <wp:effectExtent l="0" t="0" r="13335" b="152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4"/>
                    <a:stretch>
                      <a:fillRect/>
                    </a:stretch>
                  </pic:blipFill>
                  <pic:spPr>
                    <a:xfrm rot="16200000">
                      <a:off x="0" y="0"/>
                      <a:ext cx="7928610" cy="5606415"/>
                    </a:xfrm>
                    <a:prstGeom prst="rect">
                      <a:avLst/>
                    </a:prstGeom>
                    <a:noFill/>
                    <a:ln>
                      <a:noFill/>
                    </a:ln>
                  </pic:spPr>
                </pic:pic>
              </a:graphicData>
            </a:graphic>
          </wp:inline>
        </w:drawing>
      </w:r>
      <w:bookmarkEnd w:id="80"/>
    </w:p>
    <w:p>
      <w:pPr>
        <w:spacing w:line="360" w:lineRule="auto"/>
        <w:outlineLvl w:val="0"/>
        <w:rPr>
          <w:rFonts w:hint="default" w:ascii="Times New Roman" w:hAnsi="Times New Roman" w:eastAsia="黑体" w:cs="Times New Roman"/>
          <w:color w:val="auto"/>
          <w:sz w:val="28"/>
          <w:szCs w:val="28"/>
          <w:lang w:val="en-US" w:eastAsia="zh-CN"/>
        </w:rPr>
      </w:pPr>
      <w:bookmarkStart w:id="81" w:name="_Toc20723"/>
      <w:bookmarkStart w:id="82" w:name="_Toc13125"/>
      <w:bookmarkStart w:id="83" w:name="_Toc20161"/>
      <w:r>
        <w:rPr>
          <w:rFonts w:hint="eastAsia" w:ascii="Times New Roman" w:hAnsi="Times New Roman" w:eastAsia="黑体" w:cs="Times New Roman"/>
          <w:color w:val="auto"/>
          <w:sz w:val="28"/>
          <w:szCs w:val="28"/>
          <w:lang w:val="en-US" w:eastAsia="zh-CN"/>
        </w:rPr>
        <w:t>附件5</w:t>
      </w:r>
      <w:r>
        <w:rPr>
          <w:rFonts w:hint="default" w:ascii="Times New Roman" w:hAnsi="Times New Roman" w:eastAsia="黑体" w:cs="Times New Roman"/>
          <w:color w:val="auto"/>
          <w:sz w:val="28"/>
          <w:szCs w:val="28"/>
          <w:lang w:val="en-US" w:eastAsia="zh-CN"/>
        </w:rPr>
        <w:t>大气环境影响专项评价</w:t>
      </w:r>
      <w:bookmarkEnd w:id="81"/>
      <w:bookmarkEnd w:id="82"/>
      <w:bookmarkEnd w:id="83"/>
    </w:p>
    <w:p>
      <w:pPr>
        <w:pStyle w:val="124"/>
        <w:rPr>
          <w:rFonts w:hint="default" w:ascii="Times New Roman" w:hAnsi="Times New Roman" w:cs="Times New Roman"/>
          <w:color w:val="auto"/>
          <w:highlight w:val="none"/>
        </w:rPr>
      </w:pPr>
    </w:p>
    <w:p>
      <w:pPr>
        <w:pStyle w:val="124"/>
        <w:rPr>
          <w:rFonts w:hint="default" w:ascii="Times New Roman" w:hAnsi="Times New Roman" w:cs="Times New Roman"/>
          <w:color w:val="auto"/>
          <w:highlight w:val="none"/>
        </w:rPr>
      </w:pPr>
    </w:p>
    <w:p>
      <w:pPr>
        <w:pStyle w:val="124"/>
        <w:rPr>
          <w:rFonts w:hint="default" w:ascii="Times New Roman" w:hAnsi="Times New Roman" w:cs="Times New Roman"/>
          <w:color w:val="auto"/>
          <w:highlight w:val="none"/>
        </w:rPr>
      </w:pPr>
    </w:p>
    <w:p>
      <w:pPr>
        <w:pStyle w:val="124"/>
        <w:rPr>
          <w:rFonts w:hint="default" w:ascii="Times New Roman" w:hAnsi="Times New Roman" w:cs="Times New Roman"/>
          <w:color w:val="auto"/>
          <w:highlight w:val="none"/>
        </w:rPr>
      </w:pPr>
    </w:p>
    <w:p>
      <w:pPr>
        <w:pStyle w:val="124"/>
        <w:rPr>
          <w:rFonts w:hint="default" w:ascii="Times New Roman" w:hAnsi="Times New Roman" w:cs="Times New Roman"/>
          <w:color w:val="auto"/>
          <w:highlight w:val="none"/>
        </w:rPr>
      </w:pPr>
    </w:p>
    <w:p>
      <w:pPr>
        <w:pStyle w:val="124"/>
        <w:rPr>
          <w:rFonts w:hint="default" w:ascii="Times New Roman" w:hAnsi="Times New Roman" w:cs="Times New Roman"/>
          <w:color w:val="auto"/>
          <w:highlight w:val="none"/>
        </w:rPr>
      </w:pPr>
    </w:p>
    <w:p>
      <w:pPr>
        <w:pStyle w:val="124"/>
        <w:rPr>
          <w:rFonts w:hint="default" w:ascii="Times New Roman" w:hAnsi="Times New Roman" w:cs="Times New Roman"/>
          <w:color w:val="auto"/>
          <w:highlight w:val="none"/>
        </w:rPr>
      </w:pPr>
    </w:p>
    <w:p>
      <w:pPr>
        <w:adjustRightInd w:val="0"/>
        <w:snapToGrid w:val="0"/>
        <w:jc w:val="center"/>
        <w:rPr>
          <w:b/>
          <w:color w:val="auto"/>
          <w:sz w:val="52"/>
          <w:szCs w:val="52"/>
        </w:rPr>
      </w:pPr>
      <w:r>
        <w:rPr>
          <w:rFonts w:hint="eastAsia" w:ascii="Times New Roman" w:hAnsi="Times New Roman" w:eastAsia="宋体" w:cs="Times New Roman"/>
          <w:b/>
          <w:color w:val="auto"/>
          <w:sz w:val="52"/>
          <w:szCs w:val="52"/>
          <w:lang w:eastAsia="zh-CN"/>
        </w:rPr>
        <w:t>伊春市交通路桥建筑有限责任公司建设项目</w:t>
      </w:r>
      <w:r>
        <w:rPr>
          <w:rFonts w:ascii="Times New Roman" w:hAnsi="Times New Roman" w:eastAsia="宋体" w:cs="Times New Roman"/>
          <w:b/>
          <w:color w:val="auto"/>
          <w:sz w:val="52"/>
          <w:szCs w:val="52"/>
        </w:rPr>
        <w:t>大气环境影响专项评价报</w:t>
      </w:r>
      <w:r>
        <w:rPr>
          <w:b/>
          <w:color w:val="auto"/>
          <w:sz w:val="52"/>
          <w:szCs w:val="52"/>
        </w:rPr>
        <w:t>告</w:t>
      </w: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spacing w:line="300" w:lineRule="auto"/>
        <w:jc w:val="center"/>
        <w:rPr>
          <w:color w:val="auto"/>
        </w:rPr>
      </w:pPr>
    </w:p>
    <w:p>
      <w:pPr>
        <w:pStyle w:val="33"/>
        <w:rPr>
          <w:color w:val="auto"/>
        </w:rPr>
      </w:pPr>
    </w:p>
    <w:p>
      <w:pPr>
        <w:pStyle w:val="33"/>
        <w:rPr>
          <w:color w:val="auto"/>
        </w:rPr>
      </w:pPr>
    </w:p>
    <w:p>
      <w:pPr>
        <w:adjustRightInd w:val="0"/>
        <w:snapToGrid w:val="0"/>
        <w:spacing w:line="480" w:lineRule="auto"/>
        <w:jc w:val="center"/>
        <w:rPr>
          <w:b/>
          <w:color w:val="auto"/>
          <w:sz w:val="32"/>
          <w:szCs w:val="32"/>
        </w:rPr>
      </w:pPr>
    </w:p>
    <w:p>
      <w:pPr>
        <w:adjustRightInd w:val="0"/>
        <w:snapToGrid w:val="0"/>
        <w:spacing w:line="480" w:lineRule="auto"/>
        <w:jc w:val="center"/>
        <w:rPr>
          <w:b/>
          <w:color w:val="auto"/>
          <w:sz w:val="32"/>
          <w:szCs w:val="32"/>
        </w:rPr>
      </w:pPr>
    </w:p>
    <w:p>
      <w:pPr>
        <w:adjustRightInd w:val="0"/>
        <w:snapToGrid w:val="0"/>
        <w:spacing w:line="480" w:lineRule="auto"/>
        <w:jc w:val="center"/>
        <w:rPr>
          <w:b/>
          <w:color w:val="auto"/>
          <w:sz w:val="32"/>
          <w:szCs w:val="32"/>
        </w:rPr>
      </w:pPr>
      <w:r>
        <w:rPr>
          <w:b/>
          <w:color w:val="auto"/>
          <w:sz w:val="32"/>
          <w:szCs w:val="32"/>
        </w:rPr>
        <w:t>编制日期：202</w:t>
      </w:r>
      <w:r>
        <w:rPr>
          <w:rFonts w:hint="eastAsia"/>
          <w:b/>
          <w:color w:val="auto"/>
          <w:sz w:val="32"/>
          <w:szCs w:val="32"/>
          <w:lang w:val="en-US" w:eastAsia="zh-CN"/>
        </w:rPr>
        <w:t>6</w:t>
      </w:r>
      <w:r>
        <w:rPr>
          <w:b/>
          <w:color w:val="auto"/>
          <w:sz w:val="32"/>
          <w:szCs w:val="32"/>
        </w:rPr>
        <w:t>年</w:t>
      </w:r>
      <w:r>
        <w:rPr>
          <w:rFonts w:hint="eastAsia"/>
          <w:b/>
          <w:color w:val="auto"/>
          <w:sz w:val="32"/>
          <w:szCs w:val="32"/>
          <w:lang w:val="en-US" w:eastAsia="zh-CN"/>
        </w:rPr>
        <w:t>4</w:t>
      </w:r>
      <w:r>
        <w:rPr>
          <w:b/>
          <w:color w:val="auto"/>
          <w:sz w:val="32"/>
          <w:szCs w:val="32"/>
        </w:rPr>
        <w:t>月</w:t>
      </w:r>
    </w:p>
    <w:p>
      <w:pPr>
        <w:pStyle w:val="117"/>
        <w:bidi w:val="0"/>
        <w:jc w:val="center"/>
        <w:rPr>
          <w:rFonts w:hint="default"/>
          <w:color w:val="auto"/>
          <w:highlight w:val="none"/>
          <w:lang w:val="en-US" w:eastAsia="zh-CN"/>
        </w:rPr>
      </w:pPr>
    </w:p>
    <w:p>
      <w:pPr>
        <w:pStyle w:val="117"/>
        <w:bidi w:val="0"/>
        <w:jc w:val="center"/>
        <w:rPr>
          <w:rFonts w:hint="default"/>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0"/>
        </w:numPr>
        <w:bidi w:val="0"/>
        <w:ind w:leftChars="0"/>
        <w:rPr>
          <w:rFonts w:hint="eastAsia"/>
          <w:b w:val="0"/>
          <w:bCs w:val="0"/>
          <w:color w:val="auto"/>
          <w:sz w:val="28"/>
          <w:szCs w:val="28"/>
        </w:rPr>
      </w:pPr>
      <w:bookmarkStart w:id="84" w:name="_Toc32243"/>
      <w:bookmarkStart w:id="85" w:name="_Toc22309"/>
      <w:bookmarkStart w:id="86" w:name="_Toc27979"/>
      <w:bookmarkStart w:id="87" w:name="_Toc31479"/>
      <w:bookmarkStart w:id="88" w:name="_Toc32205"/>
      <w:bookmarkStart w:id="89" w:name="_Toc1033"/>
      <w:bookmarkStart w:id="90" w:name="_Toc20173"/>
      <w:bookmarkStart w:id="91" w:name="_Toc911"/>
      <w:r>
        <w:rPr>
          <w:rFonts w:hint="eastAsia"/>
          <w:b w:val="0"/>
          <w:bCs w:val="0"/>
          <w:color w:val="auto"/>
          <w:sz w:val="28"/>
          <w:szCs w:val="28"/>
        </w:rPr>
        <w:t>1总则</w:t>
      </w:r>
      <w:bookmarkEnd w:id="84"/>
      <w:bookmarkEnd w:id="85"/>
      <w:bookmarkEnd w:id="86"/>
      <w:bookmarkEnd w:id="87"/>
      <w:bookmarkEnd w:id="88"/>
      <w:bookmarkEnd w:id="89"/>
      <w:bookmarkEnd w:id="90"/>
      <w:bookmarkEnd w:id="91"/>
    </w:p>
    <w:p>
      <w:pPr>
        <w:pStyle w:val="117"/>
        <w:bidi w:val="0"/>
        <w:rPr>
          <w:color w:val="auto"/>
          <w:highlight w:val="none"/>
        </w:rPr>
      </w:pPr>
      <w:r>
        <w:rPr>
          <w:color w:val="auto"/>
          <w:highlight w:val="none"/>
        </w:rPr>
        <w:t>根据《环境影响评价技术导则 大气环境》（HJ2.2-2018）的相关要求编制完成本项目大气环境影响评价专篇内容。</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92" w:name="_Toc12495"/>
      <w:bookmarkStart w:id="93" w:name="_Toc9575"/>
      <w:bookmarkStart w:id="94" w:name="_Toc26778"/>
      <w:bookmarkStart w:id="95" w:name="_Toc30522"/>
      <w:bookmarkStart w:id="96" w:name="_Toc18402"/>
      <w:bookmarkStart w:id="97" w:name="_Toc16044"/>
      <w:bookmarkStart w:id="98" w:name="_Toc8563"/>
      <w:r>
        <w:rPr>
          <w:rFonts w:ascii="Times New Roman" w:hAnsi="Times New Roman" w:eastAsia="宋体" w:cs="Times New Roman"/>
          <w:b w:val="0"/>
          <w:bCs/>
          <w:color w:val="auto"/>
          <w:sz w:val="24"/>
          <w:szCs w:val="24"/>
          <w:highlight w:val="none"/>
        </w:rPr>
        <w:t>1.1</w:t>
      </w:r>
      <w:bookmarkEnd w:id="92"/>
      <w:bookmarkEnd w:id="93"/>
      <w:r>
        <w:rPr>
          <w:rFonts w:ascii="Times New Roman" w:hAnsi="Times New Roman" w:eastAsia="宋体" w:cs="Times New Roman"/>
          <w:b w:val="0"/>
          <w:bCs/>
          <w:color w:val="auto"/>
          <w:sz w:val="24"/>
          <w:szCs w:val="24"/>
          <w:highlight w:val="none"/>
        </w:rPr>
        <w:t>编制目的</w:t>
      </w:r>
      <w:bookmarkEnd w:id="94"/>
      <w:bookmarkEnd w:id="95"/>
      <w:bookmarkEnd w:id="96"/>
      <w:bookmarkEnd w:id="97"/>
      <w:bookmarkEnd w:id="98"/>
    </w:p>
    <w:p>
      <w:pPr>
        <w:pStyle w:val="117"/>
        <w:bidi w:val="0"/>
        <w:rPr>
          <w:color w:val="auto"/>
          <w:highlight w:val="none"/>
        </w:rPr>
      </w:pPr>
      <w:r>
        <w:rPr>
          <w:color w:val="auto"/>
          <w:highlight w:val="none"/>
        </w:rPr>
        <w:t>（1）通过对本项目所在区域的大气环境质量现状调查与分析，评价该区域大气现状及其存在的问题；</w:t>
      </w:r>
    </w:p>
    <w:p>
      <w:pPr>
        <w:pStyle w:val="117"/>
        <w:bidi w:val="0"/>
        <w:rPr>
          <w:color w:val="auto"/>
          <w:highlight w:val="none"/>
        </w:rPr>
      </w:pPr>
      <w:r>
        <w:rPr>
          <w:color w:val="auto"/>
          <w:highlight w:val="none"/>
        </w:rPr>
        <w:t>（2）预测本项目建设对区域大气环境的影响；</w:t>
      </w:r>
    </w:p>
    <w:p>
      <w:pPr>
        <w:pStyle w:val="117"/>
        <w:bidi w:val="0"/>
        <w:rPr>
          <w:color w:val="auto"/>
          <w:highlight w:val="none"/>
        </w:rPr>
      </w:pPr>
      <w:r>
        <w:rPr>
          <w:color w:val="auto"/>
          <w:highlight w:val="none"/>
        </w:rPr>
        <w:t>（3）从大气环境影响角度论述本项目建设的可行性；</w:t>
      </w:r>
    </w:p>
    <w:p>
      <w:pPr>
        <w:pStyle w:val="117"/>
        <w:bidi w:val="0"/>
        <w:rPr>
          <w:color w:val="auto"/>
          <w:highlight w:val="none"/>
        </w:rPr>
      </w:pPr>
      <w:r>
        <w:rPr>
          <w:color w:val="auto"/>
          <w:highlight w:val="none"/>
        </w:rPr>
        <w:t>（4）通过本评价专篇为环境保护管理提供科学建设依据，改善区域环境质量，推动经济区的建设和发展。</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99" w:name="_Toc472605237"/>
      <w:bookmarkStart w:id="100" w:name="_Toc19450"/>
      <w:bookmarkStart w:id="101" w:name="_Toc22073"/>
      <w:bookmarkStart w:id="102" w:name="_Toc17986"/>
      <w:bookmarkStart w:id="103" w:name="_Toc1643"/>
      <w:bookmarkStart w:id="104" w:name="_Toc16760"/>
      <w:bookmarkStart w:id="105" w:name="_Toc2576"/>
      <w:bookmarkStart w:id="106" w:name="_Toc19152"/>
      <w:r>
        <w:rPr>
          <w:rFonts w:ascii="Times New Roman" w:hAnsi="Times New Roman" w:eastAsia="宋体" w:cs="Times New Roman"/>
          <w:b w:val="0"/>
          <w:bCs/>
          <w:color w:val="auto"/>
          <w:sz w:val="24"/>
          <w:szCs w:val="24"/>
          <w:highlight w:val="none"/>
        </w:rPr>
        <w:t>1.2</w:t>
      </w:r>
      <w:bookmarkEnd w:id="99"/>
      <w:bookmarkEnd w:id="100"/>
      <w:bookmarkEnd w:id="101"/>
      <w:r>
        <w:rPr>
          <w:rFonts w:ascii="Times New Roman" w:hAnsi="Times New Roman" w:eastAsia="宋体" w:cs="Times New Roman"/>
          <w:b w:val="0"/>
          <w:bCs/>
          <w:color w:val="auto"/>
          <w:sz w:val="24"/>
          <w:szCs w:val="24"/>
          <w:highlight w:val="none"/>
        </w:rPr>
        <w:t>编制依据</w:t>
      </w:r>
      <w:bookmarkEnd w:id="102"/>
      <w:bookmarkEnd w:id="103"/>
      <w:bookmarkEnd w:id="104"/>
      <w:bookmarkEnd w:id="105"/>
      <w:bookmarkEnd w:id="106"/>
    </w:p>
    <w:p>
      <w:pPr>
        <w:pStyle w:val="117"/>
        <w:bidi w:val="0"/>
        <w:rPr>
          <w:color w:val="auto"/>
          <w:highlight w:val="none"/>
        </w:rPr>
      </w:pPr>
      <w:r>
        <w:rPr>
          <w:color w:val="auto"/>
          <w:highlight w:val="none"/>
        </w:rPr>
        <w:t>（1）《中华人民共和国环境保护法》，2015年1月1日；</w:t>
      </w:r>
    </w:p>
    <w:p>
      <w:pPr>
        <w:pStyle w:val="117"/>
        <w:bidi w:val="0"/>
        <w:rPr>
          <w:color w:val="auto"/>
          <w:highlight w:val="none"/>
        </w:rPr>
      </w:pPr>
      <w:r>
        <w:rPr>
          <w:color w:val="auto"/>
          <w:highlight w:val="none"/>
        </w:rPr>
        <w:t>（2）《中华人民共和国环境影响评价法》，2018年12月29日修订；</w:t>
      </w:r>
    </w:p>
    <w:p>
      <w:pPr>
        <w:pStyle w:val="117"/>
        <w:bidi w:val="0"/>
        <w:rPr>
          <w:color w:val="auto"/>
          <w:highlight w:val="none"/>
        </w:rPr>
      </w:pPr>
      <w:r>
        <w:rPr>
          <w:color w:val="auto"/>
          <w:highlight w:val="none"/>
        </w:rPr>
        <w:t>（3）《中华人民共和国大气污染防治法》，2018年10月26日修订；</w:t>
      </w:r>
    </w:p>
    <w:p>
      <w:pPr>
        <w:pStyle w:val="117"/>
        <w:bidi w:val="0"/>
        <w:rPr>
          <w:color w:val="auto"/>
          <w:highlight w:val="none"/>
        </w:rPr>
      </w:pPr>
      <w:r>
        <w:rPr>
          <w:color w:val="auto"/>
          <w:highlight w:val="none"/>
        </w:rPr>
        <w:t>（3）《建设项目环境影响评价技术导则 总纲》（HJ2.1-2016）；</w:t>
      </w:r>
    </w:p>
    <w:p>
      <w:pPr>
        <w:pStyle w:val="117"/>
        <w:bidi w:val="0"/>
        <w:rPr>
          <w:color w:val="auto"/>
          <w:highlight w:val="none"/>
        </w:rPr>
      </w:pPr>
      <w:r>
        <w:rPr>
          <w:color w:val="auto"/>
          <w:highlight w:val="none"/>
        </w:rPr>
        <w:t>（4）《环境影响评价技术导则 大气环境》（HJ2.2-2018）。</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107" w:name="_Toc32106"/>
      <w:bookmarkStart w:id="108" w:name="_Toc19515"/>
      <w:bookmarkStart w:id="109" w:name="_Toc26700"/>
      <w:bookmarkStart w:id="110" w:name="_Toc8210"/>
      <w:bookmarkStart w:id="111" w:name="_Toc24015"/>
      <w:r>
        <w:rPr>
          <w:rFonts w:ascii="Times New Roman" w:hAnsi="Times New Roman" w:eastAsia="宋体" w:cs="Times New Roman"/>
          <w:b w:val="0"/>
          <w:bCs/>
          <w:color w:val="auto"/>
          <w:sz w:val="24"/>
          <w:szCs w:val="24"/>
          <w:highlight w:val="none"/>
        </w:rPr>
        <w:t>1.3评价因子与评价标准</w:t>
      </w:r>
      <w:bookmarkEnd w:id="107"/>
      <w:bookmarkEnd w:id="108"/>
      <w:bookmarkEnd w:id="109"/>
      <w:bookmarkEnd w:id="110"/>
      <w:bookmarkEnd w:id="111"/>
    </w:p>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112" w:name="_Toc2124"/>
      <w:bookmarkStart w:id="113" w:name="_Toc15837"/>
      <w:bookmarkStart w:id="114" w:name="_Toc23025"/>
      <w:bookmarkStart w:id="115" w:name="_Toc28412"/>
      <w:r>
        <w:rPr>
          <w:rFonts w:ascii="Times New Roman" w:hAnsi="Times New Roman" w:cs="Times New Roman"/>
          <w:snapToGrid w:val="0"/>
          <w:color w:val="auto"/>
          <w:spacing w:val="0"/>
          <w:kern w:val="0"/>
          <w:sz w:val="24"/>
          <w:szCs w:val="24"/>
          <w:highlight w:val="none"/>
        </w:rPr>
        <w:t>1.3.1评价因子</w:t>
      </w:r>
      <w:bookmarkEnd w:id="112"/>
      <w:bookmarkEnd w:id="113"/>
      <w:bookmarkEnd w:id="114"/>
      <w:bookmarkEnd w:id="115"/>
    </w:p>
    <w:p>
      <w:pPr>
        <w:pStyle w:val="117"/>
        <w:bidi w:val="0"/>
        <w:rPr>
          <w:color w:val="auto"/>
          <w:highlight w:val="none"/>
        </w:rPr>
      </w:pPr>
      <w:r>
        <w:rPr>
          <w:color w:val="auto"/>
          <w:highlight w:val="none"/>
        </w:rPr>
        <w:t>根据项目识别出的污染因子，项目所在地区的环境特征，以及国家和地方环保标准规定的制指标，筛选出的评价因子见表1-1。</w:t>
      </w:r>
    </w:p>
    <w:p>
      <w:pPr>
        <w:pStyle w:val="135"/>
        <w:tabs>
          <w:tab w:val="clear" w:pos="5400"/>
        </w:tabs>
        <w:bidi w:val="0"/>
        <w:rPr>
          <w:color w:val="auto"/>
          <w:highlight w:val="none"/>
        </w:rPr>
      </w:pPr>
      <w:r>
        <w:rPr>
          <w:color w:val="auto"/>
          <w:highlight w:val="none"/>
        </w:rPr>
        <w:t>表1-1评价因子一览表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8"/>
        <w:gridCol w:w="1868"/>
        <w:gridCol w:w="54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1" w:type="pct"/>
            <w:noWrap w:val="0"/>
            <w:vAlign w:val="center"/>
          </w:tcPr>
          <w:p>
            <w:pPr>
              <w:pStyle w:val="195"/>
              <w:bidi w:val="0"/>
              <w:rPr>
                <w:color w:val="auto"/>
              </w:rPr>
            </w:pPr>
            <w:r>
              <w:rPr>
                <w:color w:val="auto"/>
              </w:rPr>
              <w:t>环境要素</w:t>
            </w:r>
          </w:p>
        </w:tc>
        <w:tc>
          <w:tcPr>
            <w:tcW w:w="1096" w:type="pct"/>
            <w:noWrap w:val="0"/>
            <w:vAlign w:val="center"/>
          </w:tcPr>
          <w:p>
            <w:pPr>
              <w:pStyle w:val="195"/>
              <w:bidi w:val="0"/>
              <w:rPr>
                <w:color w:val="auto"/>
              </w:rPr>
            </w:pPr>
            <w:r>
              <w:rPr>
                <w:color w:val="auto"/>
              </w:rPr>
              <w:t>评价类别</w:t>
            </w:r>
          </w:p>
        </w:tc>
        <w:tc>
          <w:tcPr>
            <w:tcW w:w="3213" w:type="pct"/>
            <w:noWrap w:val="0"/>
            <w:vAlign w:val="center"/>
          </w:tcPr>
          <w:p>
            <w:pPr>
              <w:pStyle w:val="195"/>
              <w:bidi w:val="0"/>
              <w:rPr>
                <w:color w:val="auto"/>
              </w:rPr>
            </w:pPr>
            <w:r>
              <w:rPr>
                <w:color w:val="auto"/>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1" w:type="pct"/>
            <w:vMerge w:val="restart"/>
            <w:noWrap w:val="0"/>
            <w:vAlign w:val="center"/>
          </w:tcPr>
          <w:p>
            <w:pPr>
              <w:pStyle w:val="195"/>
              <w:bidi w:val="0"/>
              <w:rPr>
                <w:color w:val="auto"/>
              </w:rPr>
            </w:pPr>
            <w:r>
              <w:rPr>
                <w:color w:val="auto"/>
              </w:rPr>
              <w:t>环境空气</w:t>
            </w:r>
          </w:p>
        </w:tc>
        <w:tc>
          <w:tcPr>
            <w:tcW w:w="1096" w:type="pct"/>
            <w:noWrap w:val="0"/>
            <w:vAlign w:val="center"/>
          </w:tcPr>
          <w:p>
            <w:pPr>
              <w:pStyle w:val="195"/>
              <w:bidi w:val="0"/>
              <w:rPr>
                <w:color w:val="auto"/>
              </w:rPr>
            </w:pPr>
            <w:r>
              <w:rPr>
                <w:color w:val="auto"/>
              </w:rPr>
              <w:t>环境现状评价</w:t>
            </w:r>
          </w:p>
        </w:tc>
        <w:tc>
          <w:tcPr>
            <w:tcW w:w="3213" w:type="pct"/>
            <w:noWrap w:val="0"/>
            <w:vAlign w:val="center"/>
          </w:tcPr>
          <w:p>
            <w:pPr>
              <w:pStyle w:val="195"/>
              <w:bidi w:val="0"/>
              <w:rPr>
                <w:rFonts w:hint="eastAsia"/>
                <w:color w:val="auto"/>
              </w:rPr>
            </w:pPr>
            <w:r>
              <w:rPr>
                <w:color w:val="auto"/>
              </w:rPr>
              <w:t>NO</w:t>
            </w:r>
            <w:r>
              <w:rPr>
                <w:color w:val="auto"/>
                <w:vertAlign w:val="subscript"/>
              </w:rPr>
              <w:t>2</w:t>
            </w:r>
            <w:r>
              <w:rPr>
                <w:color w:val="auto"/>
              </w:rPr>
              <w:t>、SO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、NOx</w:t>
            </w:r>
            <w:r>
              <w:rPr>
                <w:rFonts w:hint="eastAsia"/>
                <w:color w:val="auto"/>
              </w:rPr>
              <w:t>、T</w:t>
            </w:r>
            <w:r>
              <w:rPr>
                <w:color w:val="auto"/>
              </w:rPr>
              <w:t>SP</w:t>
            </w:r>
            <w:r>
              <w:rPr>
                <w:rFonts w:hint="eastAsia"/>
                <w:color w:val="auto"/>
              </w:rPr>
              <w:t>、苯并[</w:t>
            </w:r>
            <w:r>
              <w:rPr>
                <w:color w:val="auto"/>
              </w:rPr>
              <w:t>a]</w:t>
            </w:r>
            <w:r>
              <w:rPr>
                <w:rFonts w:hint="eastAsia"/>
                <w:color w:val="auto"/>
              </w:rPr>
              <w:t>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1" w:type="pct"/>
            <w:vMerge w:val="continue"/>
            <w:noWrap w:val="0"/>
            <w:vAlign w:val="center"/>
          </w:tcPr>
          <w:p>
            <w:pPr>
              <w:pStyle w:val="195"/>
              <w:bidi w:val="0"/>
              <w:rPr>
                <w:color w:val="auto"/>
              </w:rPr>
            </w:pPr>
          </w:p>
        </w:tc>
        <w:tc>
          <w:tcPr>
            <w:tcW w:w="1096" w:type="pct"/>
            <w:noWrap w:val="0"/>
            <w:vAlign w:val="center"/>
          </w:tcPr>
          <w:p>
            <w:pPr>
              <w:pStyle w:val="195"/>
              <w:bidi w:val="0"/>
              <w:rPr>
                <w:color w:val="auto"/>
              </w:rPr>
            </w:pPr>
            <w:r>
              <w:rPr>
                <w:color w:val="auto"/>
              </w:rPr>
              <w:t>环境影响评价</w:t>
            </w:r>
          </w:p>
        </w:tc>
        <w:tc>
          <w:tcPr>
            <w:tcW w:w="3213" w:type="pct"/>
            <w:noWrap w:val="0"/>
            <w:vAlign w:val="center"/>
          </w:tcPr>
          <w:p>
            <w:pPr>
              <w:pStyle w:val="195"/>
              <w:bidi w:val="0"/>
              <w:rPr>
                <w:color w:val="auto"/>
              </w:rPr>
            </w:pPr>
            <w:r>
              <w:rPr>
                <w:rFonts w:hint="eastAsia"/>
                <w:color w:val="auto"/>
              </w:rPr>
              <w:t>颗粒物、二氧化硫、氮氧化物、沥青烟、苯并[</w:t>
            </w:r>
            <w:r>
              <w:rPr>
                <w:color w:val="auto"/>
              </w:rPr>
              <w:t>a]</w:t>
            </w:r>
            <w:r>
              <w:rPr>
                <w:rFonts w:hint="eastAsia"/>
                <w:color w:val="auto"/>
              </w:rPr>
              <w:t>芘、非甲烷总烃、林格曼黑度</w:t>
            </w:r>
          </w:p>
        </w:tc>
      </w:tr>
    </w:tbl>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116" w:name="_Toc4238"/>
      <w:bookmarkStart w:id="117" w:name="_Toc10683"/>
      <w:bookmarkStart w:id="118" w:name="_Toc19285"/>
      <w:bookmarkStart w:id="119" w:name="_Toc13990"/>
      <w:r>
        <w:rPr>
          <w:rFonts w:ascii="Times New Roman" w:hAnsi="Times New Roman" w:cs="Times New Roman"/>
          <w:snapToGrid w:val="0"/>
          <w:color w:val="auto"/>
          <w:spacing w:val="0"/>
          <w:kern w:val="0"/>
          <w:sz w:val="24"/>
          <w:szCs w:val="24"/>
          <w:highlight w:val="none"/>
        </w:rPr>
        <w:t>1.3.</w:t>
      </w:r>
      <w:r>
        <w:rPr>
          <w:rFonts w:hint="eastAsia" w:ascii="Times New Roman" w:hAnsi="Times New Roman" w:cs="Times New Roman"/>
          <w:snapToGrid w:val="0"/>
          <w:color w:val="auto"/>
          <w:spacing w:val="0"/>
          <w:kern w:val="0"/>
          <w:sz w:val="24"/>
          <w:szCs w:val="24"/>
          <w:highlight w:val="none"/>
          <w:lang w:val="en-US" w:eastAsia="zh-CN"/>
        </w:rPr>
        <w:t>2</w:t>
      </w:r>
      <w:r>
        <w:rPr>
          <w:snapToGrid w:val="0"/>
          <w:color w:val="auto"/>
          <w:spacing w:val="0"/>
          <w:kern w:val="0"/>
        </w:rPr>
        <w:t>评价标准</w:t>
      </w:r>
      <w:bookmarkEnd w:id="116"/>
      <w:bookmarkEnd w:id="117"/>
      <w:bookmarkEnd w:id="118"/>
      <w:bookmarkEnd w:id="119"/>
    </w:p>
    <w:p>
      <w:pPr>
        <w:pStyle w:val="117"/>
        <w:bidi w:val="0"/>
        <w:rPr>
          <w:color w:val="auto"/>
        </w:rPr>
      </w:pPr>
      <w:r>
        <w:rPr>
          <w:color w:val="auto"/>
        </w:rPr>
        <w:t>（1）环境空气质量标准</w:t>
      </w:r>
    </w:p>
    <w:p>
      <w:pPr>
        <w:pStyle w:val="117"/>
        <w:bidi w:val="0"/>
        <w:rPr>
          <w:color w:val="auto"/>
        </w:rPr>
      </w:pPr>
      <w:r>
        <w:rPr>
          <w:color w:val="auto"/>
        </w:rPr>
        <w:t>根据《环境空气质量标准》（GB3095-20</w:t>
      </w:r>
      <w:r>
        <w:rPr>
          <w:rFonts w:hint="eastAsia"/>
          <w:color w:val="auto"/>
          <w:lang w:val="en-US" w:eastAsia="zh-CN"/>
        </w:rPr>
        <w:t>26</w:t>
      </w:r>
      <w:r>
        <w:rPr>
          <w:color w:val="auto"/>
        </w:rPr>
        <w:t>），项目所在区环境空气质量为二类区</w:t>
      </w:r>
      <w:r>
        <w:rPr>
          <w:rFonts w:hint="eastAsia"/>
          <w:color w:val="auto"/>
        </w:rPr>
        <w:t>，</w:t>
      </w:r>
      <w:r>
        <w:rPr>
          <w:color w:val="auto"/>
        </w:rPr>
        <w:t>执行《环境空气质量标准》（GB3095-20</w:t>
      </w:r>
      <w:r>
        <w:rPr>
          <w:rFonts w:hint="eastAsia"/>
          <w:color w:val="auto"/>
          <w:lang w:val="en-US" w:eastAsia="zh-CN"/>
        </w:rPr>
        <w:t>26</w:t>
      </w:r>
      <w:r>
        <w:rPr>
          <w:color w:val="auto"/>
        </w:rPr>
        <w:t>）中的二级标准</w:t>
      </w:r>
      <w:r>
        <w:rPr>
          <w:rFonts w:hint="eastAsia"/>
          <w:color w:val="auto"/>
        </w:rPr>
        <w:t>，</w:t>
      </w:r>
      <w:r>
        <w:rPr>
          <w:color w:val="auto"/>
        </w:rPr>
        <w:t>详见表1-2。</w:t>
      </w:r>
    </w:p>
    <w:p>
      <w:pPr>
        <w:pStyle w:val="117"/>
        <w:bidi w:val="0"/>
        <w:rPr>
          <w:color w:val="auto"/>
        </w:rPr>
      </w:pPr>
    </w:p>
    <w:p>
      <w:pPr>
        <w:pStyle w:val="117"/>
        <w:bidi w:val="0"/>
        <w:rPr>
          <w:color w:val="auto"/>
        </w:rPr>
      </w:pPr>
    </w:p>
    <w:p>
      <w:pPr>
        <w:pStyle w:val="135"/>
        <w:tabs>
          <w:tab w:val="clear" w:pos="5400"/>
        </w:tabs>
        <w:bidi w:val="0"/>
        <w:rPr>
          <w:color w:val="auto"/>
        </w:rPr>
      </w:pPr>
      <w:r>
        <w:rPr>
          <w:color w:val="auto"/>
        </w:rPr>
        <w:t>表1-2</w:t>
      </w:r>
      <w:r>
        <w:rPr>
          <w:rFonts w:hint="eastAsia"/>
          <w:color w:val="auto"/>
          <w:lang w:eastAsia="zh-CN"/>
        </w:rPr>
        <w:t xml:space="preserve"> </w:t>
      </w:r>
      <w:r>
        <w:rPr>
          <w:color w:val="auto"/>
        </w:rPr>
        <w:t>环境空气质量标准</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169"/>
        <w:gridCol w:w="1843"/>
        <w:gridCol w:w="850"/>
        <w:gridCol w:w="1986"/>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restart"/>
            <w:noWrap w:val="0"/>
            <w:vAlign w:val="center"/>
          </w:tcPr>
          <w:p>
            <w:pPr>
              <w:pStyle w:val="195"/>
              <w:bidi w:val="0"/>
              <w:rPr>
                <w:color w:val="auto"/>
                <w:lang w:val="en-US" w:eastAsia="zh-CN"/>
              </w:rPr>
            </w:pPr>
            <w:r>
              <w:rPr>
                <w:color w:val="auto"/>
                <w:lang w:val="en-US" w:eastAsia="zh-CN"/>
              </w:rPr>
              <w:t>环境</w:t>
            </w:r>
          </w:p>
          <w:p>
            <w:pPr>
              <w:pStyle w:val="195"/>
              <w:bidi w:val="0"/>
              <w:rPr>
                <w:color w:val="auto"/>
                <w:lang w:val="en-US" w:eastAsia="zh-CN"/>
              </w:rPr>
            </w:pPr>
            <w:r>
              <w:rPr>
                <w:color w:val="auto"/>
                <w:lang w:val="en-US" w:eastAsia="zh-CN"/>
              </w:rPr>
              <w:t>要素</w:t>
            </w:r>
          </w:p>
        </w:tc>
        <w:tc>
          <w:tcPr>
            <w:tcW w:w="2169" w:type="dxa"/>
            <w:vMerge w:val="restart"/>
            <w:noWrap w:val="0"/>
            <w:vAlign w:val="center"/>
          </w:tcPr>
          <w:p>
            <w:pPr>
              <w:pStyle w:val="195"/>
              <w:bidi w:val="0"/>
              <w:rPr>
                <w:color w:val="auto"/>
                <w:lang w:val="en-US" w:eastAsia="zh-CN"/>
              </w:rPr>
            </w:pPr>
            <w:r>
              <w:rPr>
                <w:color w:val="auto"/>
                <w:lang w:val="en-US" w:eastAsia="zh-CN"/>
              </w:rPr>
              <w:t>标准名称及级别</w:t>
            </w:r>
          </w:p>
        </w:tc>
        <w:tc>
          <w:tcPr>
            <w:tcW w:w="1843" w:type="dxa"/>
            <w:vMerge w:val="restart"/>
            <w:noWrap w:val="0"/>
            <w:vAlign w:val="center"/>
          </w:tcPr>
          <w:p>
            <w:pPr>
              <w:pStyle w:val="195"/>
              <w:bidi w:val="0"/>
              <w:rPr>
                <w:color w:val="auto"/>
                <w:lang w:val="en-US" w:eastAsia="zh-CN"/>
              </w:rPr>
            </w:pPr>
            <w:r>
              <w:rPr>
                <w:color w:val="auto"/>
                <w:lang w:val="en-US" w:eastAsia="zh-CN"/>
              </w:rPr>
              <w:t>项目</w:t>
            </w:r>
          </w:p>
        </w:tc>
        <w:tc>
          <w:tcPr>
            <w:tcW w:w="3736" w:type="dxa"/>
            <w:gridSpan w:val="3"/>
            <w:noWrap w:val="0"/>
            <w:vAlign w:val="center"/>
          </w:tcPr>
          <w:p>
            <w:pPr>
              <w:pStyle w:val="195"/>
              <w:bidi w:val="0"/>
              <w:rPr>
                <w:color w:val="auto"/>
                <w:lang w:val="en-US" w:eastAsia="zh-CN"/>
              </w:rPr>
            </w:pPr>
            <w:r>
              <w:rPr>
                <w:color w:val="auto"/>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noWrap w:val="0"/>
            <w:vAlign w:val="center"/>
          </w:tcPr>
          <w:p>
            <w:pPr>
              <w:pStyle w:val="195"/>
              <w:bidi w:val="0"/>
              <w:rPr>
                <w:color w:val="auto"/>
                <w:lang w:val="en-US" w:eastAsia="zh-CN"/>
              </w:rPr>
            </w:pPr>
            <w:r>
              <w:rPr>
                <w:color w:val="auto"/>
                <w:lang w:val="en-US" w:eastAsia="zh-CN"/>
              </w:rPr>
              <w:t>单位</w:t>
            </w:r>
          </w:p>
        </w:tc>
        <w:tc>
          <w:tcPr>
            <w:tcW w:w="2886" w:type="dxa"/>
            <w:gridSpan w:val="2"/>
            <w:noWrap w:val="0"/>
            <w:vAlign w:val="center"/>
          </w:tcPr>
          <w:p>
            <w:pPr>
              <w:pStyle w:val="195"/>
              <w:bidi w:val="0"/>
              <w:rPr>
                <w:color w:val="auto"/>
                <w:lang w:val="en-US" w:eastAsia="zh-CN"/>
              </w:rPr>
            </w:pPr>
            <w:r>
              <w:rPr>
                <w:color w:val="auto"/>
                <w:lang w:val="en-US" w:eastAsia="zh-CN"/>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restart"/>
            <w:noWrap w:val="0"/>
            <w:vAlign w:val="center"/>
          </w:tcPr>
          <w:p>
            <w:pPr>
              <w:pStyle w:val="195"/>
              <w:bidi w:val="0"/>
              <w:rPr>
                <w:color w:val="auto"/>
                <w:lang w:val="en-US" w:eastAsia="zh-CN"/>
              </w:rPr>
            </w:pPr>
            <w:r>
              <w:rPr>
                <w:color w:val="auto"/>
                <w:lang w:val="en-US" w:eastAsia="zh-CN"/>
              </w:rPr>
              <w:t>环境空气</w:t>
            </w:r>
          </w:p>
        </w:tc>
        <w:tc>
          <w:tcPr>
            <w:tcW w:w="2169" w:type="dxa"/>
            <w:vMerge w:val="restart"/>
            <w:noWrap w:val="0"/>
            <w:vAlign w:val="center"/>
          </w:tcPr>
          <w:p>
            <w:pPr>
              <w:pStyle w:val="195"/>
              <w:bidi w:val="0"/>
              <w:rPr>
                <w:color w:val="auto"/>
                <w:lang w:val="en-US" w:eastAsia="zh-CN"/>
              </w:rPr>
            </w:pPr>
            <w:r>
              <w:rPr>
                <w:color w:val="auto"/>
                <w:lang w:val="en-US" w:eastAsia="zh-CN"/>
              </w:rPr>
              <w:t>《环境空气质量标准》（GB3095-20</w:t>
            </w:r>
            <w:r>
              <w:rPr>
                <w:rFonts w:hint="eastAsia"/>
                <w:color w:val="auto"/>
                <w:lang w:val="en-US" w:eastAsia="zh-CN"/>
              </w:rPr>
              <w:t>26</w:t>
            </w:r>
            <w:r>
              <w:rPr>
                <w:color w:val="auto"/>
                <w:lang w:val="en-US" w:eastAsia="zh-CN"/>
              </w:rPr>
              <w:t>）</w:t>
            </w:r>
            <w:r>
              <w:rPr>
                <w:rFonts w:hint="eastAsia" w:ascii="Times New Roman" w:hAnsi="Times New Roman" w:cs="Times New Roman"/>
                <w:color w:val="auto"/>
                <w:kern w:val="2"/>
                <w:sz w:val="18"/>
                <w:szCs w:val="18"/>
                <w:highlight w:val="none"/>
                <w:lang w:val="en-US" w:eastAsia="zh-CN"/>
              </w:rPr>
              <w:t>过渡阶段浓度限</w:t>
            </w:r>
            <w:r>
              <w:rPr>
                <w:rFonts w:hint="default" w:ascii="Times New Roman" w:hAnsi="Times New Roman" w:cs="Times New Roman"/>
                <w:color w:val="auto"/>
                <w:kern w:val="2"/>
                <w:sz w:val="18"/>
                <w:szCs w:val="18"/>
                <w:highlight w:val="none"/>
              </w:rPr>
              <w:t>值</w:t>
            </w:r>
          </w:p>
        </w:tc>
        <w:tc>
          <w:tcPr>
            <w:tcW w:w="1843" w:type="dxa"/>
            <w:vMerge w:val="restart"/>
            <w:noWrap w:val="0"/>
            <w:vAlign w:val="center"/>
          </w:tcPr>
          <w:p>
            <w:pPr>
              <w:pStyle w:val="195"/>
              <w:bidi w:val="0"/>
              <w:rPr>
                <w:color w:val="auto"/>
                <w:lang w:val="en-US" w:eastAsia="zh-CN"/>
              </w:rPr>
            </w:pPr>
            <w:r>
              <w:rPr>
                <w:color w:val="auto"/>
                <w:lang w:val="en-US" w:eastAsia="zh-CN"/>
              </w:rPr>
              <w:t>NO</w:t>
            </w:r>
            <w:r>
              <w:rPr>
                <w:color w:val="auto"/>
                <w:vertAlign w:val="subscript"/>
                <w:lang w:val="en-US" w:eastAsia="zh-CN"/>
              </w:rPr>
              <w:t>2</w:t>
            </w:r>
          </w:p>
        </w:tc>
        <w:tc>
          <w:tcPr>
            <w:tcW w:w="850" w:type="dxa"/>
            <w:vMerge w:val="restart"/>
            <w:noWrap w:val="0"/>
            <w:vAlign w:val="center"/>
          </w:tcPr>
          <w:p>
            <w:pPr>
              <w:pStyle w:val="195"/>
              <w:bidi w:val="0"/>
              <w:rPr>
                <w:rFonts w:hint="eastAsia"/>
                <w:color w:val="auto"/>
                <w:lang w:val="en-US" w:eastAsia="zh-CN"/>
              </w:rPr>
            </w:pPr>
            <w:r>
              <w:rPr>
                <w:color w:val="auto"/>
                <w:lang w:val="en-US" w:eastAsia="zh-CN"/>
              </w:rPr>
              <w:t>μg/m</w:t>
            </w:r>
            <w:r>
              <w:rPr>
                <w:color w:val="auto"/>
                <w:vertAlign w:val="superscript"/>
                <w:lang w:val="en-US" w:eastAsia="zh-CN"/>
              </w:rPr>
              <w:t>3</w:t>
            </w:r>
          </w:p>
        </w:tc>
        <w:tc>
          <w:tcPr>
            <w:tcW w:w="1986" w:type="dxa"/>
            <w:noWrap w:val="0"/>
            <w:vAlign w:val="center"/>
          </w:tcPr>
          <w:p>
            <w:pPr>
              <w:pStyle w:val="195"/>
              <w:bidi w:val="0"/>
              <w:rPr>
                <w:color w:val="auto"/>
                <w:lang w:val="en-US" w:eastAsia="zh-CN"/>
              </w:rPr>
            </w:pPr>
            <w:r>
              <w:rPr>
                <w:color w:val="auto"/>
                <w:lang w:val="en-US" w:eastAsia="zh-CN"/>
              </w:rPr>
              <w:t>1小时平均</w:t>
            </w:r>
          </w:p>
        </w:tc>
        <w:tc>
          <w:tcPr>
            <w:tcW w:w="900" w:type="dxa"/>
            <w:noWrap w:val="0"/>
            <w:vAlign w:val="center"/>
          </w:tcPr>
          <w:p>
            <w:pPr>
              <w:pStyle w:val="195"/>
              <w:bidi w:val="0"/>
              <w:rPr>
                <w:color w:val="auto"/>
                <w:lang w:val="en-US" w:eastAsia="zh-CN"/>
              </w:rPr>
            </w:pPr>
            <w:r>
              <w:rPr>
                <w:color w:val="auto"/>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color w:val="auto"/>
                <w:lang w:val="en-US" w:eastAsia="zh-CN"/>
              </w:rPr>
            </w:pPr>
            <w:r>
              <w:rPr>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color w:val="auto"/>
                <w:lang w:val="en-US" w:eastAsia="zh-CN"/>
              </w:rPr>
            </w:pPr>
            <w:r>
              <w:rPr>
                <w:color w:val="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lang w:val="en-US" w:eastAsia="zh-CN"/>
              </w:rPr>
            </w:pPr>
            <w:r>
              <w:rPr>
                <w:color w:val="auto"/>
                <w:lang w:val="en-US" w:eastAsia="zh-CN"/>
              </w:rPr>
              <w:t>SO</w:t>
            </w:r>
            <w:r>
              <w:rPr>
                <w:color w:val="auto"/>
                <w:vertAlign w:val="subscript"/>
                <w:lang w:val="en-US" w:eastAsia="zh-CN"/>
              </w:rPr>
              <w:t>2</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1小时平均</w:t>
            </w:r>
          </w:p>
        </w:tc>
        <w:tc>
          <w:tcPr>
            <w:tcW w:w="900" w:type="dxa"/>
            <w:noWrap w:val="0"/>
            <w:vAlign w:val="center"/>
          </w:tcPr>
          <w:p>
            <w:pPr>
              <w:pStyle w:val="195"/>
              <w:bidi w:val="0"/>
              <w:rPr>
                <w:color w:val="auto"/>
                <w:lang w:val="en-US" w:eastAsia="zh-CN"/>
              </w:rPr>
            </w:pPr>
            <w:r>
              <w:rPr>
                <w:color w:val="auto"/>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color w:val="auto"/>
                <w:lang w:val="en-US" w:eastAsia="zh-CN"/>
              </w:rPr>
            </w:pPr>
            <w:r>
              <w:rPr>
                <w:color w:val="auto"/>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color w:val="auto"/>
                <w:lang w:val="en-US" w:eastAsia="zh-CN"/>
              </w:rPr>
            </w:pPr>
            <w:r>
              <w:rPr>
                <w:color w:val="auto"/>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lang w:val="en-US" w:eastAsia="zh-CN"/>
              </w:rPr>
            </w:pPr>
            <w:r>
              <w:rPr>
                <w:color w:val="auto"/>
                <w:lang w:val="en-US" w:eastAsia="zh-CN"/>
              </w:rPr>
              <w:t>CO</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color w:val="auto"/>
                <w:lang w:val="en-US" w:eastAsia="zh-CN"/>
              </w:rPr>
            </w:pPr>
            <w:r>
              <w:rPr>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1小时平均</w:t>
            </w:r>
          </w:p>
        </w:tc>
        <w:tc>
          <w:tcPr>
            <w:tcW w:w="900" w:type="dxa"/>
            <w:noWrap w:val="0"/>
            <w:vAlign w:val="center"/>
          </w:tcPr>
          <w:p>
            <w:pPr>
              <w:pStyle w:val="195"/>
              <w:bidi w:val="0"/>
              <w:rPr>
                <w:color w:val="auto"/>
                <w:lang w:val="en-US" w:eastAsia="zh-CN"/>
              </w:rPr>
            </w:pPr>
            <w:r>
              <w:rPr>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lang w:val="en-US" w:eastAsia="zh-CN"/>
              </w:rPr>
            </w:pPr>
            <w:r>
              <w:rPr>
                <w:color w:val="auto"/>
                <w:lang w:val="en-US" w:eastAsia="zh-CN"/>
              </w:rPr>
              <w:t>O</w:t>
            </w:r>
            <w:r>
              <w:rPr>
                <w:color w:val="auto"/>
                <w:vertAlign w:val="subscript"/>
                <w:lang w:val="en-US" w:eastAsia="zh-CN"/>
              </w:rPr>
              <w:t>3</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日最大8小时平均</w:t>
            </w:r>
          </w:p>
        </w:tc>
        <w:tc>
          <w:tcPr>
            <w:tcW w:w="900" w:type="dxa"/>
            <w:noWrap w:val="0"/>
            <w:vAlign w:val="center"/>
          </w:tcPr>
          <w:p>
            <w:pPr>
              <w:pStyle w:val="195"/>
              <w:bidi w:val="0"/>
              <w:rPr>
                <w:color w:val="auto"/>
                <w:lang w:val="en-US" w:eastAsia="zh-CN"/>
              </w:rPr>
            </w:pPr>
            <w:r>
              <w:rPr>
                <w:color w:val="auto"/>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1小时平均</w:t>
            </w:r>
          </w:p>
        </w:tc>
        <w:tc>
          <w:tcPr>
            <w:tcW w:w="900" w:type="dxa"/>
            <w:noWrap w:val="0"/>
            <w:vAlign w:val="center"/>
          </w:tcPr>
          <w:p>
            <w:pPr>
              <w:pStyle w:val="195"/>
              <w:bidi w:val="0"/>
              <w:rPr>
                <w:color w:val="auto"/>
                <w:lang w:val="en-US" w:eastAsia="zh-CN"/>
              </w:rPr>
            </w:pPr>
            <w:r>
              <w:rPr>
                <w:color w:val="auto"/>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lang w:val="en-US" w:eastAsia="zh-CN"/>
              </w:rPr>
            </w:pPr>
            <w:r>
              <w:rPr>
                <w:color w:val="auto"/>
                <w:lang w:val="en-US" w:eastAsia="zh-CN"/>
              </w:rPr>
              <w:t>颗粒物（粒径小于等于10μm）</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rFonts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lang w:val="en-US" w:eastAsia="zh-CN"/>
              </w:rPr>
            </w:pPr>
            <w:r>
              <w:rPr>
                <w:color w:val="auto"/>
                <w:lang w:val="en-US" w:eastAsia="zh-CN"/>
              </w:rPr>
              <w:t>颗粒物（粒径小于等于2.5μm）</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rFonts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rFonts w:hint="eastAsia"/>
                <w:color w:val="auto"/>
              </w:rPr>
            </w:pPr>
            <w:r>
              <w:rPr>
                <w:rFonts w:hint="eastAsia"/>
                <w:color w:val="auto"/>
                <w:lang w:val="en-US" w:eastAsia="zh-CN"/>
              </w:rPr>
              <w:t>总悬浮颗粒物T</w:t>
            </w:r>
            <w:r>
              <w:rPr>
                <w:color w:val="auto"/>
                <w:lang w:val="en-US" w:eastAsia="zh-CN"/>
              </w:rPr>
              <w:t>SP</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color w:val="auto"/>
                <w:lang w:val="en-US" w:eastAsia="zh-CN"/>
              </w:rPr>
            </w:pPr>
            <w:r>
              <w:rPr>
                <w:rFonts w:hint="eastAsia"/>
                <w:color w:val="auto"/>
                <w:lang w:val="en-US" w:eastAsia="zh-CN"/>
              </w:rPr>
              <w:t>2</w:t>
            </w:r>
            <w:r>
              <w:rPr>
                <w:color w:val="auto"/>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color w:val="auto"/>
                <w:lang w:val="en-US" w:eastAsia="zh-CN"/>
              </w:rPr>
            </w:pPr>
            <w:r>
              <w:rPr>
                <w:rFonts w:hint="eastAsia"/>
                <w:color w:val="auto"/>
                <w:lang w:val="en-US" w:eastAsia="zh-CN"/>
              </w:rPr>
              <w:t>3</w:t>
            </w:r>
            <w:r>
              <w:rPr>
                <w:color w:val="auto"/>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lang w:val="en-US" w:eastAsia="zh-CN"/>
              </w:rPr>
            </w:pPr>
            <w:r>
              <w:rPr>
                <w:color w:val="auto"/>
                <w:lang w:val="en-US" w:eastAsia="zh-CN"/>
              </w:rPr>
              <w:t>NOx</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color w:val="auto"/>
                <w:lang w:val="en-US" w:eastAsia="zh-CN"/>
              </w:rPr>
            </w:pPr>
            <w:r>
              <w:rPr>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color w:val="auto"/>
                <w:lang w:val="en-US" w:eastAsia="zh-CN"/>
              </w:rPr>
            </w:pPr>
            <w:r>
              <w:rPr>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1小时平均</w:t>
            </w:r>
          </w:p>
        </w:tc>
        <w:tc>
          <w:tcPr>
            <w:tcW w:w="900" w:type="dxa"/>
            <w:noWrap w:val="0"/>
            <w:vAlign w:val="center"/>
          </w:tcPr>
          <w:p>
            <w:pPr>
              <w:pStyle w:val="195"/>
              <w:bidi w:val="0"/>
              <w:rPr>
                <w:color w:val="auto"/>
                <w:lang w:val="en-US" w:eastAsia="zh-CN"/>
              </w:rPr>
            </w:pPr>
            <w:r>
              <w:rPr>
                <w:color w:val="auto"/>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restart"/>
            <w:noWrap w:val="0"/>
            <w:vAlign w:val="center"/>
          </w:tcPr>
          <w:p>
            <w:pPr>
              <w:pStyle w:val="195"/>
              <w:bidi w:val="0"/>
              <w:rPr>
                <w:color w:val="auto"/>
              </w:rPr>
            </w:pPr>
            <w:r>
              <w:rPr>
                <w:rFonts w:hint="eastAsia"/>
                <w:color w:val="auto"/>
              </w:rPr>
              <w:t>苯并[</w:t>
            </w:r>
            <w:r>
              <w:rPr>
                <w:color w:val="auto"/>
              </w:rPr>
              <w:t>a]</w:t>
            </w:r>
            <w:r>
              <w:rPr>
                <w:rFonts w:hint="eastAsia"/>
                <w:color w:val="auto"/>
              </w:rPr>
              <w:t>芘</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年平均</w:t>
            </w:r>
          </w:p>
        </w:tc>
        <w:tc>
          <w:tcPr>
            <w:tcW w:w="900" w:type="dxa"/>
            <w:noWrap w:val="0"/>
            <w:vAlign w:val="center"/>
          </w:tcPr>
          <w:p>
            <w:pPr>
              <w:pStyle w:val="195"/>
              <w:bidi w:val="0"/>
              <w:rPr>
                <w:color w:val="auto"/>
                <w:lang w:val="en-US" w:eastAsia="zh-CN"/>
              </w:rPr>
            </w:pPr>
            <w:r>
              <w:rPr>
                <w:rFonts w:hint="eastAsia"/>
                <w:color w:val="auto"/>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vMerge w:val="continue"/>
            <w:noWrap w:val="0"/>
            <w:vAlign w:val="center"/>
          </w:tcPr>
          <w:p>
            <w:pPr>
              <w:pStyle w:val="195"/>
              <w:bidi w:val="0"/>
              <w:rPr>
                <w:color w:val="auto"/>
              </w:rPr>
            </w:pPr>
          </w:p>
        </w:tc>
        <w:tc>
          <w:tcPr>
            <w:tcW w:w="1843" w:type="dxa"/>
            <w:vMerge w:val="continue"/>
            <w:noWrap w:val="0"/>
            <w:vAlign w:val="center"/>
          </w:tcPr>
          <w:p>
            <w:pPr>
              <w:pStyle w:val="195"/>
              <w:bidi w:val="0"/>
              <w:rPr>
                <w:color w:val="auto"/>
              </w:rPr>
            </w:pP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color w:val="auto"/>
                <w:lang w:val="en-US" w:eastAsia="zh-CN"/>
              </w:rPr>
            </w:pPr>
            <w:r>
              <w:rPr>
                <w:rFonts w:hint="eastAsia"/>
                <w:color w:val="auto"/>
                <w:lang w:val="en-US" w:eastAsia="zh-CN"/>
              </w:rPr>
              <w:t>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Merge w:val="continue"/>
            <w:noWrap w:val="0"/>
            <w:vAlign w:val="center"/>
          </w:tcPr>
          <w:p>
            <w:pPr>
              <w:pStyle w:val="195"/>
              <w:bidi w:val="0"/>
              <w:rPr>
                <w:color w:val="auto"/>
              </w:rPr>
            </w:pPr>
          </w:p>
        </w:tc>
        <w:tc>
          <w:tcPr>
            <w:tcW w:w="2169" w:type="dxa"/>
            <w:noWrap w:val="0"/>
            <w:vAlign w:val="center"/>
          </w:tcPr>
          <w:p>
            <w:pPr>
              <w:pStyle w:val="195"/>
              <w:bidi w:val="0"/>
              <w:rPr>
                <w:color w:val="auto"/>
              </w:rPr>
            </w:pPr>
            <w:r>
              <w:rPr>
                <w:rFonts w:hint="eastAsia"/>
                <w:color w:val="auto"/>
              </w:rPr>
              <w:t>《大气污染物综合排放标准详解》</w:t>
            </w:r>
          </w:p>
        </w:tc>
        <w:tc>
          <w:tcPr>
            <w:tcW w:w="1843" w:type="dxa"/>
            <w:noWrap w:val="0"/>
            <w:vAlign w:val="center"/>
          </w:tcPr>
          <w:p>
            <w:pPr>
              <w:pStyle w:val="195"/>
              <w:bidi w:val="0"/>
              <w:rPr>
                <w:color w:val="auto"/>
              </w:rPr>
            </w:pPr>
            <w:r>
              <w:rPr>
                <w:color w:val="auto"/>
              </w:rPr>
              <w:t>非甲烷总烃</w:t>
            </w:r>
          </w:p>
        </w:tc>
        <w:tc>
          <w:tcPr>
            <w:tcW w:w="850" w:type="dxa"/>
            <w:vMerge w:val="continue"/>
            <w:noWrap w:val="0"/>
            <w:vAlign w:val="center"/>
          </w:tcPr>
          <w:p>
            <w:pPr>
              <w:pStyle w:val="195"/>
              <w:bidi w:val="0"/>
              <w:rPr>
                <w:color w:val="auto"/>
              </w:rPr>
            </w:pPr>
          </w:p>
        </w:tc>
        <w:tc>
          <w:tcPr>
            <w:tcW w:w="1986" w:type="dxa"/>
            <w:noWrap w:val="0"/>
            <w:vAlign w:val="center"/>
          </w:tcPr>
          <w:p>
            <w:pPr>
              <w:pStyle w:val="195"/>
              <w:bidi w:val="0"/>
              <w:rPr>
                <w:color w:val="auto"/>
                <w:lang w:val="en-US" w:eastAsia="zh-CN"/>
              </w:rPr>
            </w:pPr>
            <w:r>
              <w:rPr>
                <w:color w:val="auto"/>
                <w:lang w:val="en-US" w:eastAsia="zh-CN"/>
              </w:rPr>
              <w:t>24小时平均</w:t>
            </w:r>
          </w:p>
        </w:tc>
        <w:tc>
          <w:tcPr>
            <w:tcW w:w="900" w:type="dxa"/>
            <w:noWrap w:val="0"/>
            <w:vAlign w:val="center"/>
          </w:tcPr>
          <w:p>
            <w:pPr>
              <w:pStyle w:val="195"/>
              <w:bidi w:val="0"/>
              <w:rPr>
                <w:rFonts w:hint="eastAsia"/>
                <w:color w:val="auto"/>
                <w:lang w:val="en-US" w:eastAsia="zh-CN"/>
              </w:rPr>
            </w:pPr>
            <w:r>
              <w:rPr>
                <w:rFonts w:hint="eastAsia"/>
                <w:color w:val="auto"/>
                <w:lang w:val="en-US" w:eastAsia="zh-CN"/>
              </w:rPr>
              <w:t>2000</w:t>
            </w:r>
          </w:p>
        </w:tc>
      </w:tr>
    </w:tbl>
    <w:p>
      <w:pPr>
        <w:pStyle w:val="117"/>
        <w:bidi w:val="0"/>
        <w:rPr>
          <w:color w:val="auto"/>
          <w:highlight w:val="none"/>
        </w:rPr>
      </w:pPr>
      <w:r>
        <w:rPr>
          <w:color w:val="auto"/>
          <w:highlight w:val="none"/>
        </w:rPr>
        <w:t>（2）废气污染物排放标准</w:t>
      </w:r>
    </w:p>
    <w:p>
      <w:pPr>
        <w:pStyle w:val="171"/>
        <w:snapToGrid/>
        <w:ind w:firstLine="480"/>
        <w:contextualSpacing/>
        <w:jc w:val="left"/>
        <w:rPr>
          <w:bCs/>
          <w:color w:val="auto"/>
          <w:sz w:val="24"/>
        </w:rPr>
      </w:pPr>
      <w:bookmarkStart w:id="120" w:name="_Toc6257"/>
      <w:bookmarkStart w:id="121" w:name="_Toc82354316"/>
      <w:r>
        <w:rPr>
          <w:bCs/>
          <w:color w:val="auto"/>
          <w:sz w:val="24"/>
        </w:rPr>
        <w:t>施工期废气执行《大气污染物综合排放标准》（GB16297-1996）表</w:t>
      </w:r>
      <w:r>
        <w:rPr>
          <w:rFonts w:hint="eastAsia"/>
          <w:bCs/>
          <w:color w:val="auto"/>
          <w:sz w:val="24"/>
        </w:rPr>
        <w:t>2</w:t>
      </w:r>
      <w:r>
        <w:rPr>
          <w:bCs/>
          <w:color w:val="auto"/>
          <w:sz w:val="24"/>
        </w:rPr>
        <w:t>无组织排放监控浓度限值要求；</w:t>
      </w:r>
    </w:p>
    <w:p>
      <w:pPr>
        <w:pStyle w:val="171"/>
        <w:snapToGrid/>
        <w:ind w:firstLine="480"/>
        <w:contextualSpacing/>
        <w:jc w:val="left"/>
        <w:rPr>
          <w:bCs/>
          <w:color w:val="auto"/>
          <w:sz w:val="24"/>
        </w:rPr>
      </w:pPr>
      <w:r>
        <w:rPr>
          <w:bCs/>
          <w:color w:val="auto"/>
          <w:sz w:val="24"/>
        </w:rPr>
        <w:t>营运期</w:t>
      </w:r>
      <w:r>
        <w:rPr>
          <w:rFonts w:eastAsiaTheme="minorEastAsia"/>
          <w:color w:val="auto"/>
          <w:sz w:val="24"/>
        </w:rPr>
        <w:t>原料堆场、铲装集堆粉尘</w:t>
      </w:r>
      <w:r>
        <w:rPr>
          <w:bCs/>
          <w:color w:val="auto"/>
          <w:sz w:val="24"/>
        </w:rPr>
        <w:t>执行《大气污染物综合排放标准》（GB16297-1996）表</w:t>
      </w:r>
      <w:r>
        <w:rPr>
          <w:rFonts w:hint="eastAsia"/>
          <w:bCs/>
          <w:color w:val="auto"/>
          <w:sz w:val="24"/>
        </w:rPr>
        <w:t>2</w:t>
      </w:r>
      <w:r>
        <w:rPr>
          <w:bCs/>
          <w:color w:val="auto"/>
          <w:sz w:val="24"/>
        </w:rPr>
        <w:t>无组织排放监控浓度限值要求。</w:t>
      </w:r>
    </w:p>
    <w:p>
      <w:pPr>
        <w:pStyle w:val="171"/>
        <w:snapToGrid/>
        <w:ind w:firstLine="480"/>
        <w:contextualSpacing/>
        <w:jc w:val="left"/>
        <w:rPr>
          <w:bCs/>
          <w:color w:val="auto"/>
          <w:sz w:val="24"/>
        </w:rPr>
      </w:pPr>
      <w:r>
        <w:rPr>
          <w:rFonts w:eastAsiaTheme="minorEastAsia"/>
          <w:bCs/>
          <w:color w:val="auto"/>
          <w:sz w:val="24"/>
        </w:rPr>
        <w:t>非甲烷总烃、</w:t>
      </w:r>
      <w:r>
        <w:rPr>
          <w:bCs/>
          <w:color w:val="auto"/>
          <w:sz w:val="24"/>
        </w:rPr>
        <w:t>沥青烟和苯并[a]芘排放执行《大气污染物综合排放标准》（GB16297-1996）表2 中二级排放标准限值。</w:t>
      </w:r>
    </w:p>
    <w:p>
      <w:pPr>
        <w:pStyle w:val="171"/>
        <w:snapToGrid/>
        <w:ind w:firstLine="480"/>
        <w:contextualSpacing/>
        <w:jc w:val="left"/>
        <w:rPr>
          <w:bCs/>
          <w:color w:val="auto"/>
          <w:sz w:val="24"/>
        </w:rPr>
      </w:pPr>
      <w:r>
        <w:rPr>
          <w:bCs/>
          <w:color w:val="auto"/>
          <w:sz w:val="24"/>
        </w:rPr>
        <w:t>导热油炉废气执行《锅炉大气污染物排放标准》（GB13271-2014）表2燃</w:t>
      </w:r>
      <w:r>
        <w:rPr>
          <w:rFonts w:hint="eastAsia"/>
          <w:bCs/>
          <w:color w:val="auto"/>
          <w:sz w:val="24"/>
          <w:lang w:val="en-US" w:eastAsia="zh-CN"/>
        </w:rPr>
        <w:t>油</w:t>
      </w:r>
      <w:r>
        <w:rPr>
          <w:bCs/>
          <w:color w:val="auto"/>
          <w:sz w:val="24"/>
        </w:rPr>
        <w:t>锅炉大气污染物排放限值标准。</w:t>
      </w:r>
    </w:p>
    <w:p>
      <w:pPr>
        <w:pStyle w:val="171"/>
        <w:snapToGrid/>
        <w:ind w:firstLine="480"/>
        <w:contextualSpacing/>
        <w:jc w:val="left"/>
        <w:rPr>
          <w:bCs/>
          <w:color w:val="auto"/>
          <w:sz w:val="24"/>
        </w:rPr>
      </w:pPr>
      <w:r>
        <w:rPr>
          <w:bCs/>
          <w:color w:val="auto"/>
          <w:sz w:val="24"/>
        </w:rPr>
        <w:t>燃烧器排气筒排放废气执行《大气污染物综合排放标准》（GB16297-1996）表2 中二级排放标准限值。</w:t>
      </w:r>
    </w:p>
    <w:p>
      <w:pPr>
        <w:pStyle w:val="171"/>
        <w:snapToGrid/>
        <w:ind w:firstLine="480"/>
        <w:contextualSpacing/>
        <w:jc w:val="left"/>
        <w:rPr>
          <w:rFonts w:hint="eastAsia"/>
          <w:color w:val="auto"/>
          <w:sz w:val="24"/>
          <w:lang w:eastAsia="zh-CN"/>
        </w:rPr>
      </w:pPr>
      <w:r>
        <w:rPr>
          <w:rFonts w:hint="eastAsia"/>
          <w:color w:val="auto"/>
          <w:sz w:val="24"/>
        </w:rPr>
        <w:t>厂区</w:t>
      </w:r>
      <w:r>
        <w:rPr>
          <w:color w:val="auto"/>
          <w:sz w:val="24"/>
        </w:rPr>
        <w:t>内无组织非甲烷总烃执行《挥发性有机物无组织排放标准》（GB</w:t>
      </w:r>
      <w:r>
        <w:rPr>
          <w:rFonts w:hint="eastAsia"/>
          <w:color w:val="auto"/>
          <w:sz w:val="24"/>
        </w:rPr>
        <w:t>37822</w:t>
      </w:r>
      <w:r>
        <w:rPr>
          <w:color w:val="auto"/>
          <w:sz w:val="24"/>
        </w:rPr>
        <w:t>-20</w:t>
      </w:r>
      <w:r>
        <w:rPr>
          <w:rFonts w:hint="eastAsia"/>
          <w:color w:val="auto"/>
          <w:sz w:val="24"/>
        </w:rPr>
        <w:t>19</w:t>
      </w:r>
      <w:r>
        <w:rPr>
          <w:color w:val="auto"/>
          <w:sz w:val="24"/>
        </w:rPr>
        <w:t>）中表</w:t>
      </w:r>
      <w:r>
        <w:rPr>
          <w:rFonts w:hint="eastAsia"/>
          <w:color w:val="auto"/>
          <w:sz w:val="24"/>
        </w:rPr>
        <w:t>A.1无组织排放限值</w:t>
      </w:r>
      <w:r>
        <w:rPr>
          <w:rFonts w:hint="eastAsia"/>
          <w:color w:val="auto"/>
          <w:sz w:val="24"/>
          <w:lang w:eastAsia="zh-CN"/>
        </w:rPr>
        <w:t>；</w:t>
      </w:r>
    </w:p>
    <w:p>
      <w:pPr>
        <w:pStyle w:val="171"/>
        <w:snapToGrid/>
        <w:ind w:firstLine="480"/>
        <w:contextualSpacing/>
        <w:jc w:val="left"/>
        <w:rPr>
          <w:bCs/>
          <w:color w:val="auto"/>
          <w:sz w:val="24"/>
        </w:rPr>
      </w:pPr>
      <w:r>
        <w:rPr>
          <w:rFonts w:hint="eastAsia"/>
          <w:color w:val="auto"/>
          <w:sz w:val="24"/>
        </w:rPr>
        <w:t>厂界</w:t>
      </w:r>
      <w:r>
        <w:rPr>
          <w:color w:val="auto"/>
          <w:sz w:val="24"/>
        </w:rPr>
        <w:t>非甲烷总烃</w:t>
      </w:r>
      <w:r>
        <w:rPr>
          <w:rFonts w:hint="eastAsia"/>
          <w:color w:val="auto"/>
          <w:sz w:val="24"/>
        </w:rPr>
        <w:t>执行</w:t>
      </w:r>
      <w:r>
        <w:rPr>
          <w:bCs/>
          <w:color w:val="auto"/>
          <w:sz w:val="24"/>
        </w:rPr>
        <w:t>《大气污染物综合排放标准》（GB16297-1996）表2无组织排放限值要求</w:t>
      </w:r>
      <w:r>
        <w:rPr>
          <w:rFonts w:hint="eastAsia"/>
          <w:color w:val="auto"/>
          <w:sz w:val="24"/>
        </w:rPr>
        <w:t>。</w:t>
      </w:r>
    </w:p>
    <w:p>
      <w:pPr>
        <w:pStyle w:val="171"/>
        <w:snapToGrid/>
        <w:ind w:firstLine="480"/>
        <w:contextualSpacing/>
        <w:jc w:val="left"/>
        <w:rPr>
          <w:rFonts w:hAnsiTheme="minorEastAsia" w:eastAsiaTheme="minorEastAsia"/>
          <w:color w:val="auto"/>
          <w:kern w:val="0"/>
          <w:sz w:val="24"/>
        </w:rPr>
      </w:pPr>
      <w:r>
        <w:rPr>
          <w:rFonts w:hAnsiTheme="minorEastAsia" w:eastAsiaTheme="minorEastAsia"/>
          <w:color w:val="auto"/>
          <w:kern w:val="0"/>
          <w:sz w:val="24"/>
        </w:rPr>
        <w:t>根据</w:t>
      </w:r>
      <w:r>
        <w:rPr>
          <w:rFonts w:hAnsiTheme="minorEastAsia" w:eastAsiaTheme="minorEastAsia"/>
          <w:bCs/>
          <w:color w:val="auto"/>
          <w:kern w:val="0"/>
          <w:sz w:val="24"/>
        </w:rPr>
        <w:t>《大气污染物综合排放标准》（</w:t>
      </w:r>
      <w:r>
        <w:rPr>
          <w:rFonts w:eastAsiaTheme="minorEastAsia"/>
          <w:bCs/>
          <w:color w:val="auto"/>
          <w:kern w:val="0"/>
          <w:sz w:val="24"/>
        </w:rPr>
        <w:t>GB16297-1996</w:t>
      </w:r>
      <w:r>
        <w:rPr>
          <w:rFonts w:hAnsiTheme="minorEastAsia" w:eastAsiaTheme="minorEastAsia"/>
          <w:bCs/>
          <w:color w:val="auto"/>
          <w:kern w:val="0"/>
          <w:sz w:val="24"/>
        </w:rPr>
        <w:t>）</w:t>
      </w:r>
      <w:r>
        <w:rPr>
          <w:rFonts w:hAnsiTheme="minorEastAsia" w:eastAsiaTheme="minorEastAsia"/>
          <w:color w:val="auto"/>
          <w:kern w:val="0"/>
          <w:sz w:val="24"/>
        </w:rPr>
        <w:t>中要求的</w:t>
      </w:r>
      <w:r>
        <w:rPr>
          <w:rFonts w:hint="eastAsia" w:eastAsiaTheme="minorEastAsia"/>
          <w:color w:val="auto"/>
          <w:kern w:val="0"/>
          <w:sz w:val="24"/>
        </w:rPr>
        <w:t>“</w:t>
      </w:r>
      <w:r>
        <w:rPr>
          <w:rFonts w:hint="eastAsia" w:hAnsiTheme="minorEastAsia" w:eastAsiaTheme="minorEastAsia"/>
          <w:color w:val="auto"/>
          <w:kern w:val="0"/>
          <w:sz w:val="24"/>
        </w:rPr>
        <w:t>排气筒</w:t>
      </w:r>
      <w:r>
        <w:rPr>
          <w:rFonts w:hAnsiTheme="minorEastAsia" w:eastAsiaTheme="minorEastAsia"/>
          <w:color w:val="auto"/>
          <w:kern w:val="0"/>
          <w:sz w:val="24"/>
        </w:rPr>
        <w:t>高度高出周围半径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5m以上”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lang w:val="en-US" w:eastAsia="zh-CN"/>
        </w:rPr>
        <w:t>10</w:t>
      </w:r>
      <w:r>
        <w:rPr>
          <w:rFonts w:hint="eastAsia" w:hAnsiTheme="minorEastAsia" w:eastAsiaTheme="minorEastAsia"/>
          <w:color w:val="auto"/>
          <w:kern w:val="0"/>
          <w:sz w:val="24"/>
        </w:rPr>
        <w:t>m，本项目排气筒高度为</w:t>
      </w:r>
      <w:r>
        <w:rPr>
          <w:rFonts w:hint="eastAsia" w:hAnsiTheme="minorEastAsia" w:eastAsiaTheme="minorEastAsia"/>
          <w:color w:val="auto"/>
          <w:kern w:val="0"/>
          <w:sz w:val="24"/>
          <w:lang w:val="en-US" w:eastAsia="zh-CN"/>
        </w:rPr>
        <w:t>15</w:t>
      </w:r>
      <w:r>
        <w:rPr>
          <w:rFonts w:hint="eastAsia" w:hAnsiTheme="minorEastAsia" w:eastAsiaTheme="minorEastAsia"/>
          <w:color w:val="auto"/>
          <w:kern w:val="0"/>
          <w:sz w:val="24"/>
        </w:rPr>
        <w:t>m，满足要求</w:t>
      </w:r>
      <w:r>
        <w:rPr>
          <w:rFonts w:hAnsiTheme="minorEastAsia" w:eastAsiaTheme="minorEastAsia"/>
          <w:color w:val="auto"/>
          <w:kern w:val="0"/>
          <w:sz w:val="24"/>
        </w:rPr>
        <w:t>。</w:t>
      </w:r>
    </w:p>
    <w:p>
      <w:pPr>
        <w:pStyle w:val="171"/>
        <w:snapToGrid/>
        <w:ind w:firstLine="480"/>
        <w:contextualSpacing/>
        <w:jc w:val="left"/>
        <w:rPr>
          <w:rFonts w:hAnsiTheme="minorEastAsia" w:eastAsiaTheme="minorEastAsia"/>
          <w:color w:val="auto"/>
          <w:kern w:val="0"/>
          <w:sz w:val="24"/>
        </w:rPr>
      </w:pPr>
      <w:r>
        <w:rPr>
          <w:rFonts w:hAnsiTheme="minorEastAsia" w:eastAsiaTheme="minorEastAsia"/>
          <w:color w:val="auto"/>
          <w:kern w:val="0"/>
          <w:sz w:val="24"/>
        </w:rPr>
        <w:t>根据</w:t>
      </w:r>
      <w:r>
        <w:rPr>
          <w:bCs/>
          <w:color w:val="auto"/>
          <w:sz w:val="24"/>
        </w:rPr>
        <w:t>《锅炉大气污染物排放标准》（GB13271-2014）</w:t>
      </w:r>
      <w:r>
        <w:rPr>
          <w:rFonts w:hAnsiTheme="minorEastAsia" w:eastAsiaTheme="minorEastAsia"/>
          <w:color w:val="auto"/>
          <w:kern w:val="0"/>
          <w:sz w:val="24"/>
        </w:rPr>
        <w:t>中要求的</w:t>
      </w:r>
      <w:r>
        <w:rPr>
          <w:rFonts w:hint="eastAsia" w:eastAsiaTheme="minorEastAsia"/>
          <w:color w:val="auto"/>
          <w:kern w:val="0"/>
          <w:sz w:val="24"/>
        </w:rPr>
        <w:t>“燃</w:t>
      </w:r>
      <w:r>
        <w:rPr>
          <w:rFonts w:hint="eastAsia" w:eastAsiaTheme="minorEastAsia"/>
          <w:color w:val="auto"/>
          <w:kern w:val="0"/>
          <w:sz w:val="24"/>
          <w:lang w:val="en-US" w:eastAsia="zh-CN"/>
        </w:rPr>
        <w:t>油</w:t>
      </w:r>
      <w:r>
        <w:rPr>
          <w:rFonts w:hint="eastAsia" w:eastAsiaTheme="minorEastAsia"/>
          <w:color w:val="auto"/>
          <w:kern w:val="0"/>
          <w:sz w:val="24"/>
        </w:rPr>
        <w:t>锅炉烟囱不低于8m，新建锅炉房的烟囱周围</w:t>
      </w:r>
      <w:r>
        <w:rPr>
          <w:rFonts w:hAnsiTheme="minorEastAsia" w:eastAsiaTheme="minorEastAsia"/>
          <w:color w:val="auto"/>
          <w:kern w:val="0"/>
          <w:sz w:val="24"/>
        </w:rPr>
        <w:t>半径</w:t>
      </w:r>
      <w:r>
        <w:rPr>
          <w:rFonts w:eastAsiaTheme="minorEastAsia"/>
          <w:color w:val="auto"/>
          <w:kern w:val="0"/>
          <w:sz w:val="24"/>
        </w:rPr>
        <w:t>200m范围内</w:t>
      </w:r>
      <w:r>
        <w:rPr>
          <w:rFonts w:hint="eastAsia" w:eastAsiaTheme="minorEastAsia"/>
          <w:color w:val="auto"/>
          <w:kern w:val="0"/>
          <w:sz w:val="24"/>
        </w:rPr>
        <w:t>有</w:t>
      </w:r>
      <w:r>
        <w:rPr>
          <w:rFonts w:hAnsiTheme="minorEastAsia" w:eastAsiaTheme="minorEastAsia"/>
          <w:color w:val="auto"/>
          <w:kern w:val="0"/>
          <w:sz w:val="24"/>
        </w:rPr>
        <w:t>建筑物时，其烟囱高出最高建筑物</w:t>
      </w:r>
      <w:r>
        <w:rPr>
          <w:rFonts w:hint="eastAsia" w:hAnsiTheme="minorEastAsia" w:eastAsiaTheme="minorEastAsia"/>
          <w:color w:val="auto"/>
          <w:kern w:val="0"/>
          <w:sz w:val="24"/>
        </w:rPr>
        <w:t>3m以上”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lang w:val="en-US" w:eastAsia="zh-CN"/>
        </w:rPr>
        <w:t>10</w:t>
      </w:r>
      <w:r>
        <w:rPr>
          <w:rFonts w:hint="eastAsia" w:hAnsiTheme="minorEastAsia" w:eastAsiaTheme="minorEastAsia"/>
          <w:color w:val="auto"/>
          <w:kern w:val="0"/>
          <w:sz w:val="24"/>
        </w:rPr>
        <w:t>m，本项目锅炉烟囱高度为</w:t>
      </w:r>
      <w:r>
        <w:rPr>
          <w:rFonts w:hint="eastAsia" w:hAnsiTheme="minorEastAsia" w:eastAsiaTheme="minorEastAsia"/>
          <w:color w:val="auto"/>
          <w:kern w:val="0"/>
          <w:sz w:val="24"/>
          <w:lang w:val="en-US" w:eastAsia="zh-CN"/>
        </w:rPr>
        <w:t>15</w:t>
      </w:r>
      <w:r>
        <w:rPr>
          <w:rFonts w:hint="eastAsia" w:hAnsiTheme="minorEastAsia" w:eastAsiaTheme="minorEastAsia"/>
          <w:color w:val="auto"/>
          <w:kern w:val="0"/>
          <w:sz w:val="24"/>
        </w:rPr>
        <w:t>m，满足要求</w:t>
      </w:r>
      <w:r>
        <w:rPr>
          <w:rFonts w:hAnsiTheme="minorEastAsia" w:eastAsiaTheme="minorEastAsia"/>
          <w:color w:val="auto"/>
          <w:kern w:val="0"/>
          <w:sz w:val="24"/>
        </w:rPr>
        <w:t>。</w:t>
      </w:r>
    </w:p>
    <w:p>
      <w:pPr>
        <w:pStyle w:val="122"/>
        <w:adjustRightInd/>
        <w:spacing w:line="240" w:lineRule="auto"/>
        <w:ind w:firstLine="482" w:firstLineChars="200"/>
        <w:contextualSpacing/>
        <w:jc w:val="center"/>
        <w:rPr>
          <w:rFonts w:eastAsiaTheme="minorEastAsia"/>
          <w:b/>
          <w:bCs/>
          <w:color w:val="auto"/>
          <w:szCs w:val="24"/>
        </w:rPr>
      </w:pPr>
      <w:r>
        <w:rPr>
          <w:rFonts w:eastAsiaTheme="minorEastAsia"/>
          <w:b/>
          <w:bCs/>
          <w:color w:val="auto"/>
          <w:szCs w:val="24"/>
        </w:rPr>
        <w:t>表</w:t>
      </w:r>
      <w:r>
        <w:rPr>
          <w:rFonts w:hint="eastAsia" w:eastAsiaTheme="minorEastAsia"/>
          <w:b/>
          <w:bCs/>
          <w:color w:val="auto"/>
          <w:szCs w:val="24"/>
          <w:lang w:val="en-US" w:eastAsia="zh-CN"/>
        </w:rPr>
        <w:t>1-3</w:t>
      </w:r>
      <w:r>
        <w:rPr>
          <w:rFonts w:eastAsiaTheme="minorEastAsia"/>
          <w:b/>
          <w:bCs/>
          <w:color w:val="auto"/>
          <w:szCs w:val="24"/>
        </w:rPr>
        <w:t xml:space="preserve"> 锅炉大气污染物排放标准    单位：mg/m</w:t>
      </w:r>
      <w:r>
        <w:rPr>
          <w:rFonts w:eastAsiaTheme="minorEastAsia"/>
          <w:b/>
          <w:bCs/>
          <w:color w:val="auto"/>
          <w:szCs w:val="24"/>
          <w:vertAlign w:val="superscript"/>
        </w:rPr>
        <w:t>3</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8"/>
        <w:gridCol w:w="4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Merge w:val="restart"/>
            <w:vAlign w:val="center"/>
          </w:tcPr>
          <w:p>
            <w:pPr>
              <w:jc w:val="center"/>
              <w:rPr>
                <w:rFonts w:eastAsiaTheme="minorEastAsia"/>
                <w:color w:val="auto"/>
                <w:szCs w:val="21"/>
              </w:rPr>
            </w:pPr>
            <w:r>
              <w:rPr>
                <w:rFonts w:eastAsiaTheme="minorEastAsia"/>
                <w:color w:val="auto"/>
                <w:szCs w:val="21"/>
              </w:rPr>
              <w:t>污染物项目</w:t>
            </w:r>
          </w:p>
        </w:tc>
        <w:tc>
          <w:tcPr>
            <w:tcW w:w="2496" w:type="pct"/>
            <w:vAlign w:val="center"/>
          </w:tcPr>
          <w:p>
            <w:pPr>
              <w:jc w:val="center"/>
              <w:rPr>
                <w:rFonts w:eastAsiaTheme="minorEastAsia"/>
                <w:color w:val="auto"/>
                <w:szCs w:val="21"/>
              </w:rPr>
            </w:pPr>
            <w:r>
              <w:rPr>
                <w:rFonts w:eastAsiaTheme="minorEastAsia"/>
                <w:color w:val="auto"/>
                <w:szCs w:val="21"/>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Merge w:val="continue"/>
            <w:vAlign w:val="center"/>
          </w:tcPr>
          <w:p>
            <w:pPr>
              <w:jc w:val="center"/>
              <w:rPr>
                <w:rFonts w:eastAsiaTheme="minorEastAsia"/>
                <w:color w:val="auto"/>
                <w:szCs w:val="21"/>
              </w:rPr>
            </w:pPr>
          </w:p>
        </w:tc>
        <w:tc>
          <w:tcPr>
            <w:tcW w:w="2496" w:type="pct"/>
            <w:vAlign w:val="center"/>
          </w:tcPr>
          <w:p>
            <w:pPr>
              <w:jc w:val="center"/>
              <w:rPr>
                <w:rFonts w:eastAsiaTheme="minorEastAsia"/>
                <w:color w:val="auto"/>
                <w:szCs w:val="21"/>
              </w:rPr>
            </w:pPr>
            <w:r>
              <w:rPr>
                <w:rFonts w:eastAsiaTheme="minorEastAsia"/>
                <w:color w:val="auto"/>
                <w:szCs w:val="21"/>
              </w:rPr>
              <w:t>燃</w:t>
            </w:r>
            <w:r>
              <w:rPr>
                <w:rFonts w:hint="eastAsia" w:eastAsiaTheme="minorEastAsia"/>
                <w:color w:val="auto"/>
                <w:szCs w:val="21"/>
                <w:lang w:val="en-US" w:eastAsia="zh-CN"/>
              </w:rPr>
              <w:t>油</w:t>
            </w:r>
            <w:r>
              <w:rPr>
                <w:rFonts w:eastAsiaTheme="minorEastAsia"/>
                <w:color w:val="auto"/>
                <w:szCs w:val="21"/>
              </w:rPr>
              <w:t>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pPr>
              <w:jc w:val="center"/>
              <w:rPr>
                <w:rFonts w:eastAsiaTheme="minorEastAsia"/>
                <w:color w:val="auto"/>
                <w:szCs w:val="21"/>
              </w:rPr>
            </w:pPr>
            <w:r>
              <w:rPr>
                <w:rFonts w:eastAsiaTheme="minorEastAsia"/>
                <w:color w:val="auto"/>
                <w:szCs w:val="21"/>
              </w:rPr>
              <w:t>颗粒物</w:t>
            </w:r>
          </w:p>
        </w:tc>
        <w:tc>
          <w:tcPr>
            <w:tcW w:w="2496" w:type="pct"/>
            <w:vAlign w:val="center"/>
          </w:tcPr>
          <w:p>
            <w:pPr>
              <w:jc w:val="center"/>
              <w:rPr>
                <w:rFonts w:eastAsiaTheme="minorEastAsia"/>
                <w:color w:val="auto"/>
                <w:szCs w:val="21"/>
              </w:rPr>
            </w:pPr>
            <w:r>
              <w:rPr>
                <w:rFonts w:hint="eastAsia" w:eastAsiaTheme="minorEastAsia"/>
                <w:color w:val="auto"/>
                <w:szCs w:val="21"/>
                <w:lang w:val="en-US" w:eastAsia="zh-CN"/>
              </w:rPr>
              <w:t>3</w:t>
            </w:r>
            <w:r>
              <w:rPr>
                <w:rFonts w:hint="eastAsia" w:eastAsiaTheme="minor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pPr>
              <w:jc w:val="center"/>
              <w:rPr>
                <w:rFonts w:eastAsiaTheme="minorEastAsia"/>
                <w:color w:val="auto"/>
                <w:szCs w:val="21"/>
              </w:rPr>
            </w:pPr>
            <w:r>
              <w:rPr>
                <w:rFonts w:eastAsiaTheme="minorEastAsia"/>
                <w:color w:val="auto"/>
                <w:szCs w:val="21"/>
              </w:rPr>
              <w:t>二氧化硫</w:t>
            </w:r>
          </w:p>
        </w:tc>
        <w:tc>
          <w:tcPr>
            <w:tcW w:w="2496" w:type="pct"/>
            <w:vAlign w:val="center"/>
          </w:tcPr>
          <w:p>
            <w:pPr>
              <w:jc w:val="center"/>
              <w:rPr>
                <w:rFonts w:eastAsiaTheme="minorEastAsia"/>
                <w:color w:val="auto"/>
                <w:szCs w:val="21"/>
              </w:rPr>
            </w:pPr>
            <w:r>
              <w:rPr>
                <w:rFonts w:hint="eastAsia" w:eastAsiaTheme="minorEastAsia"/>
                <w:color w:val="auto"/>
                <w:szCs w:val="21"/>
                <w:lang w:val="en-US" w:eastAsia="zh-CN"/>
              </w:rPr>
              <w:t>20</w:t>
            </w:r>
            <w:r>
              <w:rPr>
                <w:rFonts w:hint="eastAsia" w:eastAsiaTheme="minor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pPr>
              <w:jc w:val="center"/>
              <w:rPr>
                <w:rFonts w:eastAsiaTheme="minorEastAsia"/>
                <w:color w:val="auto"/>
                <w:szCs w:val="21"/>
              </w:rPr>
            </w:pPr>
            <w:r>
              <w:rPr>
                <w:rFonts w:eastAsiaTheme="minorEastAsia"/>
                <w:color w:val="auto"/>
                <w:szCs w:val="21"/>
              </w:rPr>
              <w:t>氮氧化物</w:t>
            </w:r>
          </w:p>
        </w:tc>
        <w:tc>
          <w:tcPr>
            <w:tcW w:w="2496" w:type="pct"/>
            <w:vAlign w:val="center"/>
          </w:tcPr>
          <w:p>
            <w:pPr>
              <w:jc w:val="center"/>
              <w:rPr>
                <w:rFonts w:eastAsiaTheme="minorEastAsia"/>
                <w:color w:val="auto"/>
                <w:szCs w:val="21"/>
              </w:rPr>
            </w:pPr>
            <w:r>
              <w:rPr>
                <w:rFonts w:hint="eastAsia" w:eastAsiaTheme="minorEastAsia"/>
                <w:color w:val="auto"/>
                <w:szCs w:val="21"/>
              </w:rPr>
              <w:t>2</w:t>
            </w:r>
            <w:r>
              <w:rPr>
                <w:rFonts w:hint="eastAsia" w:eastAsiaTheme="minorEastAsia"/>
                <w:color w:val="auto"/>
                <w:szCs w:val="21"/>
                <w:lang w:val="en-US" w:eastAsia="zh-CN"/>
              </w:rPr>
              <w:t>5</w:t>
            </w:r>
            <w:r>
              <w:rPr>
                <w:rFonts w:hint="eastAsia" w:eastAsiaTheme="minor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4" w:type="pct"/>
            <w:vAlign w:val="center"/>
          </w:tcPr>
          <w:p>
            <w:pPr>
              <w:jc w:val="center"/>
              <w:rPr>
                <w:rFonts w:eastAsiaTheme="minorEastAsia"/>
                <w:color w:val="auto"/>
                <w:szCs w:val="21"/>
              </w:rPr>
            </w:pPr>
            <w:r>
              <w:rPr>
                <w:rFonts w:hint="eastAsia"/>
                <w:snapToGrid w:val="0"/>
                <w:color w:val="auto"/>
                <w:kern w:val="0"/>
                <w:szCs w:val="21"/>
              </w:rPr>
              <w:t>烟气黑度</w:t>
            </w:r>
          </w:p>
        </w:tc>
        <w:tc>
          <w:tcPr>
            <w:tcW w:w="2496" w:type="pct"/>
            <w:vAlign w:val="center"/>
          </w:tcPr>
          <w:p>
            <w:pPr>
              <w:jc w:val="center"/>
              <w:rPr>
                <w:rFonts w:eastAsiaTheme="minorEastAsia"/>
                <w:color w:val="auto"/>
                <w:szCs w:val="21"/>
              </w:rPr>
            </w:pPr>
            <w:r>
              <w:rPr>
                <w:rFonts w:hint="eastAsia" w:eastAsiaTheme="minorEastAsia"/>
                <w:color w:val="auto"/>
                <w:szCs w:val="21"/>
                <w:lang w:val="en-US" w:eastAsia="zh-CN"/>
              </w:rPr>
              <w:t>≤</w:t>
            </w:r>
            <w:r>
              <w:rPr>
                <w:rFonts w:hint="eastAsia" w:eastAsiaTheme="minorEastAsia"/>
                <w:color w:val="auto"/>
                <w:szCs w:val="21"/>
              </w:rPr>
              <w:t>1级</w:t>
            </w:r>
          </w:p>
        </w:tc>
      </w:tr>
    </w:tbl>
    <w:p>
      <w:pPr>
        <w:pStyle w:val="122"/>
        <w:adjustRightInd/>
        <w:spacing w:line="240" w:lineRule="auto"/>
        <w:ind w:firstLine="482" w:firstLineChars="200"/>
        <w:contextualSpacing/>
        <w:jc w:val="center"/>
        <w:rPr>
          <w:rFonts w:eastAsiaTheme="minorEastAsia"/>
          <w:b/>
          <w:bCs/>
          <w:color w:val="auto"/>
          <w:szCs w:val="24"/>
        </w:rPr>
      </w:pPr>
      <w:r>
        <w:rPr>
          <w:rFonts w:eastAsiaTheme="minorEastAsia"/>
          <w:b/>
          <w:bCs/>
          <w:color w:val="auto"/>
          <w:szCs w:val="24"/>
        </w:rPr>
        <w:t>表</w:t>
      </w:r>
      <w:r>
        <w:rPr>
          <w:rFonts w:hint="eastAsia" w:eastAsiaTheme="minorEastAsia"/>
          <w:b/>
          <w:bCs/>
          <w:color w:val="auto"/>
          <w:szCs w:val="24"/>
          <w:lang w:val="en-US" w:eastAsia="zh-CN"/>
        </w:rPr>
        <w:t>1-4</w:t>
      </w:r>
      <w:r>
        <w:rPr>
          <w:rFonts w:eastAsiaTheme="minorEastAsia"/>
          <w:b/>
          <w:bCs/>
          <w:color w:val="auto"/>
          <w:szCs w:val="24"/>
        </w:rPr>
        <w:t xml:space="preserve"> 大气污染物综合排放标准</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72"/>
        <w:gridCol w:w="965"/>
        <w:gridCol w:w="1321"/>
        <w:gridCol w:w="1361"/>
        <w:gridCol w:w="1269"/>
        <w:gridCol w:w="2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70" w:hRule="atLeast"/>
        </w:trPr>
        <w:tc>
          <w:tcPr>
            <w:tcW w:w="972" w:type="dxa"/>
            <w:vMerge w:val="restart"/>
            <w:vAlign w:val="center"/>
          </w:tcPr>
          <w:p>
            <w:pPr>
              <w:pStyle w:val="207"/>
              <w:rPr>
                <w:rFonts w:eastAsiaTheme="minorEastAsia"/>
                <w:b/>
                <w:bCs/>
                <w:color w:val="auto"/>
              </w:rPr>
            </w:pPr>
            <w:r>
              <w:rPr>
                <w:rFonts w:eastAsiaTheme="minorEastAsia"/>
                <w:b/>
                <w:bCs/>
                <w:color w:val="auto"/>
              </w:rPr>
              <w:t>废气源</w:t>
            </w:r>
          </w:p>
        </w:tc>
        <w:tc>
          <w:tcPr>
            <w:tcW w:w="965" w:type="dxa"/>
            <w:vMerge w:val="restart"/>
            <w:vAlign w:val="center"/>
          </w:tcPr>
          <w:p>
            <w:pPr>
              <w:pStyle w:val="207"/>
              <w:rPr>
                <w:rFonts w:eastAsiaTheme="minorEastAsia"/>
                <w:b/>
                <w:bCs/>
                <w:color w:val="auto"/>
              </w:rPr>
            </w:pPr>
            <w:r>
              <w:rPr>
                <w:rFonts w:eastAsiaTheme="minorEastAsia"/>
                <w:b/>
                <w:bCs/>
                <w:color w:val="auto"/>
              </w:rPr>
              <w:t>污染物</w:t>
            </w:r>
          </w:p>
        </w:tc>
        <w:tc>
          <w:tcPr>
            <w:tcW w:w="1321" w:type="dxa"/>
            <w:vMerge w:val="restart"/>
            <w:vAlign w:val="center"/>
          </w:tcPr>
          <w:p>
            <w:pPr>
              <w:pStyle w:val="207"/>
              <w:rPr>
                <w:rFonts w:eastAsiaTheme="minorEastAsia"/>
                <w:b/>
                <w:bCs/>
                <w:color w:val="auto"/>
              </w:rPr>
            </w:pPr>
            <w:r>
              <w:rPr>
                <w:rFonts w:eastAsiaTheme="minorEastAsia"/>
                <w:b/>
                <w:bCs/>
                <w:color w:val="auto"/>
              </w:rPr>
              <w:t>最高允许</w:t>
            </w:r>
          </w:p>
          <w:p>
            <w:pPr>
              <w:pStyle w:val="207"/>
              <w:rPr>
                <w:rFonts w:eastAsiaTheme="minorEastAsia"/>
                <w:b/>
                <w:bCs/>
                <w:color w:val="auto"/>
              </w:rPr>
            </w:pPr>
            <w:r>
              <w:rPr>
                <w:rFonts w:eastAsiaTheme="minorEastAsia"/>
                <w:b/>
                <w:bCs/>
                <w:color w:val="auto"/>
              </w:rPr>
              <w:t>排放浓度（mg/m</w:t>
            </w:r>
            <w:r>
              <w:rPr>
                <w:rFonts w:eastAsiaTheme="minorEastAsia"/>
                <w:b/>
                <w:bCs/>
                <w:color w:val="auto"/>
                <w:vertAlign w:val="superscript"/>
              </w:rPr>
              <w:t>3</w:t>
            </w:r>
            <w:r>
              <w:rPr>
                <w:rFonts w:eastAsiaTheme="minorEastAsia"/>
                <w:b/>
                <w:bCs/>
                <w:color w:val="auto"/>
              </w:rPr>
              <w:t>）</w:t>
            </w:r>
          </w:p>
        </w:tc>
        <w:tc>
          <w:tcPr>
            <w:tcW w:w="2630" w:type="dxa"/>
            <w:gridSpan w:val="2"/>
            <w:vAlign w:val="center"/>
          </w:tcPr>
          <w:p>
            <w:pPr>
              <w:pStyle w:val="207"/>
              <w:rPr>
                <w:rFonts w:eastAsiaTheme="minorEastAsia"/>
                <w:b/>
                <w:bCs/>
                <w:color w:val="auto"/>
              </w:rPr>
            </w:pPr>
            <w:r>
              <w:rPr>
                <w:rFonts w:eastAsiaTheme="minorEastAsia"/>
                <w:b/>
                <w:bCs/>
                <w:color w:val="auto"/>
              </w:rPr>
              <w:t>最高允许排放速率</w:t>
            </w:r>
          </w:p>
        </w:tc>
        <w:tc>
          <w:tcPr>
            <w:tcW w:w="2501" w:type="dxa"/>
            <w:vMerge w:val="restart"/>
            <w:vAlign w:val="center"/>
          </w:tcPr>
          <w:p>
            <w:pPr>
              <w:pStyle w:val="207"/>
              <w:rPr>
                <w:rFonts w:eastAsiaTheme="minorEastAsia"/>
                <w:b/>
                <w:bCs/>
                <w:color w:val="auto"/>
              </w:rPr>
            </w:pPr>
            <w:r>
              <w:rPr>
                <w:rFonts w:eastAsiaTheme="minorEastAsia"/>
                <w:b/>
                <w:bCs/>
                <w:color w:val="auto"/>
              </w:rPr>
              <w:t>无组织排放监控浓度限值（mg/m</w:t>
            </w:r>
            <w:r>
              <w:rPr>
                <w:rFonts w:eastAsiaTheme="minorEastAsia"/>
                <w:b/>
                <w:bCs/>
                <w:color w:val="auto"/>
                <w:vertAlign w:val="superscript"/>
              </w:rPr>
              <w:t>3</w:t>
            </w:r>
            <w:r>
              <w:rPr>
                <w:rFonts w:eastAsiaTheme="minorEastAsia"/>
                <w:b/>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70" w:hRule="atLeast"/>
        </w:trPr>
        <w:tc>
          <w:tcPr>
            <w:tcW w:w="972" w:type="dxa"/>
            <w:vMerge w:val="continue"/>
            <w:vAlign w:val="center"/>
          </w:tcPr>
          <w:p>
            <w:pPr>
              <w:pStyle w:val="207"/>
              <w:rPr>
                <w:rFonts w:eastAsiaTheme="minorEastAsia"/>
                <w:color w:val="auto"/>
              </w:rPr>
            </w:pPr>
          </w:p>
        </w:tc>
        <w:tc>
          <w:tcPr>
            <w:tcW w:w="965" w:type="dxa"/>
            <w:vMerge w:val="continue"/>
            <w:vAlign w:val="center"/>
          </w:tcPr>
          <w:p>
            <w:pPr>
              <w:pStyle w:val="207"/>
              <w:rPr>
                <w:rFonts w:eastAsiaTheme="minorEastAsia"/>
                <w:color w:val="auto"/>
              </w:rPr>
            </w:pPr>
          </w:p>
        </w:tc>
        <w:tc>
          <w:tcPr>
            <w:tcW w:w="1321" w:type="dxa"/>
            <w:vMerge w:val="continue"/>
            <w:vAlign w:val="center"/>
          </w:tcPr>
          <w:p>
            <w:pPr>
              <w:pStyle w:val="207"/>
              <w:rPr>
                <w:rFonts w:eastAsiaTheme="minorEastAsia"/>
                <w:color w:val="auto"/>
              </w:rPr>
            </w:pPr>
          </w:p>
        </w:tc>
        <w:tc>
          <w:tcPr>
            <w:tcW w:w="1361" w:type="dxa"/>
            <w:vAlign w:val="center"/>
          </w:tcPr>
          <w:p>
            <w:pPr>
              <w:pStyle w:val="207"/>
              <w:rPr>
                <w:rFonts w:eastAsiaTheme="minorEastAsia"/>
                <w:b/>
                <w:bCs/>
                <w:color w:val="auto"/>
              </w:rPr>
            </w:pPr>
            <w:r>
              <w:rPr>
                <w:rFonts w:eastAsiaTheme="minorEastAsia"/>
                <w:b/>
                <w:bCs/>
                <w:color w:val="auto"/>
              </w:rPr>
              <w:t>排气筒高度（m）</w:t>
            </w:r>
          </w:p>
        </w:tc>
        <w:tc>
          <w:tcPr>
            <w:tcW w:w="1269" w:type="dxa"/>
            <w:vAlign w:val="center"/>
          </w:tcPr>
          <w:p>
            <w:pPr>
              <w:pStyle w:val="207"/>
              <w:rPr>
                <w:rFonts w:eastAsiaTheme="minorEastAsia"/>
                <w:b/>
                <w:bCs/>
                <w:color w:val="auto"/>
              </w:rPr>
            </w:pPr>
            <w:r>
              <w:rPr>
                <w:rFonts w:eastAsiaTheme="minorEastAsia"/>
                <w:b/>
                <w:bCs/>
                <w:color w:val="auto"/>
              </w:rPr>
              <w:t>二级（kg/h）</w:t>
            </w:r>
          </w:p>
        </w:tc>
        <w:tc>
          <w:tcPr>
            <w:tcW w:w="2501" w:type="dxa"/>
            <w:vMerge w:val="continue"/>
            <w:vAlign w:val="center"/>
          </w:tcPr>
          <w:p>
            <w:pPr>
              <w:pStyle w:val="207"/>
              <w:rPr>
                <w:rFonts w:eastAsiaTheme="minor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251" w:hRule="atLeast"/>
        </w:trPr>
        <w:tc>
          <w:tcPr>
            <w:tcW w:w="972" w:type="dxa"/>
            <w:vMerge w:val="restart"/>
            <w:vAlign w:val="center"/>
          </w:tcPr>
          <w:p>
            <w:pPr>
              <w:pStyle w:val="207"/>
              <w:rPr>
                <w:rFonts w:eastAsiaTheme="minorEastAsia"/>
                <w:color w:val="auto"/>
              </w:rPr>
            </w:pPr>
            <w:r>
              <w:rPr>
                <w:rFonts w:eastAsiaTheme="minorEastAsia"/>
                <w:color w:val="auto"/>
              </w:rPr>
              <w:t>沥青烟气</w:t>
            </w:r>
          </w:p>
        </w:tc>
        <w:tc>
          <w:tcPr>
            <w:tcW w:w="965" w:type="dxa"/>
            <w:vAlign w:val="center"/>
          </w:tcPr>
          <w:p>
            <w:pPr>
              <w:pStyle w:val="207"/>
              <w:rPr>
                <w:rFonts w:eastAsiaTheme="minorEastAsia"/>
                <w:color w:val="auto"/>
              </w:rPr>
            </w:pPr>
            <w:r>
              <w:rPr>
                <w:rFonts w:eastAsiaTheme="minorEastAsia"/>
                <w:color w:val="auto"/>
              </w:rPr>
              <w:t>苯并[a]芘</w:t>
            </w:r>
          </w:p>
        </w:tc>
        <w:tc>
          <w:tcPr>
            <w:tcW w:w="1321" w:type="dxa"/>
            <w:vAlign w:val="center"/>
          </w:tcPr>
          <w:p>
            <w:pPr>
              <w:pStyle w:val="207"/>
              <w:rPr>
                <w:rFonts w:eastAsiaTheme="minorEastAsia"/>
                <w:color w:val="auto"/>
              </w:rPr>
            </w:pPr>
            <w:r>
              <w:rPr>
                <w:rFonts w:eastAsiaTheme="minorEastAsia"/>
                <w:color w:val="auto"/>
              </w:rPr>
              <w:t>0.30×10</w:t>
            </w:r>
            <w:r>
              <w:rPr>
                <w:rFonts w:eastAsiaTheme="minorEastAsia"/>
                <w:color w:val="auto"/>
                <w:vertAlign w:val="superscript"/>
              </w:rPr>
              <w:t>-3</w:t>
            </w:r>
          </w:p>
        </w:tc>
        <w:tc>
          <w:tcPr>
            <w:tcW w:w="1361" w:type="dxa"/>
            <w:vAlign w:val="center"/>
          </w:tcPr>
          <w:p>
            <w:pPr>
              <w:pStyle w:val="207"/>
              <w:rPr>
                <w:rFonts w:eastAsiaTheme="minorEastAsia"/>
                <w:color w:val="auto"/>
              </w:rPr>
            </w:pPr>
            <w:r>
              <w:rPr>
                <w:rFonts w:hint="eastAsia" w:eastAsiaTheme="minorEastAsia"/>
                <w:color w:val="auto"/>
              </w:rPr>
              <w:t>15</w:t>
            </w:r>
          </w:p>
        </w:tc>
        <w:tc>
          <w:tcPr>
            <w:tcW w:w="1269" w:type="dxa"/>
            <w:vAlign w:val="center"/>
          </w:tcPr>
          <w:p>
            <w:pPr>
              <w:pStyle w:val="207"/>
              <w:rPr>
                <w:rFonts w:eastAsiaTheme="minorEastAsia"/>
                <w:color w:val="auto"/>
              </w:rPr>
            </w:pPr>
            <w:r>
              <w:rPr>
                <w:rFonts w:eastAsiaTheme="minorEastAsia"/>
                <w:color w:val="auto"/>
              </w:rPr>
              <w:t>0.0</w:t>
            </w:r>
            <w:r>
              <w:rPr>
                <w:rFonts w:hint="eastAsia" w:eastAsiaTheme="minorEastAsia"/>
                <w:color w:val="auto"/>
              </w:rPr>
              <w:t>50</w:t>
            </w:r>
            <w:r>
              <w:rPr>
                <w:rFonts w:eastAsiaTheme="minorEastAsia"/>
                <w:color w:val="auto"/>
              </w:rPr>
              <w:t>×10</w:t>
            </w:r>
            <w:r>
              <w:rPr>
                <w:rFonts w:eastAsiaTheme="minorEastAsia"/>
                <w:color w:val="auto"/>
                <w:vertAlign w:val="superscript"/>
              </w:rPr>
              <w:t>-3</w:t>
            </w:r>
          </w:p>
        </w:tc>
        <w:tc>
          <w:tcPr>
            <w:tcW w:w="2501" w:type="dxa"/>
            <w:vAlign w:val="center"/>
          </w:tcPr>
          <w:p>
            <w:pPr>
              <w:pStyle w:val="207"/>
              <w:rPr>
                <w:rFonts w:eastAsiaTheme="minorEastAsia"/>
                <w:color w:val="auto"/>
              </w:rPr>
            </w:pPr>
            <w:r>
              <w:rPr>
                <w:rFonts w:eastAsiaTheme="minorEastAsia"/>
                <w:color w:val="auto"/>
              </w:rPr>
              <w:t>0.008μg/m</w:t>
            </w:r>
            <w:r>
              <w:rPr>
                <w:rFonts w:eastAsiaTheme="minorEastAsia"/>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251" w:hRule="atLeast"/>
        </w:trPr>
        <w:tc>
          <w:tcPr>
            <w:tcW w:w="972" w:type="dxa"/>
            <w:vMerge w:val="continue"/>
            <w:vAlign w:val="center"/>
          </w:tcPr>
          <w:p>
            <w:pPr>
              <w:pStyle w:val="207"/>
              <w:rPr>
                <w:rFonts w:eastAsiaTheme="minorEastAsia"/>
                <w:color w:val="auto"/>
              </w:rPr>
            </w:pPr>
          </w:p>
        </w:tc>
        <w:tc>
          <w:tcPr>
            <w:tcW w:w="965" w:type="dxa"/>
            <w:vAlign w:val="center"/>
          </w:tcPr>
          <w:p>
            <w:pPr>
              <w:pStyle w:val="207"/>
              <w:rPr>
                <w:rFonts w:eastAsiaTheme="minorEastAsia"/>
                <w:color w:val="auto"/>
              </w:rPr>
            </w:pPr>
            <w:r>
              <w:rPr>
                <w:rFonts w:eastAsiaTheme="minorEastAsia"/>
                <w:color w:val="auto"/>
              </w:rPr>
              <w:t>沥青烟</w:t>
            </w:r>
          </w:p>
        </w:tc>
        <w:tc>
          <w:tcPr>
            <w:tcW w:w="1321" w:type="dxa"/>
            <w:vAlign w:val="center"/>
          </w:tcPr>
          <w:p>
            <w:pPr>
              <w:pStyle w:val="207"/>
              <w:rPr>
                <w:rFonts w:eastAsiaTheme="minorEastAsia"/>
                <w:color w:val="auto"/>
              </w:rPr>
            </w:pPr>
            <w:r>
              <w:rPr>
                <w:rFonts w:eastAsiaTheme="minorEastAsia"/>
                <w:color w:val="auto"/>
              </w:rPr>
              <w:t>75</w:t>
            </w:r>
          </w:p>
        </w:tc>
        <w:tc>
          <w:tcPr>
            <w:tcW w:w="1361" w:type="dxa"/>
            <w:vAlign w:val="center"/>
          </w:tcPr>
          <w:p>
            <w:pPr>
              <w:pStyle w:val="207"/>
              <w:rPr>
                <w:rFonts w:eastAsiaTheme="minorEastAsia"/>
                <w:color w:val="auto"/>
              </w:rPr>
            </w:pPr>
            <w:r>
              <w:rPr>
                <w:rFonts w:hint="eastAsia" w:eastAsiaTheme="minorEastAsia"/>
                <w:color w:val="auto"/>
              </w:rPr>
              <w:t>15</w:t>
            </w:r>
          </w:p>
        </w:tc>
        <w:tc>
          <w:tcPr>
            <w:tcW w:w="1269" w:type="dxa"/>
            <w:vAlign w:val="center"/>
          </w:tcPr>
          <w:p>
            <w:pPr>
              <w:pStyle w:val="207"/>
              <w:rPr>
                <w:rFonts w:eastAsiaTheme="minorEastAsia"/>
                <w:color w:val="auto"/>
              </w:rPr>
            </w:pPr>
            <w:r>
              <w:rPr>
                <w:rFonts w:hint="eastAsia" w:eastAsiaTheme="minorEastAsia"/>
                <w:color w:val="auto"/>
              </w:rPr>
              <w:t>0.18</w:t>
            </w:r>
          </w:p>
        </w:tc>
        <w:tc>
          <w:tcPr>
            <w:tcW w:w="2501" w:type="dxa"/>
            <w:vAlign w:val="center"/>
          </w:tcPr>
          <w:p>
            <w:pPr>
              <w:pStyle w:val="207"/>
              <w:rPr>
                <w:rFonts w:eastAsiaTheme="minorEastAsia"/>
                <w:color w:val="auto"/>
              </w:rPr>
            </w:pPr>
            <w:r>
              <w:rPr>
                <w:rFonts w:eastAsiaTheme="minorEastAsia"/>
                <w:color w:val="auto"/>
              </w:rPr>
              <w:t>生产设备不得有明显无组织排放存在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251" w:hRule="atLeast"/>
        </w:trPr>
        <w:tc>
          <w:tcPr>
            <w:tcW w:w="972" w:type="dxa"/>
            <w:vMerge w:val="continue"/>
            <w:vAlign w:val="center"/>
          </w:tcPr>
          <w:p>
            <w:pPr>
              <w:pStyle w:val="207"/>
              <w:rPr>
                <w:rFonts w:eastAsiaTheme="minorEastAsia"/>
                <w:color w:val="auto"/>
              </w:rPr>
            </w:pPr>
          </w:p>
        </w:tc>
        <w:tc>
          <w:tcPr>
            <w:tcW w:w="965" w:type="dxa"/>
            <w:vAlign w:val="center"/>
          </w:tcPr>
          <w:p>
            <w:pPr>
              <w:pStyle w:val="207"/>
              <w:rPr>
                <w:rFonts w:eastAsiaTheme="minorEastAsia"/>
                <w:color w:val="auto"/>
              </w:rPr>
            </w:pPr>
            <w:r>
              <w:rPr>
                <w:rFonts w:eastAsiaTheme="minorEastAsia"/>
                <w:color w:val="auto"/>
              </w:rPr>
              <w:t>非甲烷总烃</w:t>
            </w:r>
          </w:p>
        </w:tc>
        <w:tc>
          <w:tcPr>
            <w:tcW w:w="1321" w:type="dxa"/>
            <w:vAlign w:val="center"/>
          </w:tcPr>
          <w:p>
            <w:pPr>
              <w:pStyle w:val="207"/>
              <w:rPr>
                <w:rFonts w:eastAsiaTheme="minorEastAsia"/>
                <w:color w:val="auto"/>
              </w:rPr>
            </w:pPr>
            <w:r>
              <w:rPr>
                <w:rFonts w:hint="eastAsia" w:eastAsiaTheme="minorEastAsia"/>
                <w:color w:val="auto"/>
              </w:rPr>
              <w:t>120</w:t>
            </w:r>
          </w:p>
        </w:tc>
        <w:tc>
          <w:tcPr>
            <w:tcW w:w="1361" w:type="dxa"/>
            <w:vAlign w:val="center"/>
          </w:tcPr>
          <w:p>
            <w:pPr>
              <w:pStyle w:val="207"/>
              <w:rPr>
                <w:rFonts w:eastAsiaTheme="minorEastAsia"/>
                <w:color w:val="auto"/>
              </w:rPr>
            </w:pPr>
            <w:r>
              <w:rPr>
                <w:rFonts w:hint="eastAsia" w:eastAsiaTheme="minorEastAsia"/>
                <w:color w:val="auto"/>
              </w:rPr>
              <w:t>15</w:t>
            </w:r>
          </w:p>
        </w:tc>
        <w:tc>
          <w:tcPr>
            <w:tcW w:w="1269" w:type="dxa"/>
            <w:vAlign w:val="center"/>
          </w:tcPr>
          <w:p>
            <w:pPr>
              <w:pStyle w:val="207"/>
              <w:rPr>
                <w:rFonts w:eastAsiaTheme="minorEastAsia"/>
                <w:color w:val="auto"/>
              </w:rPr>
            </w:pPr>
            <w:r>
              <w:rPr>
                <w:rFonts w:hint="eastAsia" w:eastAsiaTheme="minorEastAsia"/>
                <w:color w:val="auto"/>
              </w:rPr>
              <w:t>10</w:t>
            </w:r>
          </w:p>
        </w:tc>
        <w:tc>
          <w:tcPr>
            <w:tcW w:w="2501" w:type="dxa"/>
            <w:vAlign w:val="center"/>
          </w:tcPr>
          <w:p>
            <w:pPr>
              <w:pStyle w:val="207"/>
              <w:rPr>
                <w:rFonts w:eastAsiaTheme="minorEastAsia"/>
                <w:color w:val="auto"/>
              </w:rPr>
            </w:pPr>
            <w:r>
              <w:rPr>
                <w:snapToGrid w:val="0"/>
                <w:color w:val="auto"/>
                <w:kern w:val="0"/>
              </w:rPr>
              <w:t>周界外浓度最高点</w:t>
            </w:r>
            <w:r>
              <w:rPr>
                <w:rFonts w:hint="eastAsia" w:eastAsiaTheme="minorEastAsia"/>
                <w:color w:val="auto"/>
              </w:rPr>
              <w:t>4</w:t>
            </w:r>
            <w:r>
              <w:rPr>
                <w:rFonts w:eastAsiaTheme="minorEastAsia"/>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972" w:type="dxa"/>
            <w:vAlign w:val="center"/>
          </w:tcPr>
          <w:p>
            <w:pPr>
              <w:pStyle w:val="207"/>
              <w:rPr>
                <w:rFonts w:eastAsiaTheme="minorEastAsia"/>
                <w:color w:val="auto"/>
              </w:rPr>
            </w:pPr>
            <w:r>
              <w:rPr>
                <w:rFonts w:hint="eastAsia" w:eastAsiaTheme="minorEastAsia"/>
                <w:color w:val="auto"/>
              </w:rPr>
              <w:t>无组织</w:t>
            </w:r>
            <w:r>
              <w:rPr>
                <w:rFonts w:eastAsiaTheme="minorEastAsia"/>
                <w:color w:val="auto"/>
              </w:rPr>
              <w:t>粉尘</w:t>
            </w:r>
          </w:p>
        </w:tc>
        <w:tc>
          <w:tcPr>
            <w:tcW w:w="965" w:type="dxa"/>
            <w:vAlign w:val="center"/>
          </w:tcPr>
          <w:p>
            <w:pPr>
              <w:pStyle w:val="207"/>
              <w:rPr>
                <w:rFonts w:eastAsiaTheme="minorEastAsia"/>
                <w:color w:val="auto"/>
              </w:rPr>
            </w:pPr>
            <w:r>
              <w:rPr>
                <w:rFonts w:eastAsiaTheme="minorEastAsia"/>
                <w:color w:val="auto"/>
              </w:rPr>
              <w:t>颗粒物</w:t>
            </w:r>
          </w:p>
        </w:tc>
        <w:tc>
          <w:tcPr>
            <w:tcW w:w="1321" w:type="dxa"/>
            <w:vAlign w:val="center"/>
          </w:tcPr>
          <w:p>
            <w:pPr>
              <w:pStyle w:val="207"/>
              <w:rPr>
                <w:rFonts w:eastAsiaTheme="minorEastAsia"/>
                <w:color w:val="auto"/>
              </w:rPr>
            </w:pPr>
            <w:r>
              <w:rPr>
                <w:rFonts w:hint="eastAsia" w:eastAsiaTheme="minorEastAsia"/>
                <w:color w:val="auto"/>
              </w:rPr>
              <w:t>/</w:t>
            </w:r>
          </w:p>
        </w:tc>
        <w:tc>
          <w:tcPr>
            <w:tcW w:w="1361" w:type="dxa"/>
            <w:vAlign w:val="center"/>
          </w:tcPr>
          <w:p>
            <w:pPr>
              <w:pStyle w:val="207"/>
              <w:rPr>
                <w:rFonts w:eastAsiaTheme="minorEastAsia"/>
                <w:color w:val="auto"/>
              </w:rPr>
            </w:pPr>
            <w:r>
              <w:rPr>
                <w:rFonts w:hint="eastAsia" w:eastAsiaTheme="minorEastAsia"/>
                <w:color w:val="auto"/>
              </w:rPr>
              <w:t>/</w:t>
            </w:r>
          </w:p>
        </w:tc>
        <w:tc>
          <w:tcPr>
            <w:tcW w:w="1269" w:type="dxa"/>
            <w:vAlign w:val="center"/>
          </w:tcPr>
          <w:p>
            <w:pPr>
              <w:pStyle w:val="207"/>
              <w:rPr>
                <w:rFonts w:eastAsiaTheme="minorEastAsia"/>
                <w:color w:val="auto"/>
              </w:rPr>
            </w:pPr>
            <w:r>
              <w:rPr>
                <w:rFonts w:hint="eastAsia" w:eastAsiaTheme="minorEastAsia"/>
                <w:color w:val="auto"/>
              </w:rPr>
              <w:t>/</w:t>
            </w:r>
          </w:p>
        </w:tc>
        <w:tc>
          <w:tcPr>
            <w:tcW w:w="2501" w:type="dxa"/>
            <w:vAlign w:val="center"/>
          </w:tcPr>
          <w:p>
            <w:pPr>
              <w:pStyle w:val="207"/>
              <w:rPr>
                <w:rFonts w:eastAsiaTheme="minorEastAsia"/>
                <w:color w:val="auto"/>
              </w:rPr>
            </w:pPr>
            <w:r>
              <w:rPr>
                <w:snapToGrid w:val="0"/>
                <w:color w:val="auto"/>
                <w:kern w:val="0"/>
              </w:rPr>
              <w:t>周界外浓度最高点</w:t>
            </w:r>
            <w:r>
              <w:rPr>
                <w:rFonts w:eastAsiaTheme="minorEastAsia"/>
                <w:color w:val="auto"/>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972" w:type="dxa"/>
            <w:vMerge w:val="restart"/>
            <w:vAlign w:val="center"/>
          </w:tcPr>
          <w:p>
            <w:pPr>
              <w:pStyle w:val="207"/>
              <w:rPr>
                <w:rFonts w:eastAsiaTheme="minorEastAsia"/>
                <w:color w:val="auto"/>
              </w:rPr>
            </w:pPr>
            <w:r>
              <w:rPr>
                <w:rFonts w:hint="eastAsia" w:eastAsiaTheme="minorEastAsia"/>
                <w:color w:val="auto"/>
              </w:rPr>
              <w:t>除尘</w:t>
            </w:r>
            <w:r>
              <w:rPr>
                <w:rFonts w:eastAsiaTheme="minorEastAsia"/>
                <w:color w:val="auto"/>
              </w:rPr>
              <w:t>系统废气</w:t>
            </w:r>
          </w:p>
        </w:tc>
        <w:tc>
          <w:tcPr>
            <w:tcW w:w="965" w:type="dxa"/>
            <w:vAlign w:val="center"/>
          </w:tcPr>
          <w:p>
            <w:pPr>
              <w:pStyle w:val="207"/>
              <w:rPr>
                <w:rFonts w:eastAsiaTheme="minorEastAsia"/>
                <w:color w:val="auto"/>
              </w:rPr>
            </w:pPr>
            <w:r>
              <w:rPr>
                <w:rFonts w:eastAsiaTheme="minorEastAsia"/>
                <w:color w:val="auto"/>
              </w:rPr>
              <w:t>颗粒物</w:t>
            </w:r>
          </w:p>
        </w:tc>
        <w:tc>
          <w:tcPr>
            <w:tcW w:w="1321" w:type="dxa"/>
            <w:vAlign w:val="center"/>
          </w:tcPr>
          <w:p>
            <w:pPr>
              <w:pStyle w:val="207"/>
              <w:rPr>
                <w:rFonts w:eastAsiaTheme="minorEastAsia"/>
                <w:color w:val="auto"/>
              </w:rPr>
            </w:pPr>
            <w:r>
              <w:rPr>
                <w:rFonts w:eastAsiaTheme="minorEastAsia"/>
                <w:color w:val="auto"/>
              </w:rPr>
              <w:t>120</w:t>
            </w:r>
          </w:p>
        </w:tc>
        <w:tc>
          <w:tcPr>
            <w:tcW w:w="1361" w:type="dxa"/>
            <w:vMerge w:val="restart"/>
            <w:vAlign w:val="center"/>
          </w:tcPr>
          <w:p>
            <w:pPr>
              <w:pStyle w:val="207"/>
              <w:rPr>
                <w:rFonts w:eastAsiaTheme="minorEastAsia"/>
                <w:color w:val="auto"/>
              </w:rPr>
            </w:pPr>
            <w:r>
              <w:rPr>
                <w:rFonts w:hint="eastAsia" w:eastAsiaTheme="minorEastAsia"/>
                <w:color w:val="auto"/>
              </w:rPr>
              <w:t>15</w:t>
            </w:r>
          </w:p>
        </w:tc>
        <w:tc>
          <w:tcPr>
            <w:tcW w:w="1269" w:type="dxa"/>
            <w:vAlign w:val="center"/>
          </w:tcPr>
          <w:p>
            <w:pPr>
              <w:pStyle w:val="207"/>
              <w:rPr>
                <w:rFonts w:eastAsiaTheme="minorEastAsia"/>
                <w:color w:val="auto"/>
              </w:rPr>
            </w:pPr>
            <w:r>
              <w:rPr>
                <w:rFonts w:hint="eastAsia" w:eastAsiaTheme="minorEastAsia"/>
                <w:color w:val="auto"/>
              </w:rPr>
              <w:t>3.5</w:t>
            </w:r>
          </w:p>
        </w:tc>
        <w:tc>
          <w:tcPr>
            <w:tcW w:w="2501" w:type="dxa"/>
            <w:vAlign w:val="center"/>
          </w:tcPr>
          <w:p>
            <w:pPr>
              <w:pStyle w:val="207"/>
              <w:rPr>
                <w:rFonts w:eastAsiaTheme="minorEastAsia"/>
                <w:color w:val="auto"/>
              </w:rPr>
            </w:pPr>
            <w:r>
              <w:rPr>
                <w:rFonts w:eastAsiaTheme="minor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972" w:type="dxa"/>
            <w:vMerge w:val="continue"/>
            <w:vAlign w:val="center"/>
          </w:tcPr>
          <w:p>
            <w:pPr>
              <w:pStyle w:val="207"/>
              <w:rPr>
                <w:rFonts w:eastAsiaTheme="minorEastAsia"/>
                <w:color w:val="auto"/>
              </w:rPr>
            </w:pPr>
          </w:p>
        </w:tc>
        <w:tc>
          <w:tcPr>
            <w:tcW w:w="965" w:type="dxa"/>
            <w:vAlign w:val="center"/>
          </w:tcPr>
          <w:p>
            <w:pPr>
              <w:jc w:val="center"/>
              <w:rPr>
                <w:rFonts w:eastAsiaTheme="minorEastAsia"/>
                <w:color w:val="auto"/>
                <w:szCs w:val="21"/>
              </w:rPr>
            </w:pPr>
            <w:r>
              <w:rPr>
                <w:rFonts w:eastAsiaTheme="minorEastAsia"/>
                <w:color w:val="auto"/>
                <w:szCs w:val="21"/>
              </w:rPr>
              <w:t>二氧化硫</w:t>
            </w:r>
          </w:p>
        </w:tc>
        <w:tc>
          <w:tcPr>
            <w:tcW w:w="1321" w:type="dxa"/>
            <w:vAlign w:val="center"/>
          </w:tcPr>
          <w:p>
            <w:pPr>
              <w:pStyle w:val="207"/>
              <w:rPr>
                <w:rFonts w:eastAsiaTheme="minorEastAsia"/>
                <w:color w:val="auto"/>
              </w:rPr>
            </w:pPr>
            <w:r>
              <w:rPr>
                <w:rFonts w:eastAsiaTheme="minorEastAsia"/>
                <w:color w:val="auto"/>
              </w:rPr>
              <w:t>550</w:t>
            </w:r>
          </w:p>
        </w:tc>
        <w:tc>
          <w:tcPr>
            <w:tcW w:w="1361" w:type="dxa"/>
            <w:vMerge w:val="continue"/>
            <w:vAlign w:val="center"/>
          </w:tcPr>
          <w:p>
            <w:pPr>
              <w:pStyle w:val="207"/>
              <w:rPr>
                <w:rFonts w:eastAsiaTheme="minorEastAsia"/>
                <w:color w:val="auto"/>
              </w:rPr>
            </w:pPr>
          </w:p>
        </w:tc>
        <w:tc>
          <w:tcPr>
            <w:tcW w:w="1269" w:type="dxa"/>
            <w:vAlign w:val="center"/>
          </w:tcPr>
          <w:p>
            <w:pPr>
              <w:pStyle w:val="207"/>
              <w:rPr>
                <w:rFonts w:eastAsiaTheme="minorEastAsia"/>
                <w:color w:val="auto"/>
              </w:rPr>
            </w:pPr>
            <w:r>
              <w:rPr>
                <w:rFonts w:hint="eastAsia" w:eastAsiaTheme="minorEastAsia"/>
                <w:color w:val="auto"/>
              </w:rPr>
              <w:t>2.6</w:t>
            </w:r>
          </w:p>
        </w:tc>
        <w:tc>
          <w:tcPr>
            <w:tcW w:w="2501" w:type="dxa"/>
            <w:vAlign w:val="center"/>
          </w:tcPr>
          <w:p>
            <w:pPr>
              <w:pStyle w:val="207"/>
              <w:rPr>
                <w:rFonts w:eastAsiaTheme="minorEastAsia"/>
                <w:color w:val="auto"/>
              </w:rPr>
            </w:pPr>
            <w:r>
              <w:rPr>
                <w:rFonts w:eastAsiaTheme="minor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cantSplit/>
          <w:trHeight w:val="591" w:hRule="atLeast"/>
        </w:trPr>
        <w:tc>
          <w:tcPr>
            <w:tcW w:w="972" w:type="dxa"/>
            <w:vMerge w:val="continue"/>
            <w:vAlign w:val="center"/>
          </w:tcPr>
          <w:p>
            <w:pPr>
              <w:pStyle w:val="207"/>
              <w:rPr>
                <w:rFonts w:eastAsiaTheme="minorEastAsia"/>
                <w:color w:val="auto"/>
              </w:rPr>
            </w:pPr>
          </w:p>
        </w:tc>
        <w:tc>
          <w:tcPr>
            <w:tcW w:w="965" w:type="dxa"/>
            <w:vAlign w:val="center"/>
          </w:tcPr>
          <w:p>
            <w:pPr>
              <w:jc w:val="center"/>
              <w:rPr>
                <w:rFonts w:eastAsiaTheme="minorEastAsia"/>
                <w:color w:val="auto"/>
                <w:szCs w:val="21"/>
              </w:rPr>
            </w:pPr>
            <w:r>
              <w:rPr>
                <w:rFonts w:eastAsiaTheme="minorEastAsia"/>
                <w:color w:val="auto"/>
                <w:szCs w:val="21"/>
              </w:rPr>
              <w:t>氮氧化物</w:t>
            </w:r>
          </w:p>
        </w:tc>
        <w:tc>
          <w:tcPr>
            <w:tcW w:w="1321" w:type="dxa"/>
            <w:vAlign w:val="center"/>
          </w:tcPr>
          <w:p>
            <w:pPr>
              <w:pStyle w:val="207"/>
              <w:rPr>
                <w:rFonts w:eastAsiaTheme="minorEastAsia"/>
                <w:color w:val="auto"/>
              </w:rPr>
            </w:pPr>
            <w:r>
              <w:rPr>
                <w:rFonts w:eastAsiaTheme="minorEastAsia"/>
                <w:color w:val="auto"/>
              </w:rPr>
              <w:t>240</w:t>
            </w:r>
          </w:p>
        </w:tc>
        <w:tc>
          <w:tcPr>
            <w:tcW w:w="1361" w:type="dxa"/>
            <w:vMerge w:val="continue"/>
            <w:vAlign w:val="center"/>
          </w:tcPr>
          <w:p>
            <w:pPr>
              <w:pStyle w:val="207"/>
              <w:rPr>
                <w:rFonts w:eastAsiaTheme="minorEastAsia"/>
                <w:color w:val="auto"/>
              </w:rPr>
            </w:pPr>
          </w:p>
        </w:tc>
        <w:tc>
          <w:tcPr>
            <w:tcW w:w="1269" w:type="dxa"/>
            <w:vAlign w:val="center"/>
          </w:tcPr>
          <w:p>
            <w:pPr>
              <w:pStyle w:val="207"/>
              <w:rPr>
                <w:rFonts w:eastAsiaTheme="minorEastAsia"/>
                <w:color w:val="auto"/>
              </w:rPr>
            </w:pPr>
            <w:r>
              <w:rPr>
                <w:rFonts w:hint="eastAsia" w:eastAsiaTheme="minorEastAsia"/>
                <w:color w:val="auto"/>
              </w:rPr>
              <w:t>0.77</w:t>
            </w:r>
          </w:p>
        </w:tc>
        <w:tc>
          <w:tcPr>
            <w:tcW w:w="2501" w:type="dxa"/>
            <w:vAlign w:val="center"/>
          </w:tcPr>
          <w:p>
            <w:pPr>
              <w:pStyle w:val="207"/>
              <w:rPr>
                <w:rFonts w:eastAsiaTheme="minorEastAsia"/>
                <w:color w:val="auto"/>
              </w:rPr>
            </w:pPr>
            <w:r>
              <w:rPr>
                <w:rFonts w:eastAsiaTheme="minorEastAsia"/>
                <w:color w:val="auto"/>
              </w:rPr>
              <w:t>/</w:t>
            </w:r>
          </w:p>
        </w:tc>
      </w:tr>
    </w:tbl>
    <w:p>
      <w:pPr>
        <w:jc w:val="center"/>
        <w:rPr>
          <w:b/>
          <w:color w:val="auto"/>
          <w:sz w:val="24"/>
        </w:rPr>
      </w:pPr>
      <w:r>
        <w:rPr>
          <w:rFonts w:hint="eastAsia"/>
          <w:b/>
          <w:color w:val="auto"/>
          <w:sz w:val="24"/>
        </w:rPr>
        <w:t>表</w:t>
      </w:r>
      <w:r>
        <w:rPr>
          <w:rFonts w:hint="eastAsia"/>
          <w:b/>
          <w:color w:val="auto"/>
          <w:sz w:val="24"/>
          <w:lang w:val="en-US" w:eastAsia="zh-CN"/>
        </w:rPr>
        <w:t>1-5</w:t>
      </w:r>
      <w:r>
        <w:rPr>
          <w:rFonts w:hint="eastAsia"/>
          <w:b/>
          <w:color w:val="auto"/>
          <w:sz w:val="24"/>
        </w:rPr>
        <w:t xml:space="preserve"> 无组织非甲烷总烃排放标准</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0" w:type="dxa"/>
          <w:bottom w:w="0" w:type="dxa"/>
          <w:right w:w="60" w:type="dxa"/>
        </w:tblCellMar>
      </w:tblPr>
      <w:tblGrid>
        <w:gridCol w:w="1149"/>
        <w:gridCol w:w="1404"/>
        <w:gridCol w:w="3474"/>
        <w:gridCol w:w="2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62" w:hRule="atLeast"/>
          <w:jc w:val="center"/>
        </w:trPr>
        <w:tc>
          <w:tcPr>
            <w:tcW w:w="2552" w:type="dxa"/>
            <w:gridSpan w:val="2"/>
            <w:vAlign w:val="center"/>
          </w:tcPr>
          <w:p>
            <w:pPr>
              <w:pStyle w:val="207"/>
              <w:rPr>
                <w:rFonts w:eastAsiaTheme="minorEastAsia"/>
                <w:color w:val="auto"/>
              </w:rPr>
            </w:pPr>
            <w:r>
              <w:rPr>
                <w:rFonts w:eastAsiaTheme="minorEastAsia"/>
                <w:color w:val="auto"/>
              </w:rPr>
              <w:t>污染物</w:t>
            </w:r>
          </w:p>
        </w:tc>
        <w:tc>
          <w:tcPr>
            <w:tcW w:w="3474" w:type="dxa"/>
            <w:vAlign w:val="center"/>
          </w:tcPr>
          <w:p>
            <w:pPr>
              <w:pStyle w:val="207"/>
              <w:rPr>
                <w:rFonts w:eastAsiaTheme="minorEastAsia"/>
                <w:color w:val="auto"/>
              </w:rPr>
            </w:pPr>
            <w:r>
              <w:rPr>
                <w:rFonts w:eastAsiaTheme="minorEastAsia"/>
                <w:color w:val="auto"/>
              </w:rPr>
              <w:t>排放限值</w:t>
            </w:r>
          </w:p>
        </w:tc>
        <w:tc>
          <w:tcPr>
            <w:tcW w:w="2146" w:type="dxa"/>
            <w:vAlign w:val="center"/>
          </w:tcPr>
          <w:p>
            <w:pPr>
              <w:pStyle w:val="207"/>
              <w:rPr>
                <w:rFonts w:eastAsiaTheme="minorEastAsia"/>
                <w:color w:val="auto"/>
              </w:rPr>
            </w:pPr>
            <w:r>
              <w:rPr>
                <w:rFonts w:eastAsiaTheme="minorEastAsia"/>
                <w:color w:val="auto"/>
              </w:rPr>
              <w:t>标准</w:t>
            </w:r>
            <w:r>
              <w:rPr>
                <w:rFonts w:hint="eastAsia" w:eastAsiaTheme="minorEastAsia"/>
                <w:color w:val="auto"/>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84" w:hRule="atLeast"/>
          <w:jc w:val="center"/>
        </w:trPr>
        <w:tc>
          <w:tcPr>
            <w:tcW w:w="1149" w:type="dxa"/>
            <w:vMerge w:val="restart"/>
            <w:vAlign w:val="center"/>
          </w:tcPr>
          <w:p>
            <w:pPr>
              <w:pStyle w:val="207"/>
              <w:rPr>
                <w:rFonts w:eastAsiaTheme="minorEastAsia"/>
                <w:color w:val="auto"/>
              </w:rPr>
            </w:pPr>
            <w:r>
              <w:rPr>
                <w:rFonts w:eastAsiaTheme="minorEastAsia"/>
                <w:color w:val="auto"/>
              </w:rPr>
              <w:t>无</w:t>
            </w:r>
            <w:r>
              <w:rPr>
                <w:rFonts w:hint="eastAsia" w:eastAsiaTheme="minorEastAsia"/>
                <w:color w:val="auto"/>
              </w:rPr>
              <w:t>组</w:t>
            </w:r>
            <w:r>
              <w:rPr>
                <w:rFonts w:eastAsiaTheme="minorEastAsia"/>
                <w:color w:val="auto"/>
              </w:rPr>
              <w:t>织</w:t>
            </w:r>
          </w:p>
        </w:tc>
        <w:tc>
          <w:tcPr>
            <w:tcW w:w="1404" w:type="dxa"/>
            <w:vMerge w:val="restart"/>
            <w:vAlign w:val="center"/>
          </w:tcPr>
          <w:p>
            <w:pPr>
              <w:pStyle w:val="207"/>
              <w:rPr>
                <w:rFonts w:eastAsiaTheme="minorEastAsia"/>
                <w:color w:val="auto"/>
              </w:rPr>
            </w:pPr>
            <w:r>
              <w:rPr>
                <w:rFonts w:hint="eastAsia" w:eastAsiaTheme="minorEastAsia"/>
                <w:color w:val="auto"/>
              </w:rPr>
              <w:t>非甲烷总烃</w:t>
            </w:r>
          </w:p>
        </w:tc>
        <w:tc>
          <w:tcPr>
            <w:tcW w:w="3474" w:type="dxa"/>
            <w:vAlign w:val="center"/>
          </w:tcPr>
          <w:p>
            <w:pPr>
              <w:pStyle w:val="207"/>
              <w:rPr>
                <w:rFonts w:eastAsiaTheme="minorEastAsia"/>
                <w:color w:val="auto"/>
              </w:rPr>
            </w:pPr>
            <w:r>
              <w:rPr>
                <w:rFonts w:hint="eastAsia" w:eastAsiaTheme="minorEastAsia"/>
                <w:color w:val="auto"/>
              </w:rPr>
              <w:t>4.0</w:t>
            </w:r>
            <w:r>
              <w:rPr>
                <w:rFonts w:eastAsiaTheme="minorEastAsia"/>
                <w:color w:val="auto"/>
              </w:rPr>
              <w:t>mg/m</w:t>
            </w:r>
            <w:r>
              <w:rPr>
                <w:rFonts w:eastAsiaTheme="minorEastAsia"/>
                <w:color w:val="auto"/>
                <w:vertAlign w:val="superscript"/>
              </w:rPr>
              <w:t>3</w:t>
            </w:r>
          </w:p>
        </w:tc>
        <w:tc>
          <w:tcPr>
            <w:tcW w:w="2146" w:type="dxa"/>
            <w:vAlign w:val="center"/>
          </w:tcPr>
          <w:p>
            <w:pPr>
              <w:pStyle w:val="207"/>
              <w:rPr>
                <w:rFonts w:eastAsiaTheme="minorEastAsia"/>
                <w:color w:val="auto"/>
              </w:rPr>
            </w:pPr>
            <w:r>
              <w:rPr>
                <w:rFonts w:eastAsiaTheme="minorEastAsia"/>
                <w:color w:val="auto"/>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84" w:hRule="atLeast"/>
          <w:jc w:val="center"/>
        </w:trPr>
        <w:tc>
          <w:tcPr>
            <w:tcW w:w="1149" w:type="dxa"/>
            <w:vMerge w:val="continue"/>
            <w:vAlign w:val="center"/>
          </w:tcPr>
          <w:p>
            <w:pPr>
              <w:pStyle w:val="207"/>
              <w:rPr>
                <w:rFonts w:eastAsiaTheme="minorEastAsia"/>
                <w:color w:val="auto"/>
              </w:rPr>
            </w:pPr>
          </w:p>
        </w:tc>
        <w:tc>
          <w:tcPr>
            <w:tcW w:w="1404" w:type="dxa"/>
            <w:vMerge w:val="continue"/>
            <w:vAlign w:val="center"/>
          </w:tcPr>
          <w:p>
            <w:pPr>
              <w:pStyle w:val="207"/>
              <w:rPr>
                <w:rFonts w:eastAsiaTheme="minorEastAsia"/>
                <w:color w:val="auto"/>
              </w:rPr>
            </w:pPr>
          </w:p>
        </w:tc>
        <w:tc>
          <w:tcPr>
            <w:tcW w:w="3474" w:type="dxa"/>
            <w:vAlign w:val="center"/>
          </w:tcPr>
          <w:p>
            <w:pPr>
              <w:pStyle w:val="207"/>
              <w:rPr>
                <w:rFonts w:eastAsiaTheme="minorEastAsia"/>
                <w:color w:val="auto"/>
              </w:rPr>
            </w:pPr>
            <w:r>
              <w:rPr>
                <w:rFonts w:hint="eastAsia" w:eastAsiaTheme="minorEastAsia"/>
                <w:color w:val="auto"/>
              </w:rPr>
              <w:t>1h平均浓度＜10mg/m</w:t>
            </w:r>
            <w:r>
              <w:rPr>
                <w:rFonts w:hint="eastAsia" w:eastAsiaTheme="minorEastAsia"/>
                <w:color w:val="auto"/>
                <w:vertAlign w:val="superscript"/>
              </w:rPr>
              <w:t>3</w:t>
            </w:r>
          </w:p>
        </w:tc>
        <w:tc>
          <w:tcPr>
            <w:tcW w:w="2146" w:type="dxa"/>
            <w:vMerge w:val="restart"/>
            <w:vAlign w:val="center"/>
          </w:tcPr>
          <w:p>
            <w:pPr>
              <w:pStyle w:val="207"/>
              <w:rPr>
                <w:rFonts w:eastAsiaTheme="minorEastAsia"/>
                <w:color w:val="auto"/>
              </w:rPr>
            </w:pPr>
            <w:r>
              <w:rPr>
                <w:rFonts w:eastAsiaTheme="minorEastAsia"/>
                <w:color w:val="auto"/>
              </w:rPr>
              <w:t>（GB</w:t>
            </w:r>
            <w:r>
              <w:rPr>
                <w:rFonts w:hint="eastAsia" w:eastAsiaTheme="minorEastAsia"/>
                <w:color w:val="auto"/>
              </w:rPr>
              <w:t>37822</w:t>
            </w:r>
            <w:r>
              <w:rPr>
                <w:rFonts w:eastAsiaTheme="minorEastAsia"/>
                <w:color w:val="auto"/>
              </w:rPr>
              <w:t>-20</w:t>
            </w:r>
            <w:r>
              <w:rPr>
                <w:rFonts w:hint="eastAsia" w:eastAsiaTheme="minorEastAsia"/>
                <w:color w:val="auto"/>
              </w:rPr>
              <w:t>19</w:t>
            </w:r>
            <w:r>
              <w:rPr>
                <w:rFonts w:eastAsiaTheme="minor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0" w:type="dxa"/>
            <w:bottom w:w="0" w:type="dxa"/>
            <w:right w:w="60" w:type="dxa"/>
          </w:tblCellMar>
        </w:tblPrEx>
        <w:trPr>
          <w:cantSplit/>
          <w:trHeight w:val="84" w:hRule="atLeast"/>
          <w:jc w:val="center"/>
        </w:trPr>
        <w:tc>
          <w:tcPr>
            <w:tcW w:w="1149" w:type="dxa"/>
            <w:vMerge w:val="continue"/>
            <w:vAlign w:val="center"/>
          </w:tcPr>
          <w:p>
            <w:pPr>
              <w:pStyle w:val="101"/>
              <w:spacing w:before="120" w:after="120" w:line="240" w:lineRule="auto"/>
              <w:ind w:firstLine="420"/>
              <w:rPr>
                <w:color w:val="auto"/>
                <w:sz w:val="21"/>
                <w:szCs w:val="21"/>
              </w:rPr>
            </w:pPr>
          </w:p>
        </w:tc>
        <w:tc>
          <w:tcPr>
            <w:tcW w:w="1404" w:type="dxa"/>
            <w:vMerge w:val="continue"/>
            <w:vAlign w:val="center"/>
          </w:tcPr>
          <w:p>
            <w:pPr>
              <w:pStyle w:val="207"/>
              <w:rPr>
                <w:rFonts w:eastAsiaTheme="minorEastAsia"/>
                <w:color w:val="auto"/>
              </w:rPr>
            </w:pPr>
          </w:p>
        </w:tc>
        <w:tc>
          <w:tcPr>
            <w:tcW w:w="3474" w:type="dxa"/>
            <w:vAlign w:val="center"/>
          </w:tcPr>
          <w:p>
            <w:pPr>
              <w:pStyle w:val="207"/>
              <w:rPr>
                <w:rFonts w:eastAsiaTheme="minorEastAsia"/>
                <w:color w:val="auto"/>
              </w:rPr>
            </w:pPr>
            <w:r>
              <w:rPr>
                <w:rFonts w:hint="eastAsia" w:eastAsiaTheme="minorEastAsia"/>
                <w:color w:val="auto"/>
              </w:rPr>
              <w:t>任意一次浓度值＜30mg/m</w:t>
            </w:r>
            <w:r>
              <w:rPr>
                <w:rFonts w:hint="eastAsia" w:eastAsiaTheme="minorEastAsia"/>
                <w:color w:val="auto"/>
                <w:vertAlign w:val="superscript"/>
              </w:rPr>
              <w:t>3</w:t>
            </w:r>
          </w:p>
        </w:tc>
        <w:tc>
          <w:tcPr>
            <w:tcW w:w="2146" w:type="dxa"/>
            <w:vMerge w:val="continue"/>
            <w:vAlign w:val="center"/>
          </w:tcPr>
          <w:p>
            <w:pPr>
              <w:pStyle w:val="101"/>
              <w:spacing w:before="120" w:after="120" w:line="240" w:lineRule="auto"/>
              <w:ind w:firstLine="420"/>
              <w:rPr>
                <w:bCs/>
                <w:color w:val="auto"/>
                <w:sz w:val="21"/>
                <w:szCs w:val="21"/>
              </w:rPr>
            </w:pPr>
          </w:p>
        </w:tc>
      </w:tr>
    </w:tbl>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122" w:name="_Toc17536"/>
      <w:bookmarkStart w:id="123" w:name="_Toc19200"/>
      <w:bookmarkStart w:id="124" w:name="_Toc8724"/>
      <w:bookmarkStart w:id="125" w:name="_Toc8456"/>
      <w:r>
        <w:rPr>
          <w:rFonts w:ascii="Times New Roman" w:hAnsi="Times New Roman" w:eastAsia="宋体" w:cs="Times New Roman"/>
          <w:b w:val="0"/>
          <w:bCs/>
          <w:color w:val="auto"/>
          <w:sz w:val="24"/>
          <w:szCs w:val="24"/>
          <w:highlight w:val="none"/>
        </w:rPr>
        <w:t>1.4评价工作等级和评价范围</w:t>
      </w:r>
      <w:bookmarkEnd w:id="120"/>
      <w:bookmarkEnd w:id="121"/>
      <w:bookmarkEnd w:id="122"/>
      <w:bookmarkEnd w:id="123"/>
      <w:bookmarkEnd w:id="124"/>
      <w:bookmarkEnd w:id="125"/>
    </w:p>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126" w:name="_Toc43142331"/>
      <w:bookmarkStart w:id="127" w:name="_Toc15880"/>
      <w:bookmarkStart w:id="128" w:name="_Toc82354317"/>
      <w:bookmarkStart w:id="129" w:name="_Toc14122"/>
      <w:bookmarkStart w:id="130" w:name="_Toc17729"/>
      <w:bookmarkStart w:id="131" w:name="_Toc17649"/>
      <w:r>
        <w:rPr>
          <w:rFonts w:ascii="Times New Roman" w:hAnsi="Times New Roman" w:cs="Times New Roman"/>
          <w:snapToGrid w:val="0"/>
          <w:color w:val="auto"/>
          <w:spacing w:val="0"/>
          <w:kern w:val="0"/>
          <w:sz w:val="24"/>
          <w:szCs w:val="24"/>
          <w:highlight w:val="none"/>
        </w:rPr>
        <w:t>1.4.1</w:t>
      </w:r>
      <w:bookmarkEnd w:id="126"/>
      <w:r>
        <w:rPr>
          <w:rFonts w:ascii="Times New Roman" w:hAnsi="Times New Roman" w:cs="Times New Roman"/>
          <w:snapToGrid w:val="0"/>
          <w:color w:val="auto"/>
          <w:spacing w:val="0"/>
          <w:kern w:val="0"/>
          <w:sz w:val="24"/>
          <w:szCs w:val="24"/>
          <w:highlight w:val="none"/>
        </w:rPr>
        <w:t>评价工作等级</w:t>
      </w:r>
      <w:bookmarkEnd w:id="127"/>
      <w:bookmarkEnd w:id="128"/>
      <w:bookmarkEnd w:id="129"/>
      <w:bookmarkEnd w:id="130"/>
      <w:bookmarkEnd w:id="131"/>
    </w:p>
    <w:p>
      <w:pPr>
        <w:pStyle w:val="117"/>
        <w:bidi w:val="0"/>
        <w:rPr>
          <w:color w:val="auto"/>
          <w:highlight w:val="none"/>
        </w:rPr>
      </w:pPr>
      <w:r>
        <w:rPr>
          <w:color w:val="auto"/>
          <w:highlight w:val="none"/>
        </w:rPr>
        <w:t>根据项目污染源初步调查和工程分析结果，采用《环境影响评价技术导则 大气环境》（HJ2.2-2018）附录A推荐模型中的估算模型分别计算项目排放的主要污染物的最大地面空气质量浓度占标率Pi（第i个污染物，简称“最大浓度占标率”），及第i个污染物的地面空气质量浓度达到标准值的10%时所对应的最远距离D10%。</w:t>
      </w:r>
    </w:p>
    <w:p>
      <w:pPr>
        <w:pStyle w:val="117"/>
        <w:bidi w:val="0"/>
        <w:rPr>
          <w:color w:val="auto"/>
          <w:highlight w:val="none"/>
        </w:rPr>
      </w:pPr>
      <w:r>
        <w:rPr>
          <w:color w:val="auto"/>
          <w:highlight w:val="none"/>
        </w:rPr>
        <w:t>其中Pi定义为：</w:t>
      </w:r>
    </w:p>
    <w:p>
      <w:pPr>
        <w:pStyle w:val="117"/>
        <w:bidi w:val="0"/>
        <w:jc w:val="center"/>
        <w:rPr>
          <w:color w:val="auto"/>
          <w:highlight w:val="none"/>
        </w:rPr>
      </w:pPr>
      <w:r>
        <w:rPr>
          <w:color w:val="auto"/>
          <w:highlight w:val="none"/>
        </w:rPr>
        <w:t>Pi=Ci/C0i×100%</w:t>
      </w:r>
    </w:p>
    <w:p>
      <w:pPr>
        <w:pStyle w:val="117"/>
        <w:bidi w:val="0"/>
        <w:rPr>
          <w:color w:val="auto"/>
          <w:highlight w:val="none"/>
        </w:rPr>
      </w:pPr>
      <w:r>
        <w:rPr>
          <w:color w:val="auto"/>
          <w:highlight w:val="none"/>
        </w:rPr>
        <w:t>式中：</w:t>
      </w:r>
    </w:p>
    <w:p>
      <w:pPr>
        <w:pStyle w:val="117"/>
        <w:bidi w:val="0"/>
        <w:rPr>
          <w:color w:val="auto"/>
          <w:highlight w:val="none"/>
        </w:rPr>
      </w:pPr>
      <w:r>
        <w:rPr>
          <w:color w:val="auto"/>
          <w:highlight w:val="none"/>
        </w:rPr>
        <w:t>Pi——第i个污染物的最大地面空气质量浓度占标率，%；</w:t>
      </w:r>
    </w:p>
    <w:p>
      <w:pPr>
        <w:pStyle w:val="117"/>
        <w:bidi w:val="0"/>
        <w:rPr>
          <w:color w:val="auto"/>
          <w:highlight w:val="none"/>
        </w:rPr>
      </w:pPr>
      <w:r>
        <w:rPr>
          <w:color w:val="auto"/>
          <w:highlight w:val="none"/>
        </w:rPr>
        <w:t>Ci——采用估算模式计算出的第i个污染物的最大1h地面空气质量浓度，μg/m3；</w:t>
      </w:r>
    </w:p>
    <w:p>
      <w:pPr>
        <w:pStyle w:val="117"/>
        <w:bidi w:val="0"/>
        <w:rPr>
          <w:color w:val="auto"/>
          <w:highlight w:val="none"/>
        </w:rPr>
      </w:pPr>
      <w:r>
        <w:rPr>
          <w:color w:val="auto"/>
          <w:highlight w:val="none"/>
        </w:rPr>
        <w:t>C0i——第i个污染物的环境空气质量标准，μg/m</w:t>
      </w:r>
      <w:r>
        <w:rPr>
          <w:color w:val="auto"/>
          <w:highlight w:val="none"/>
          <w:vertAlign w:val="superscript"/>
        </w:rPr>
        <w:t>3</w:t>
      </w:r>
      <w:r>
        <w:rPr>
          <w:color w:val="auto"/>
          <w:highlight w:val="none"/>
        </w:rPr>
        <w:t>。—般选用GB3095-20</w:t>
      </w:r>
      <w:r>
        <w:rPr>
          <w:rFonts w:hint="eastAsia"/>
          <w:color w:val="auto"/>
          <w:highlight w:val="none"/>
          <w:lang w:val="en-US" w:eastAsia="zh-CN"/>
        </w:rPr>
        <w:t>26</w:t>
      </w:r>
      <w:r>
        <w:rPr>
          <w:color w:val="auto"/>
          <w:highlight w:val="none"/>
        </w:rPr>
        <w:t>中1小时平均质量浓度的二级浓度限值，如项目位于一类环境空气功能区，应选择相应的一级浓度限值；对该标准中未包含的污染物，使用5.2确定的各评价因子1h平均质量浓度限值。仅有8h平均质量浓度限值、日平均质量浓度限值或年平均质量浓度限值，可分别按2倍、3倍、6倍折算1h平均质量浓度限值。</w:t>
      </w:r>
    </w:p>
    <w:p>
      <w:pPr>
        <w:pStyle w:val="117"/>
        <w:bidi w:val="0"/>
        <w:rPr>
          <w:color w:val="auto"/>
          <w:highlight w:val="none"/>
        </w:rPr>
      </w:pPr>
      <w:r>
        <w:rPr>
          <w:color w:val="auto"/>
          <w:highlight w:val="none"/>
        </w:rPr>
        <w:t>根据《环境影响评价技术导则 大气环境》（HJ2.2-2018）中的有关规定，将大气环境影响评价工作等级分为一、二、三级，划分依据见表1-</w:t>
      </w:r>
      <w:r>
        <w:rPr>
          <w:rFonts w:hint="eastAsia"/>
          <w:color w:val="auto"/>
          <w:highlight w:val="none"/>
          <w:lang w:val="en-US" w:eastAsia="zh-CN"/>
        </w:rPr>
        <w:t>4</w:t>
      </w:r>
      <w:r>
        <w:rPr>
          <w:color w:val="auto"/>
          <w:highlight w:val="none"/>
        </w:rPr>
        <w:t>。</w:t>
      </w:r>
    </w:p>
    <w:p>
      <w:pPr>
        <w:pStyle w:val="135"/>
        <w:tabs>
          <w:tab w:val="clear" w:pos="5400"/>
        </w:tabs>
        <w:bidi w:val="0"/>
        <w:rPr>
          <w:color w:val="auto"/>
          <w:highlight w:val="none"/>
        </w:rPr>
      </w:pPr>
      <w:r>
        <w:rPr>
          <w:color w:val="auto"/>
          <w:highlight w:val="none"/>
        </w:rPr>
        <w:t>表1-</w:t>
      </w:r>
      <w:r>
        <w:rPr>
          <w:rFonts w:hint="eastAsia"/>
          <w:color w:val="auto"/>
          <w:highlight w:val="none"/>
          <w:lang w:val="en-US" w:eastAsia="zh-CN"/>
        </w:rPr>
        <w:t>4</w:t>
      </w:r>
      <w:r>
        <w:rPr>
          <w:color w:val="auto"/>
          <w:highlight w:val="none"/>
        </w:rPr>
        <w:t>大气评价等级确定表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81"/>
        <w:gridCol w:w="37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0" w:type="auto"/>
            <w:vAlign w:val="center"/>
          </w:tcPr>
          <w:p>
            <w:pPr>
              <w:pStyle w:val="195"/>
              <w:bidi w:val="0"/>
              <w:rPr>
                <w:color w:val="auto"/>
                <w:highlight w:val="none"/>
              </w:rPr>
            </w:pPr>
            <w:r>
              <w:rPr>
                <w:color w:val="auto"/>
                <w:highlight w:val="none"/>
              </w:rPr>
              <w:t>评价工作等级判据</w:t>
            </w:r>
          </w:p>
        </w:tc>
        <w:tc>
          <w:tcPr>
            <w:tcW w:w="0" w:type="auto"/>
            <w:vAlign w:val="center"/>
          </w:tcPr>
          <w:p>
            <w:pPr>
              <w:pStyle w:val="195"/>
              <w:bidi w:val="0"/>
              <w:rPr>
                <w:color w:val="auto"/>
                <w:highlight w:val="none"/>
              </w:rPr>
            </w:pPr>
            <w:r>
              <w:rPr>
                <w:color w:val="auto"/>
                <w:highlight w:val="none"/>
              </w:rPr>
              <w:t>评价工作等级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pStyle w:val="195"/>
              <w:bidi w:val="0"/>
              <w:rPr>
                <w:color w:val="auto"/>
                <w:highlight w:val="none"/>
              </w:rPr>
            </w:pPr>
            <w:r>
              <w:rPr>
                <w:color w:val="auto"/>
                <w:highlight w:val="none"/>
              </w:rPr>
              <w:t>Pmax≥10%</w:t>
            </w:r>
          </w:p>
        </w:tc>
        <w:tc>
          <w:tcPr>
            <w:tcW w:w="0" w:type="auto"/>
            <w:vAlign w:val="center"/>
          </w:tcPr>
          <w:p>
            <w:pPr>
              <w:pStyle w:val="195"/>
              <w:bidi w:val="0"/>
              <w:rPr>
                <w:color w:val="auto"/>
                <w:highlight w:val="none"/>
              </w:rPr>
            </w:pPr>
            <w:r>
              <w:rPr>
                <w:color w:val="auto"/>
                <w:highlight w:val="none"/>
              </w:rPr>
              <w:t>一级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pStyle w:val="195"/>
              <w:bidi w:val="0"/>
              <w:rPr>
                <w:color w:val="auto"/>
                <w:highlight w:val="none"/>
              </w:rPr>
            </w:pPr>
            <w:r>
              <w:rPr>
                <w:color w:val="auto"/>
                <w:highlight w:val="none"/>
              </w:rPr>
              <w:t>1%≥Pmax＜10%</w:t>
            </w:r>
          </w:p>
        </w:tc>
        <w:tc>
          <w:tcPr>
            <w:tcW w:w="0" w:type="auto"/>
            <w:vAlign w:val="center"/>
          </w:tcPr>
          <w:p>
            <w:pPr>
              <w:pStyle w:val="195"/>
              <w:bidi w:val="0"/>
              <w:rPr>
                <w:color w:val="auto"/>
                <w:highlight w:val="none"/>
              </w:rPr>
            </w:pPr>
            <w:r>
              <w:rPr>
                <w:color w:val="auto"/>
                <w:highlight w:val="none"/>
              </w:rPr>
              <w:t>二级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pStyle w:val="195"/>
              <w:bidi w:val="0"/>
              <w:rPr>
                <w:color w:val="auto"/>
                <w:highlight w:val="none"/>
              </w:rPr>
            </w:pPr>
            <w:r>
              <w:rPr>
                <w:color w:val="auto"/>
                <w:highlight w:val="none"/>
              </w:rPr>
              <w:t>Pmax＜1%</w:t>
            </w:r>
          </w:p>
        </w:tc>
        <w:tc>
          <w:tcPr>
            <w:tcW w:w="0" w:type="auto"/>
            <w:vAlign w:val="center"/>
          </w:tcPr>
          <w:p>
            <w:pPr>
              <w:pStyle w:val="195"/>
              <w:bidi w:val="0"/>
              <w:rPr>
                <w:color w:val="auto"/>
                <w:highlight w:val="none"/>
              </w:rPr>
            </w:pPr>
            <w:r>
              <w:rPr>
                <w:color w:val="auto"/>
                <w:highlight w:val="none"/>
              </w:rPr>
              <w:t>三级</w:t>
            </w:r>
          </w:p>
        </w:tc>
      </w:tr>
    </w:tbl>
    <w:p>
      <w:pPr>
        <w:pStyle w:val="117"/>
        <w:bidi w:val="0"/>
        <w:rPr>
          <w:rFonts w:hint="default" w:ascii="Times New Roman" w:hAnsi="Times New Roman" w:cs="Times New Roman"/>
          <w:color w:val="auto"/>
          <w:highlight w:val="none"/>
          <w:lang w:val="en-US" w:eastAsia="zh-CN"/>
        </w:rPr>
      </w:pPr>
      <w:r>
        <w:rPr>
          <w:color w:val="auto"/>
          <w:highlight w:val="none"/>
        </w:rPr>
        <w:t>本项目采用《环境影响评价技术导则 大气环境》（HJ2.2-2018）中附录A推荐的估算模式进行计算，评价因子和评价标准表见表1-</w:t>
      </w:r>
      <w:r>
        <w:rPr>
          <w:rFonts w:hint="eastAsia"/>
          <w:color w:val="auto"/>
          <w:highlight w:val="none"/>
          <w:lang w:val="en-US" w:eastAsia="zh-CN"/>
        </w:rPr>
        <w:t>5</w:t>
      </w:r>
      <w:r>
        <w:rPr>
          <w:color w:val="auto"/>
          <w:highlight w:val="none"/>
        </w:rPr>
        <w:t>，估算模型参数表见表1-</w:t>
      </w:r>
      <w:r>
        <w:rPr>
          <w:rFonts w:hint="eastAsia"/>
          <w:color w:val="auto"/>
          <w:highlight w:val="none"/>
          <w:lang w:val="en-US" w:eastAsia="zh-CN"/>
        </w:rPr>
        <w:t>6</w:t>
      </w:r>
      <w:r>
        <w:rPr>
          <w:color w:val="auto"/>
          <w:highlight w:val="none"/>
        </w:rPr>
        <w:t>，点源估算模式计算参数表见表1-</w:t>
      </w:r>
      <w:r>
        <w:rPr>
          <w:rFonts w:hint="eastAsia"/>
          <w:color w:val="auto"/>
          <w:highlight w:val="none"/>
          <w:lang w:val="en-US" w:eastAsia="zh-CN"/>
        </w:rPr>
        <w:t>7</w:t>
      </w:r>
      <w:r>
        <w:rPr>
          <w:color w:val="auto"/>
          <w:highlight w:val="none"/>
        </w:rPr>
        <w:t>，面源估算模式计算参数表见表1-</w:t>
      </w:r>
      <w:r>
        <w:rPr>
          <w:rFonts w:hint="eastAsia"/>
          <w:color w:val="auto"/>
          <w:highlight w:val="none"/>
          <w:lang w:val="en-US" w:eastAsia="zh-CN"/>
        </w:rPr>
        <w:t>8</w:t>
      </w:r>
      <w:r>
        <w:rPr>
          <w:color w:val="auto"/>
          <w:highlight w:val="none"/>
        </w:rPr>
        <w:t>，估算模式计算结果见表1-</w:t>
      </w:r>
      <w:r>
        <w:rPr>
          <w:rFonts w:hint="eastAsia"/>
          <w:color w:val="auto"/>
          <w:highlight w:val="none"/>
          <w:lang w:val="en-US" w:eastAsia="zh-CN"/>
        </w:rPr>
        <w:t>9</w:t>
      </w:r>
      <w:r>
        <w:rPr>
          <w:color w:val="auto"/>
          <w:highlight w:val="none"/>
        </w:rPr>
        <w:t>。</w:t>
      </w:r>
    </w:p>
    <w:p>
      <w:pPr>
        <w:pStyle w:val="135"/>
        <w:tabs>
          <w:tab w:val="clear" w:pos="5400"/>
        </w:tabs>
        <w:bidi w:val="0"/>
        <w:rPr>
          <w:color w:val="auto"/>
        </w:rPr>
      </w:pPr>
    </w:p>
    <w:p>
      <w:pPr>
        <w:pStyle w:val="135"/>
        <w:tabs>
          <w:tab w:val="clear" w:pos="5400"/>
        </w:tabs>
        <w:bidi w:val="0"/>
        <w:rPr>
          <w:rFonts w:hint="eastAsia"/>
          <w:color w:val="auto"/>
          <w:lang w:eastAsia="zh-CN"/>
        </w:rPr>
      </w:pPr>
      <w:r>
        <w:rPr>
          <w:color w:val="auto"/>
        </w:rPr>
        <w:t>表1-</w:t>
      </w:r>
      <w:r>
        <w:rPr>
          <w:color w:val="auto"/>
          <w:lang w:eastAsia="zh-CN"/>
        </w:rPr>
        <w:t>5</w:t>
      </w:r>
      <w:r>
        <w:rPr>
          <w:rFonts w:hint="eastAsia"/>
          <w:color w:val="auto"/>
          <w:lang w:eastAsia="zh-CN"/>
        </w:rPr>
        <w:t xml:space="preserve"> </w:t>
      </w:r>
      <w:r>
        <w:rPr>
          <w:color w:val="auto"/>
        </w:rPr>
        <w:t>评价因子和评价标准表</w:t>
      </w:r>
    </w:p>
    <w:tbl>
      <w:tblPr>
        <w:tblStyle w:val="3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1418"/>
        <w:gridCol w:w="2266"/>
        <w:gridCol w:w="3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896" w:type="pct"/>
            <w:noWrap w:val="0"/>
            <w:vAlign w:val="center"/>
          </w:tcPr>
          <w:p>
            <w:pPr>
              <w:pStyle w:val="195"/>
              <w:bidi w:val="0"/>
              <w:rPr>
                <w:color w:val="auto"/>
                <w:lang w:val="en-US" w:eastAsia="zh-CN"/>
              </w:rPr>
            </w:pPr>
            <w:r>
              <w:rPr>
                <w:color w:val="auto"/>
                <w:lang w:val="en-US" w:eastAsia="zh-CN"/>
              </w:rPr>
              <w:t>评价因子</w:t>
            </w:r>
          </w:p>
        </w:tc>
        <w:tc>
          <w:tcPr>
            <w:tcW w:w="832" w:type="pct"/>
            <w:noWrap w:val="0"/>
            <w:vAlign w:val="center"/>
          </w:tcPr>
          <w:p>
            <w:pPr>
              <w:pStyle w:val="195"/>
              <w:bidi w:val="0"/>
              <w:rPr>
                <w:color w:val="auto"/>
                <w:lang w:val="en-US" w:eastAsia="zh-CN"/>
              </w:rPr>
            </w:pPr>
            <w:r>
              <w:rPr>
                <w:color w:val="auto"/>
                <w:lang w:val="en-US" w:eastAsia="zh-CN"/>
              </w:rPr>
              <w:t>取值时间</w:t>
            </w:r>
          </w:p>
        </w:tc>
        <w:tc>
          <w:tcPr>
            <w:tcW w:w="1330" w:type="pct"/>
            <w:noWrap w:val="0"/>
            <w:vAlign w:val="center"/>
          </w:tcPr>
          <w:p>
            <w:pPr>
              <w:pStyle w:val="195"/>
              <w:bidi w:val="0"/>
              <w:rPr>
                <w:color w:val="auto"/>
                <w:lang w:val="en-US" w:eastAsia="zh-CN"/>
              </w:rPr>
            </w:pPr>
            <w:r>
              <w:rPr>
                <w:color w:val="auto"/>
                <w:lang w:val="en-US" w:eastAsia="zh-CN"/>
              </w:rPr>
              <w:t>标准值（μg/m</w:t>
            </w:r>
            <w:r>
              <w:rPr>
                <w:color w:val="auto"/>
                <w:vertAlign w:val="superscript"/>
                <w:lang w:val="en-US" w:eastAsia="zh-CN"/>
              </w:rPr>
              <w:t>3</w:t>
            </w:r>
            <w:r>
              <w:rPr>
                <w:color w:val="auto"/>
                <w:lang w:val="en-US" w:eastAsia="zh-CN"/>
              </w:rPr>
              <w:t>）</w:t>
            </w:r>
          </w:p>
        </w:tc>
        <w:tc>
          <w:tcPr>
            <w:tcW w:w="1942" w:type="pct"/>
            <w:noWrap w:val="0"/>
            <w:vAlign w:val="center"/>
          </w:tcPr>
          <w:p>
            <w:pPr>
              <w:pStyle w:val="195"/>
              <w:bidi w:val="0"/>
              <w:rPr>
                <w:color w:val="auto"/>
                <w:lang w:val="en-US" w:eastAsia="zh-CN"/>
              </w:rPr>
            </w:pPr>
            <w:r>
              <w:rPr>
                <w:color w:val="auto"/>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96" w:type="pct"/>
            <w:noWrap w:val="0"/>
            <w:vAlign w:val="center"/>
          </w:tcPr>
          <w:p>
            <w:pPr>
              <w:pStyle w:val="195"/>
              <w:bidi w:val="0"/>
              <w:rPr>
                <w:color w:val="auto"/>
                <w:lang w:val="en-US" w:eastAsia="zh-CN"/>
              </w:rPr>
            </w:pPr>
            <w:r>
              <w:rPr>
                <w:color w:val="auto"/>
                <w:lang w:val="en-US" w:eastAsia="zh-CN"/>
              </w:rPr>
              <w:t>PM</w:t>
            </w:r>
            <w:r>
              <w:rPr>
                <w:color w:val="auto"/>
                <w:vertAlign w:val="subscript"/>
                <w:lang w:val="en-US" w:eastAsia="zh-CN"/>
              </w:rPr>
              <w:t>10</w:t>
            </w:r>
          </w:p>
        </w:tc>
        <w:tc>
          <w:tcPr>
            <w:tcW w:w="832" w:type="pct"/>
            <w:noWrap w:val="0"/>
            <w:vAlign w:val="center"/>
          </w:tcPr>
          <w:p>
            <w:pPr>
              <w:pStyle w:val="195"/>
              <w:bidi w:val="0"/>
              <w:rPr>
                <w:color w:val="auto"/>
                <w:lang w:val="en-US" w:eastAsia="zh-CN"/>
              </w:rPr>
            </w:pPr>
            <w:r>
              <w:rPr>
                <w:color w:val="auto"/>
                <w:lang w:val="en-US" w:eastAsia="zh-CN"/>
              </w:rPr>
              <w:t>24h平均值</w:t>
            </w:r>
          </w:p>
        </w:tc>
        <w:tc>
          <w:tcPr>
            <w:tcW w:w="1330" w:type="pct"/>
            <w:noWrap w:val="0"/>
            <w:vAlign w:val="center"/>
          </w:tcPr>
          <w:p>
            <w:pPr>
              <w:pStyle w:val="195"/>
              <w:bidi w:val="0"/>
              <w:rPr>
                <w:color w:val="auto"/>
                <w:lang w:val="en-US" w:eastAsia="zh-CN"/>
              </w:rPr>
            </w:pPr>
            <w:r>
              <w:rPr>
                <w:color w:val="auto"/>
                <w:lang w:val="en-US" w:eastAsia="zh-CN"/>
              </w:rPr>
              <w:t>150</w:t>
            </w:r>
          </w:p>
        </w:tc>
        <w:tc>
          <w:tcPr>
            <w:tcW w:w="1942" w:type="pct"/>
            <w:vMerge w:val="restart"/>
            <w:noWrap w:val="0"/>
            <w:vAlign w:val="center"/>
          </w:tcPr>
          <w:p>
            <w:pPr>
              <w:pStyle w:val="195"/>
              <w:bidi w:val="0"/>
              <w:rPr>
                <w:color w:val="auto"/>
                <w:lang w:val="en-US" w:eastAsia="zh-CN"/>
              </w:rPr>
            </w:pPr>
            <w:r>
              <w:rPr>
                <w:color w:val="auto"/>
                <w:lang w:val="en-US" w:eastAsia="zh-CN"/>
              </w:rPr>
              <w:t>《环境空气质量标准》（GB3095-20</w:t>
            </w:r>
            <w:r>
              <w:rPr>
                <w:rFonts w:hint="eastAsia"/>
                <w:color w:val="auto"/>
                <w:lang w:val="en-US" w:eastAsia="zh-CN"/>
              </w:rPr>
              <w:t>26</w:t>
            </w:r>
            <w:r>
              <w:rPr>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96" w:type="pct"/>
            <w:noWrap w:val="0"/>
            <w:vAlign w:val="center"/>
          </w:tcPr>
          <w:p>
            <w:pPr>
              <w:pStyle w:val="195"/>
              <w:bidi w:val="0"/>
              <w:rPr>
                <w:color w:val="auto"/>
                <w:lang w:val="en-US" w:eastAsia="zh-CN"/>
              </w:rPr>
            </w:pPr>
            <w:r>
              <w:rPr>
                <w:color w:val="auto"/>
                <w:lang w:val="en-US" w:eastAsia="zh-CN"/>
              </w:rPr>
              <w:t>SO</w:t>
            </w:r>
            <w:r>
              <w:rPr>
                <w:color w:val="auto"/>
                <w:vertAlign w:val="subscript"/>
                <w:lang w:val="en-US" w:eastAsia="zh-CN"/>
              </w:rPr>
              <w:t>2</w:t>
            </w:r>
          </w:p>
        </w:tc>
        <w:tc>
          <w:tcPr>
            <w:tcW w:w="832" w:type="pct"/>
            <w:noWrap w:val="0"/>
            <w:vAlign w:val="center"/>
          </w:tcPr>
          <w:p>
            <w:pPr>
              <w:pStyle w:val="195"/>
              <w:bidi w:val="0"/>
              <w:rPr>
                <w:color w:val="auto"/>
                <w:lang w:val="en-US" w:eastAsia="zh-CN"/>
              </w:rPr>
            </w:pPr>
            <w:r>
              <w:rPr>
                <w:color w:val="auto"/>
                <w:lang w:val="en-US" w:eastAsia="zh-CN"/>
              </w:rPr>
              <w:t>1h平均值</w:t>
            </w:r>
          </w:p>
        </w:tc>
        <w:tc>
          <w:tcPr>
            <w:tcW w:w="1330" w:type="pct"/>
            <w:noWrap w:val="0"/>
            <w:vAlign w:val="center"/>
          </w:tcPr>
          <w:p>
            <w:pPr>
              <w:pStyle w:val="195"/>
              <w:bidi w:val="0"/>
              <w:rPr>
                <w:color w:val="auto"/>
                <w:lang w:val="en-US" w:eastAsia="zh-CN"/>
              </w:rPr>
            </w:pPr>
            <w:r>
              <w:rPr>
                <w:color w:val="auto"/>
                <w:lang w:val="en-US" w:eastAsia="zh-CN"/>
              </w:rPr>
              <w:t>500</w:t>
            </w:r>
          </w:p>
        </w:tc>
        <w:tc>
          <w:tcPr>
            <w:tcW w:w="1942" w:type="pct"/>
            <w:vMerge w:val="continue"/>
            <w:noWrap w:val="0"/>
            <w:vAlign w:val="center"/>
          </w:tcPr>
          <w:p>
            <w:pPr>
              <w:pStyle w:val="195"/>
              <w:bidi w:val="0"/>
              <w:rPr>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96" w:type="pct"/>
            <w:noWrap w:val="0"/>
            <w:vAlign w:val="center"/>
          </w:tcPr>
          <w:p>
            <w:pPr>
              <w:pStyle w:val="195"/>
              <w:bidi w:val="0"/>
              <w:rPr>
                <w:color w:val="auto"/>
                <w:lang w:val="en-US" w:eastAsia="zh-CN"/>
              </w:rPr>
            </w:pPr>
            <w:r>
              <w:rPr>
                <w:color w:val="auto"/>
                <w:lang w:val="en-US" w:eastAsia="zh-CN"/>
              </w:rPr>
              <w:t>NO</w:t>
            </w:r>
            <w:r>
              <w:rPr>
                <w:rFonts w:hint="eastAsia"/>
                <w:color w:val="auto"/>
                <w:lang w:val="en-US" w:eastAsia="zh-CN"/>
              </w:rPr>
              <w:t>x</w:t>
            </w:r>
          </w:p>
        </w:tc>
        <w:tc>
          <w:tcPr>
            <w:tcW w:w="832" w:type="pct"/>
            <w:noWrap w:val="0"/>
            <w:vAlign w:val="center"/>
          </w:tcPr>
          <w:p>
            <w:pPr>
              <w:pStyle w:val="195"/>
              <w:bidi w:val="0"/>
              <w:rPr>
                <w:color w:val="auto"/>
                <w:lang w:val="en-US" w:eastAsia="zh-CN"/>
              </w:rPr>
            </w:pPr>
            <w:r>
              <w:rPr>
                <w:color w:val="auto"/>
                <w:lang w:val="en-US" w:eastAsia="zh-CN"/>
              </w:rPr>
              <w:t>1h平均值</w:t>
            </w:r>
          </w:p>
        </w:tc>
        <w:tc>
          <w:tcPr>
            <w:tcW w:w="1330" w:type="pct"/>
            <w:noWrap w:val="0"/>
            <w:vAlign w:val="center"/>
          </w:tcPr>
          <w:p>
            <w:pPr>
              <w:pStyle w:val="195"/>
              <w:bidi w:val="0"/>
              <w:rPr>
                <w:color w:val="auto"/>
                <w:lang w:val="en-US" w:eastAsia="zh-CN"/>
              </w:rPr>
            </w:pPr>
            <w:r>
              <w:rPr>
                <w:color w:val="auto"/>
                <w:lang w:val="en-US" w:eastAsia="zh-CN"/>
              </w:rPr>
              <w:t>250</w:t>
            </w:r>
          </w:p>
        </w:tc>
        <w:tc>
          <w:tcPr>
            <w:tcW w:w="1942" w:type="pct"/>
            <w:vMerge w:val="continue"/>
            <w:noWrap w:val="0"/>
            <w:vAlign w:val="center"/>
          </w:tcPr>
          <w:p>
            <w:pPr>
              <w:pStyle w:val="195"/>
              <w:bidi w:val="0"/>
              <w:rPr>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96" w:type="pct"/>
            <w:noWrap w:val="0"/>
            <w:vAlign w:val="center"/>
          </w:tcPr>
          <w:p>
            <w:pPr>
              <w:pStyle w:val="195"/>
              <w:bidi w:val="0"/>
              <w:rPr>
                <w:color w:val="auto"/>
                <w:lang w:val="en-US" w:eastAsia="zh-CN"/>
              </w:rPr>
            </w:pPr>
            <w:r>
              <w:rPr>
                <w:color w:val="auto"/>
                <w:lang w:val="en-US" w:eastAsia="zh-CN"/>
              </w:rPr>
              <w:t>TSP</w:t>
            </w:r>
          </w:p>
        </w:tc>
        <w:tc>
          <w:tcPr>
            <w:tcW w:w="832" w:type="pct"/>
            <w:noWrap w:val="0"/>
            <w:vAlign w:val="center"/>
          </w:tcPr>
          <w:p>
            <w:pPr>
              <w:pStyle w:val="195"/>
              <w:bidi w:val="0"/>
              <w:rPr>
                <w:color w:val="auto"/>
                <w:lang w:val="en-US" w:eastAsia="zh-CN"/>
              </w:rPr>
            </w:pPr>
            <w:r>
              <w:rPr>
                <w:color w:val="auto"/>
                <w:lang w:val="en-US" w:eastAsia="zh-CN"/>
              </w:rPr>
              <w:t>24h平均值</w:t>
            </w:r>
          </w:p>
        </w:tc>
        <w:tc>
          <w:tcPr>
            <w:tcW w:w="1330" w:type="pct"/>
            <w:noWrap w:val="0"/>
            <w:vAlign w:val="center"/>
          </w:tcPr>
          <w:p>
            <w:pPr>
              <w:pStyle w:val="195"/>
              <w:bidi w:val="0"/>
              <w:rPr>
                <w:color w:val="auto"/>
                <w:lang w:val="en-US" w:eastAsia="zh-CN"/>
              </w:rPr>
            </w:pPr>
            <w:r>
              <w:rPr>
                <w:color w:val="auto"/>
                <w:lang w:val="en-US" w:eastAsia="zh-CN"/>
              </w:rPr>
              <w:t>300</w:t>
            </w:r>
          </w:p>
        </w:tc>
        <w:tc>
          <w:tcPr>
            <w:tcW w:w="1942" w:type="pct"/>
            <w:vMerge w:val="continue"/>
            <w:noWrap w:val="0"/>
            <w:vAlign w:val="center"/>
          </w:tcPr>
          <w:p>
            <w:pPr>
              <w:pStyle w:val="195"/>
              <w:bidi w:val="0"/>
              <w:rPr>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96" w:type="pct"/>
            <w:noWrap w:val="0"/>
            <w:vAlign w:val="center"/>
          </w:tcPr>
          <w:p>
            <w:pPr>
              <w:pStyle w:val="195"/>
              <w:bidi w:val="0"/>
              <w:rPr>
                <w:color w:val="auto"/>
                <w:lang w:val="en-US" w:eastAsia="zh-CN"/>
              </w:rPr>
            </w:pPr>
            <w:r>
              <w:rPr>
                <w:color w:val="auto"/>
                <w:lang w:val="en-US" w:eastAsia="zh-CN"/>
              </w:rPr>
              <w:t>苯并[a]芘</w:t>
            </w:r>
          </w:p>
        </w:tc>
        <w:tc>
          <w:tcPr>
            <w:tcW w:w="832" w:type="pct"/>
            <w:noWrap w:val="0"/>
            <w:vAlign w:val="center"/>
          </w:tcPr>
          <w:p>
            <w:pPr>
              <w:pStyle w:val="195"/>
              <w:bidi w:val="0"/>
              <w:rPr>
                <w:color w:val="auto"/>
                <w:lang w:val="en-US" w:eastAsia="zh-CN"/>
              </w:rPr>
            </w:pPr>
            <w:r>
              <w:rPr>
                <w:color w:val="auto"/>
                <w:lang w:val="en-US" w:eastAsia="zh-CN"/>
              </w:rPr>
              <w:t>24h平均值</w:t>
            </w:r>
          </w:p>
        </w:tc>
        <w:tc>
          <w:tcPr>
            <w:tcW w:w="1330" w:type="pct"/>
            <w:noWrap w:val="0"/>
            <w:vAlign w:val="center"/>
          </w:tcPr>
          <w:p>
            <w:pPr>
              <w:pStyle w:val="195"/>
              <w:bidi w:val="0"/>
              <w:rPr>
                <w:color w:val="auto"/>
                <w:lang w:val="en-US" w:eastAsia="zh-CN"/>
              </w:rPr>
            </w:pPr>
            <w:r>
              <w:rPr>
                <w:rFonts w:hint="eastAsia"/>
                <w:color w:val="auto"/>
                <w:lang w:val="en-US" w:eastAsia="zh-CN"/>
              </w:rPr>
              <w:t>0.0025</w:t>
            </w:r>
          </w:p>
        </w:tc>
        <w:tc>
          <w:tcPr>
            <w:tcW w:w="1942" w:type="pct"/>
            <w:vMerge w:val="continue"/>
            <w:noWrap w:val="0"/>
            <w:vAlign w:val="center"/>
          </w:tcPr>
          <w:p>
            <w:pPr>
              <w:pStyle w:val="195"/>
              <w:bidi w:val="0"/>
              <w:rPr>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96" w:type="pct"/>
            <w:noWrap w:val="0"/>
            <w:vAlign w:val="center"/>
          </w:tcPr>
          <w:p>
            <w:pPr>
              <w:pStyle w:val="195"/>
              <w:bidi w:val="0"/>
              <w:rPr>
                <w:color w:val="auto"/>
                <w:lang w:val="en-US" w:eastAsia="zh-CN"/>
              </w:rPr>
            </w:pPr>
            <w:r>
              <w:rPr>
                <w:color w:val="auto"/>
                <w:lang w:val="en-US" w:eastAsia="zh-CN"/>
              </w:rPr>
              <w:t>沥青烟</w:t>
            </w:r>
          </w:p>
        </w:tc>
        <w:tc>
          <w:tcPr>
            <w:tcW w:w="832" w:type="pct"/>
            <w:noWrap w:val="0"/>
            <w:vAlign w:val="center"/>
          </w:tcPr>
          <w:p>
            <w:pPr>
              <w:pStyle w:val="195"/>
              <w:bidi w:val="0"/>
              <w:rPr>
                <w:color w:val="auto"/>
                <w:lang w:val="en-US" w:eastAsia="zh-CN"/>
              </w:rPr>
            </w:pPr>
            <w:r>
              <w:rPr>
                <w:color w:val="auto"/>
                <w:lang w:val="en-US" w:eastAsia="zh-CN"/>
              </w:rPr>
              <w:t>24h平均值</w:t>
            </w:r>
          </w:p>
        </w:tc>
        <w:tc>
          <w:tcPr>
            <w:tcW w:w="1330" w:type="pct"/>
            <w:tcBorders>
              <w:bottom w:val="single" w:color="auto" w:sz="4" w:space="0"/>
            </w:tcBorders>
            <w:noWrap w:val="0"/>
            <w:vAlign w:val="center"/>
          </w:tcPr>
          <w:p>
            <w:pPr>
              <w:pStyle w:val="195"/>
              <w:bidi w:val="0"/>
              <w:rPr>
                <w:color w:val="auto"/>
                <w:lang w:val="en-US" w:eastAsia="zh-CN"/>
              </w:rPr>
            </w:pPr>
            <w:r>
              <w:rPr>
                <w:rFonts w:hint="eastAsia"/>
                <w:color w:val="auto"/>
                <w:lang w:val="en-US" w:eastAsia="zh-CN"/>
              </w:rPr>
              <w:t>63.7</w:t>
            </w:r>
          </w:p>
        </w:tc>
        <w:tc>
          <w:tcPr>
            <w:tcW w:w="1942" w:type="pct"/>
            <w:tcBorders>
              <w:bottom w:val="single" w:color="auto" w:sz="4" w:space="0"/>
            </w:tcBorders>
            <w:noWrap w:val="0"/>
            <w:vAlign w:val="center"/>
          </w:tcPr>
          <w:p>
            <w:pPr>
              <w:pStyle w:val="195"/>
              <w:bidi w:val="0"/>
              <w:rPr>
                <w:color w:val="auto"/>
                <w:lang w:val="en-US" w:eastAsia="zh-CN"/>
              </w:rPr>
            </w:pPr>
            <w:r>
              <w:rPr>
                <w:color w:val="auto"/>
                <w:lang w:val="en-US" w:eastAsia="zh-CN"/>
              </w:rPr>
              <w:t>《大气污染物综合排放标准详解》中原苏联居住区最大一次浓度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96" w:type="pct"/>
            <w:noWrap w:val="0"/>
            <w:vAlign w:val="center"/>
          </w:tcPr>
          <w:p>
            <w:pPr>
              <w:pStyle w:val="195"/>
              <w:bidi w:val="0"/>
              <w:rPr>
                <w:color w:val="auto"/>
                <w:lang w:val="en-US" w:eastAsia="zh-CN"/>
              </w:rPr>
            </w:pPr>
            <w:r>
              <w:rPr>
                <w:color w:val="auto"/>
                <w:lang w:val="en-US" w:eastAsia="zh-CN"/>
              </w:rPr>
              <w:t>非甲烷总烃</w:t>
            </w:r>
          </w:p>
        </w:tc>
        <w:tc>
          <w:tcPr>
            <w:tcW w:w="832" w:type="pct"/>
            <w:noWrap w:val="0"/>
            <w:vAlign w:val="center"/>
          </w:tcPr>
          <w:p>
            <w:pPr>
              <w:pStyle w:val="195"/>
              <w:bidi w:val="0"/>
              <w:rPr>
                <w:color w:val="auto"/>
                <w:lang w:val="en-US" w:eastAsia="zh-CN"/>
              </w:rPr>
            </w:pPr>
            <w:r>
              <w:rPr>
                <w:color w:val="auto"/>
                <w:lang w:val="en-US" w:eastAsia="zh-CN"/>
              </w:rPr>
              <w:t>1h平均值</w:t>
            </w:r>
          </w:p>
        </w:tc>
        <w:tc>
          <w:tcPr>
            <w:tcW w:w="1330" w:type="pct"/>
            <w:tcBorders>
              <w:top w:val="single" w:color="auto" w:sz="4" w:space="0"/>
            </w:tcBorders>
            <w:noWrap w:val="0"/>
            <w:vAlign w:val="center"/>
          </w:tcPr>
          <w:p>
            <w:pPr>
              <w:pStyle w:val="195"/>
              <w:bidi w:val="0"/>
              <w:rPr>
                <w:color w:val="auto"/>
                <w:lang w:val="en-US" w:eastAsia="zh-CN"/>
              </w:rPr>
            </w:pPr>
            <w:r>
              <w:rPr>
                <w:rFonts w:hint="eastAsia"/>
                <w:color w:val="auto"/>
                <w:lang w:val="en-US" w:eastAsia="zh-CN"/>
              </w:rPr>
              <w:t>2000</w:t>
            </w:r>
          </w:p>
        </w:tc>
        <w:tc>
          <w:tcPr>
            <w:tcW w:w="1942" w:type="pct"/>
            <w:tcBorders>
              <w:top w:val="single" w:color="auto" w:sz="4" w:space="0"/>
            </w:tcBorders>
            <w:noWrap w:val="0"/>
            <w:vAlign w:val="center"/>
          </w:tcPr>
          <w:p>
            <w:pPr>
              <w:pStyle w:val="195"/>
              <w:bidi w:val="0"/>
              <w:rPr>
                <w:rFonts w:hint="eastAsia"/>
                <w:color w:val="auto"/>
                <w:lang w:val="en-US" w:eastAsia="zh-CN"/>
              </w:rPr>
            </w:pPr>
            <w:r>
              <w:rPr>
                <w:rFonts w:hint="eastAsia"/>
                <w:color w:val="auto"/>
                <w:lang w:val="en-US" w:eastAsia="zh-CN"/>
              </w:rPr>
              <w:t>《大气污染物综合排放标准详解》</w:t>
            </w:r>
          </w:p>
        </w:tc>
      </w:tr>
    </w:tbl>
    <w:p>
      <w:pPr>
        <w:pStyle w:val="135"/>
        <w:tabs>
          <w:tab w:val="clear" w:pos="5400"/>
        </w:tabs>
        <w:bidi w:val="0"/>
        <w:rPr>
          <w:color w:val="auto"/>
        </w:rPr>
      </w:pPr>
      <w:r>
        <w:rPr>
          <w:color w:val="auto"/>
        </w:rPr>
        <w:t>表1-6</w:t>
      </w:r>
      <w:r>
        <w:rPr>
          <w:rFonts w:hint="eastAsia"/>
          <w:color w:val="auto"/>
        </w:rPr>
        <w:t xml:space="preserve"> </w:t>
      </w:r>
      <w:r>
        <w:rPr>
          <w:color w:val="auto"/>
        </w:rPr>
        <w:t>估算模型参数表</w:t>
      </w:r>
    </w:p>
    <w:tbl>
      <w:tblPr>
        <w:tblStyle w:val="34"/>
        <w:tblW w:w="8527"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93"/>
        <w:gridCol w:w="2782"/>
        <w:gridCol w:w="40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 w:hRule="atLeast"/>
        </w:trPr>
        <w:tc>
          <w:tcPr>
            <w:tcW w:w="4475" w:type="dxa"/>
            <w:gridSpan w:val="2"/>
            <w:noWrap w:val="0"/>
            <w:vAlign w:val="center"/>
          </w:tcPr>
          <w:p>
            <w:pPr>
              <w:pStyle w:val="195"/>
              <w:bidi w:val="0"/>
              <w:rPr>
                <w:color w:val="auto"/>
              </w:rPr>
            </w:pPr>
            <w:r>
              <w:rPr>
                <w:color w:val="auto"/>
              </w:rPr>
              <w:t>参数</w:t>
            </w:r>
          </w:p>
        </w:tc>
        <w:tc>
          <w:tcPr>
            <w:tcW w:w="4052" w:type="dxa"/>
            <w:noWrap w:val="0"/>
            <w:vAlign w:val="center"/>
          </w:tcPr>
          <w:p>
            <w:pPr>
              <w:pStyle w:val="195"/>
              <w:bidi w:val="0"/>
              <w:rPr>
                <w:color w:val="auto"/>
              </w:rPr>
            </w:pPr>
            <w:r>
              <w:rPr>
                <w:color w:val="auto"/>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restart"/>
            <w:noWrap w:val="0"/>
            <w:vAlign w:val="center"/>
          </w:tcPr>
          <w:p>
            <w:pPr>
              <w:pStyle w:val="195"/>
              <w:bidi w:val="0"/>
              <w:rPr>
                <w:color w:val="auto"/>
              </w:rPr>
            </w:pPr>
            <w:r>
              <w:rPr>
                <w:color w:val="auto"/>
              </w:rPr>
              <w:t>城市/农村选项</w:t>
            </w:r>
          </w:p>
        </w:tc>
        <w:tc>
          <w:tcPr>
            <w:tcW w:w="2721" w:type="dxa"/>
            <w:noWrap w:val="0"/>
            <w:vAlign w:val="center"/>
          </w:tcPr>
          <w:p>
            <w:pPr>
              <w:pStyle w:val="195"/>
              <w:bidi w:val="0"/>
              <w:rPr>
                <w:rFonts w:ascii="Times New Roman" w:hAnsi="Times New Roman" w:eastAsia="宋体" w:cs="Times New Roman"/>
                <w:color w:val="auto"/>
              </w:rPr>
            </w:pPr>
            <w:r>
              <w:rPr>
                <w:rFonts w:ascii="Times New Roman" w:hAnsi="Times New Roman" w:eastAsia="宋体" w:cs="Times New Roman"/>
                <w:color w:val="auto"/>
              </w:rPr>
              <w:t>城市/农村</w:t>
            </w:r>
          </w:p>
        </w:tc>
        <w:tc>
          <w:tcPr>
            <w:tcW w:w="4052" w:type="dxa"/>
            <w:noWrap w:val="0"/>
            <w:vAlign w:val="center"/>
          </w:tcPr>
          <w:p>
            <w:pPr>
              <w:pStyle w:val="195"/>
              <w:bidi w:val="0"/>
              <w:rPr>
                <w:rFonts w:ascii="Times New Roman" w:hAnsi="Times New Roman" w:eastAsia="宋体" w:cs="Times New Roman"/>
                <w:color w:val="auto"/>
              </w:rPr>
            </w:pPr>
            <w:r>
              <w:rPr>
                <w:rFonts w:hint="default" w:ascii="Times New Roman" w:hAnsi="Times New Roman" w:eastAsia="宋体" w:cs="Times New Roman"/>
                <w:color w:val="auto"/>
              </w:rPr>
              <w:t>根据《环境影响评价技术导则大气环境》（HJ2.2-2018）附录B中B.6.1城市/农村选项：“当项目周边3km半径范围内一半以上面积属于城市建成区或者规划区时，选择城市，否则选择农村”。根据对本项目厂址周边3km半径范围内的为农村，故本次评价选取农村选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continue"/>
            <w:noWrap w:val="0"/>
            <w:vAlign w:val="center"/>
          </w:tcPr>
          <w:p>
            <w:pPr>
              <w:pStyle w:val="195"/>
              <w:bidi w:val="0"/>
              <w:rPr>
                <w:color w:val="auto"/>
              </w:rPr>
            </w:pPr>
          </w:p>
        </w:tc>
        <w:tc>
          <w:tcPr>
            <w:tcW w:w="2721" w:type="dxa"/>
            <w:noWrap w:val="0"/>
            <w:vAlign w:val="center"/>
          </w:tcPr>
          <w:p>
            <w:pPr>
              <w:pStyle w:val="195"/>
              <w:bidi w:val="0"/>
              <w:rPr>
                <w:color w:val="auto"/>
              </w:rPr>
            </w:pPr>
            <w:r>
              <w:rPr>
                <w:color w:val="auto"/>
              </w:rPr>
              <w:t>人口数(城市人口数)</w:t>
            </w:r>
          </w:p>
        </w:tc>
        <w:tc>
          <w:tcPr>
            <w:tcW w:w="4052" w:type="dxa"/>
            <w:noWrap w:val="0"/>
            <w:vAlign w:val="center"/>
          </w:tcPr>
          <w:p>
            <w:pPr>
              <w:pStyle w:val="195"/>
              <w:bidi w:val="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4475" w:type="dxa"/>
            <w:gridSpan w:val="2"/>
            <w:noWrap w:val="0"/>
            <w:vAlign w:val="center"/>
          </w:tcPr>
          <w:p>
            <w:pPr>
              <w:pStyle w:val="195"/>
              <w:bidi w:val="0"/>
              <w:rPr>
                <w:color w:val="auto"/>
              </w:rPr>
            </w:pPr>
            <w:r>
              <w:rPr>
                <w:color w:val="auto"/>
              </w:rPr>
              <w:t>最高环境温度</w:t>
            </w:r>
          </w:p>
        </w:tc>
        <w:tc>
          <w:tcPr>
            <w:tcW w:w="4052" w:type="dxa"/>
            <w:noWrap w:val="0"/>
            <w:vAlign w:val="center"/>
          </w:tcPr>
          <w:p>
            <w:pPr>
              <w:pStyle w:val="195"/>
              <w:bidi w:val="0"/>
              <w:rPr>
                <w:rFonts w:hint="default" w:eastAsia="宋体"/>
                <w:color w:val="auto"/>
                <w:lang w:val="en-US" w:eastAsia="zh-CN"/>
              </w:rPr>
            </w:pPr>
            <w:r>
              <w:rPr>
                <w:rFonts w:hint="eastAsia"/>
                <w:color w:val="auto"/>
              </w:rPr>
              <w:t>3</w:t>
            </w:r>
            <w:r>
              <w:rPr>
                <w:rFonts w:hint="eastAsia"/>
                <w:color w:val="auto"/>
                <w:lang w:val="en-US" w:eastAsia="zh-CN"/>
              </w:rPr>
              <w:t>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4475" w:type="dxa"/>
            <w:gridSpan w:val="2"/>
            <w:noWrap w:val="0"/>
            <w:vAlign w:val="center"/>
          </w:tcPr>
          <w:p>
            <w:pPr>
              <w:pStyle w:val="195"/>
              <w:bidi w:val="0"/>
              <w:rPr>
                <w:color w:val="auto"/>
              </w:rPr>
            </w:pPr>
            <w:r>
              <w:rPr>
                <w:color w:val="auto"/>
              </w:rPr>
              <w:t>最低环境温度</w:t>
            </w:r>
          </w:p>
        </w:tc>
        <w:tc>
          <w:tcPr>
            <w:tcW w:w="4052" w:type="dxa"/>
            <w:noWrap w:val="0"/>
            <w:vAlign w:val="center"/>
          </w:tcPr>
          <w:p>
            <w:pPr>
              <w:pStyle w:val="195"/>
              <w:bidi w:val="0"/>
              <w:rPr>
                <w:rFonts w:hint="default" w:eastAsia="宋体"/>
                <w:color w:val="auto"/>
                <w:lang w:val="en-US" w:eastAsia="zh-CN"/>
              </w:rPr>
            </w:pPr>
            <w:r>
              <w:rPr>
                <w:color w:val="auto"/>
              </w:rPr>
              <w:t>-</w:t>
            </w:r>
            <w:r>
              <w:rPr>
                <w:rFonts w:hint="eastAsia"/>
                <w:color w:val="auto"/>
                <w:lang w:val="en-US" w:eastAsia="zh-CN"/>
              </w:rPr>
              <w:t>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4475" w:type="dxa"/>
            <w:gridSpan w:val="2"/>
            <w:noWrap w:val="0"/>
            <w:vAlign w:val="center"/>
          </w:tcPr>
          <w:p>
            <w:pPr>
              <w:pStyle w:val="195"/>
              <w:bidi w:val="0"/>
              <w:rPr>
                <w:color w:val="auto"/>
              </w:rPr>
            </w:pPr>
            <w:r>
              <w:rPr>
                <w:color w:val="auto"/>
              </w:rPr>
              <w:t>土地利用类型</w:t>
            </w:r>
          </w:p>
        </w:tc>
        <w:tc>
          <w:tcPr>
            <w:tcW w:w="4052" w:type="dxa"/>
            <w:noWrap w:val="0"/>
            <w:vAlign w:val="center"/>
          </w:tcPr>
          <w:p>
            <w:pPr>
              <w:pStyle w:val="195"/>
              <w:bidi w:val="0"/>
              <w:rPr>
                <w:color w:val="auto"/>
              </w:rPr>
            </w:pPr>
            <w:r>
              <w:rPr>
                <w:color w:val="auto"/>
              </w:rPr>
              <w:t>农田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4475" w:type="dxa"/>
            <w:gridSpan w:val="2"/>
            <w:noWrap w:val="0"/>
            <w:vAlign w:val="center"/>
          </w:tcPr>
          <w:p>
            <w:pPr>
              <w:pStyle w:val="195"/>
              <w:bidi w:val="0"/>
              <w:rPr>
                <w:color w:val="auto"/>
              </w:rPr>
            </w:pPr>
            <w:r>
              <w:rPr>
                <w:color w:val="auto"/>
              </w:rPr>
              <w:t>区域湿度条件</w:t>
            </w:r>
          </w:p>
        </w:tc>
        <w:tc>
          <w:tcPr>
            <w:tcW w:w="4052" w:type="dxa"/>
            <w:noWrap w:val="0"/>
            <w:vAlign w:val="center"/>
          </w:tcPr>
          <w:p>
            <w:pPr>
              <w:pStyle w:val="195"/>
              <w:bidi w:val="0"/>
              <w:rPr>
                <w:color w:val="auto"/>
              </w:rPr>
            </w:pPr>
            <w:r>
              <w:rPr>
                <w:rFonts w:hint="eastAsia"/>
                <w:color w:val="auto"/>
              </w:rPr>
              <w:t>中等</w:t>
            </w:r>
            <w:r>
              <w:rPr>
                <w:color w:val="auto"/>
              </w:rPr>
              <w:t>湿度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restart"/>
            <w:noWrap w:val="0"/>
            <w:vAlign w:val="center"/>
          </w:tcPr>
          <w:p>
            <w:pPr>
              <w:pStyle w:val="195"/>
              <w:bidi w:val="0"/>
              <w:rPr>
                <w:color w:val="auto"/>
              </w:rPr>
            </w:pPr>
            <w:r>
              <w:rPr>
                <w:color w:val="auto"/>
              </w:rPr>
              <w:t>是否考虑地形</w:t>
            </w:r>
          </w:p>
        </w:tc>
        <w:tc>
          <w:tcPr>
            <w:tcW w:w="2721" w:type="dxa"/>
            <w:noWrap w:val="0"/>
            <w:vAlign w:val="center"/>
          </w:tcPr>
          <w:p>
            <w:pPr>
              <w:pStyle w:val="195"/>
              <w:bidi w:val="0"/>
              <w:rPr>
                <w:color w:val="auto"/>
              </w:rPr>
            </w:pPr>
            <w:r>
              <w:rPr>
                <w:color w:val="auto"/>
              </w:rPr>
              <w:t>考虑地形</w:t>
            </w:r>
          </w:p>
        </w:tc>
        <w:tc>
          <w:tcPr>
            <w:tcW w:w="4052" w:type="dxa"/>
            <w:noWrap w:val="0"/>
            <w:vAlign w:val="center"/>
          </w:tcPr>
          <w:p>
            <w:pPr>
              <w:pStyle w:val="195"/>
              <w:bidi w:val="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continue"/>
            <w:noWrap w:val="0"/>
            <w:vAlign w:val="center"/>
          </w:tcPr>
          <w:p>
            <w:pPr>
              <w:pStyle w:val="195"/>
              <w:bidi w:val="0"/>
              <w:rPr>
                <w:color w:val="auto"/>
              </w:rPr>
            </w:pPr>
          </w:p>
        </w:tc>
        <w:tc>
          <w:tcPr>
            <w:tcW w:w="2721" w:type="dxa"/>
            <w:noWrap w:val="0"/>
            <w:vAlign w:val="center"/>
          </w:tcPr>
          <w:p>
            <w:pPr>
              <w:pStyle w:val="195"/>
              <w:bidi w:val="0"/>
              <w:rPr>
                <w:color w:val="auto"/>
              </w:rPr>
            </w:pPr>
            <w:r>
              <w:rPr>
                <w:color w:val="auto"/>
              </w:rPr>
              <w:t>地形数据分辨率(m)</w:t>
            </w:r>
          </w:p>
        </w:tc>
        <w:tc>
          <w:tcPr>
            <w:tcW w:w="4052" w:type="dxa"/>
            <w:noWrap w:val="0"/>
            <w:vAlign w:val="center"/>
          </w:tcPr>
          <w:p>
            <w:pPr>
              <w:pStyle w:val="195"/>
              <w:bidi w:val="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restart"/>
            <w:noWrap w:val="0"/>
            <w:vAlign w:val="center"/>
          </w:tcPr>
          <w:p>
            <w:pPr>
              <w:pStyle w:val="195"/>
              <w:bidi w:val="0"/>
              <w:rPr>
                <w:color w:val="auto"/>
              </w:rPr>
            </w:pPr>
            <w:r>
              <w:rPr>
                <w:color w:val="auto"/>
              </w:rPr>
              <w:t>是否考虑岸线熏烟</w:t>
            </w:r>
          </w:p>
        </w:tc>
        <w:tc>
          <w:tcPr>
            <w:tcW w:w="2721" w:type="dxa"/>
            <w:noWrap w:val="0"/>
            <w:vAlign w:val="center"/>
          </w:tcPr>
          <w:p>
            <w:pPr>
              <w:pStyle w:val="195"/>
              <w:bidi w:val="0"/>
              <w:rPr>
                <w:color w:val="auto"/>
              </w:rPr>
            </w:pPr>
            <w:r>
              <w:rPr>
                <w:color w:val="auto"/>
              </w:rPr>
              <w:t>考虑岸线熏烟</w:t>
            </w:r>
          </w:p>
        </w:tc>
        <w:tc>
          <w:tcPr>
            <w:tcW w:w="4052" w:type="dxa"/>
            <w:noWrap w:val="0"/>
            <w:vAlign w:val="center"/>
          </w:tcPr>
          <w:p>
            <w:pPr>
              <w:pStyle w:val="195"/>
              <w:bidi w:val="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continue"/>
            <w:noWrap w:val="0"/>
            <w:vAlign w:val="center"/>
          </w:tcPr>
          <w:p>
            <w:pPr>
              <w:pStyle w:val="195"/>
              <w:bidi w:val="0"/>
              <w:rPr>
                <w:color w:val="auto"/>
              </w:rPr>
            </w:pPr>
          </w:p>
        </w:tc>
        <w:tc>
          <w:tcPr>
            <w:tcW w:w="2721" w:type="dxa"/>
            <w:noWrap w:val="0"/>
            <w:vAlign w:val="center"/>
          </w:tcPr>
          <w:p>
            <w:pPr>
              <w:pStyle w:val="195"/>
              <w:bidi w:val="0"/>
              <w:rPr>
                <w:color w:val="auto"/>
              </w:rPr>
            </w:pPr>
            <w:r>
              <w:rPr>
                <w:color w:val="auto"/>
              </w:rPr>
              <w:t>岸线距离/m</w:t>
            </w:r>
          </w:p>
        </w:tc>
        <w:tc>
          <w:tcPr>
            <w:tcW w:w="4052" w:type="dxa"/>
            <w:noWrap w:val="0"/>
            <w:vAlign w:val="center"/>
          </w:tcPr>
          <w:p>
            <w:pPr>
              <w:pStyle w:val="195"/>
              <w:bidi w:val="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0" w:type="auto"/>
            <w:vMerge w:val="continue"/>
            <w:noWrap w:val="0"/>
            <w:vAlign w:val="center"/>
          </w:tcPr>
          <w:p>
            <w:pPr>
              <w:pStyle w:val="195"/>
              <w:bidi w:val="0"/>
              <w:rPr>
                <w:color w:val="auto"/>
              </w:rPr>
            </w:pPr>
          </w:p>
        </w:tc>
        <w:tc>
          <w:tcPr>
            <w:tcW w:w="2721" w:type="dxa"/>
            <w:noWrap w:val="0"/>
            <w:vAlign w:val="center"/>
          </w:tcPr>
          <w:p>
            <w:pPr>
              <w:pStyle w:val="195"/>
              <w:bidi w:val="0"/>
              <w:rPr>
                <w:color w:val="auto"/>
              </w:rPr>
            </w:pPr>
            <w:r>
              <w:rPr>
                <w:color w:val="auto"/>
              </w:rPr>
              <w:t>岸线方向/°</w:t>
            </w:r>
          </w:p>
        </w:tc>
        <w:tc>
          <w:tcPr>
            <w:tcW w:w="4052" w:type="dxa"/>
            <w:noWrap w:val="0"/>
            <w:vAlign w:val="center"/>
          </w:tcPr>
          <w:p>
            <w:pPr>
              <w:pStyle w:val="195"/>
              <w:bidi w:val="0"/>
              <w:rPr>
                <w:color w:val="auto"/>
              </w:rPr>
            </w:pPr>
            <w:r>
              <w:rPr>
                <w:color w:val="auto"/>
              </w:rPr>
              <w:t>/</w:t>
            </w:r>
          </w:p>
        </w:tc>
      </w:tr>
    </w:tbl>
    <w:p>
      <w:pPr>
        <w:pStyle w:val="135"/>
        <w:tabs>
          <w:tab w:val="clear" w:pos="5400"/>
        </w:tabs>
        <w:bidi w:val="0"/>
        <w:rPr>
          <w:color w:val="auto"/>
        </w:rPr>
      </w:pPr>
      <w:r>
        <w:rPr>
          <w:color w:val="auto"/>
        </w:rPr>
        <w:t>表1-</w:t>
      </w:r>
      <w:r>
        <w:rPr>
          <w:color w:val="auto"/>
          <w:lang w:eastAsia="zh-CN"/>
        </w:rPr>
        <w:t>7</w:t>
      </w:r>
      <w:r>
        <w:rPr>
          <w:rFonts w:hint="eastAsia"/>
          <w:color w:val="auto"/>
          <w:lang w:eastAsia="zh-CN"/>
        </w:rPr>
        <w:t xml:space="preserve"> 点源</w:t>
      </w:r>
      <w:r>
        <w:rPr>
          <w:color w:val="auto"/>
        </w:rPr>
        <w:t>预测参数表</w:t>
      </w:r>
    </w:p>
    <w:tbl>
      <w:tblPr>
        <w:tblStyle w:val="34"/>
        <w:tblW w:w="49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71"/>
        <w:gridCol w:w="652"/>
        <w:gridCol w:w="813"/>
        <w:gridCol w:w="724"/>
        <w:gridCol w:w="542"/>
        <w:gridCol w:w="453"/>
        <w:gridCol w:w="453"/>
        <w:gridCol w:w="451"/>
        <w:gridCol w:w="360"/>
        <w:gridCol w:w="453"/>
        <w:gridCol w:w="362"/>
        <w:gridCol w:w="509"/>
        <w:gridCol w:w="633"/>
        <w:gridCol w:w="632"/>
        <w:gridCol w:w="632"/>
        <w:gridCol w:w="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2" w:type="pct"/>
            <w:vMerge w:val="restart"/>
            <w:noWrap w:val="0"/>
            <w:vAlign w:val="center"/>
          </w:tcPr>
          <w:p>
            <w:pPr>
              <w:pStyle w:val="195"/>
              <w:bidi w:val="0"/>
              <w:rPr>
                <w:color w:val="auto"/>
                <w:lang w:val="en-US" w:eastAsia="zh-CN"/>
              </w:rPr>
            </w:pPr>
            <w:r>
              <w:rPr>
                <w:color w:val="auto"/>
                <w:lang w:val="en-US" w:eastAsia="zh-CN"/>
              </w:rPr>
              <w:t>编号</w:t>
            </w:r>
          </w:p>
        </w:tc>
        <w:tc>
          <w:tcPr>
            <w:tcW w:w="390" w:type="pct"/>
            <w:vMerge w:val="restart"/>
            <w:noWrap w:val="0"/>
            <w:vAlign w:val="center"/>
          </w:tcPr>
          <w:p>
            <w:pPr>
              <w:pStyle w:val="195"/>
              <w:bidi w:val="0"/>
              <w:rPr>
                <w:color w:val="auto"/>
                <w:lang w:val="en-US" w:eastAsia="zh-CN"/>
              </w:rPr>
            </w:pPr>
            <w:r>
              <w:rPr>
                <w:color w:val="auto"/>
                <w:lang w:val="en-US" w:eastAsia="zh-CN"/>
              </w:rPr>
              <w:t>名称</w:t>
            </w:r>
          </w:p>
        </w:tc>
        <w:tc>
          <w:tcPr>
            <w:tcW w:w="919" w:type="pct"/>
            <w:gridSpan w:val="2"/>
            <w:noWrap w:val="0"/>
            <w:vAlign w:val="center"/>
          </w:tcPr>
          <w:p>
            <w:pPr>
              <w:pStyle w:val="195"/>
              <w:bidi w:val="0"/>
              <w:rPr>
                <w:color w:val="auto"/>
                <w:lang w:val="en-US" w:eastAsia="zh-CN"/>
              </w:rPr>
            </w:pPr>
            <w:r>
              <w:rPr>
                <w:color w:val="auto"/>
                <w:lang w:val="en-US" w:eastAsia="zh-CN"/>
              </w:rPr>
              <w:t>排气筒底部中心坐标</w:t>
            </w:r>
          </w:p>
        </w:tc>
        <w:tc>
          <w:tcPr>
            <w:tcW w:w="324" w:type="pct"/>
            <w:vMerge w:val="restart"/>
            <w:noWrap w:val="0"/>
            <w:vAlign w:val="center"/>
          </w:tcPr>
          <w:p>
            <w:pPr>
              <w:pStyle w:val="195"/>
              <w:bidi w:val="0"/>
              <w:rPr>
                <w:color w:val="auto"/>
                <w:lang w:val="en-US" w:eastAsia="zh-CN"/>
              </w:rPr>
            </w:pPr>
            <w:r>
              <w:rPr>
                <w:color w:val="auto"/>
                <w:lang w:val="en-US" w:eastAsia="zh-CN"/>
              </w:rPr>
              <w:t>排气筒底部海拔高度/m</w:t>
            </w:r>
          </w:p>
        </w:tc>
        <w:tc>
          <w:tcPr>
            <w:tcW w:w="271" w:type="pct"/>
            <w:vMerge w:val="restart"/>
            <w:noWrap w:val="0"/>
            <w:vAlign w:val="center"/>
          </w:tcPr>
          <w:p>
            <w:pPr>
              <w:pStyle w:val="195"/>
              <w:bidi w:val="0"/>
              <w:rPr>
                <w:color w:val="auto"/>
                <w:lang w:val="en-US" w:eastAsia="zh-CN"/>
              </w:rPr>
            </w:pPr>
            <w:r>
              <w:rPr>
                <w:color w:val="auto"/>
                <w:lang w:val="en-US" w:eastAsia="zh-CN"/>
              </w:rPr>
              <w:t>排气筒高度/m</w:t>
            </w:r>
          </w:p>
        </w:tc>
        <w:tc>
          <w:tcPr>
            <w:tcW w:w="271" w:type="pct"/>
            <w:vMerge w:val="restart"/>
            <w:noWrap w:val="0"/>
            <w:vAlign w:val="center"/>
          </w:tcPr>
          <w:p>
            <w:pPr>
              <w:pStyle w:val="195"/>
              <w:bidi w:val="0"/>
              <w:rPr>
                <w:color w:val="auto"/>
                <w:lang w:val="en-US" w:eastAsia="zh-CN"/>
              </w:rPr>
            </w:pPr>
            <w:r>
              <w:rPr>
                <w:color w:val="auto"/>
                <w:lang w:val="en-US" w:eastAsia="zh-CN"/>
              </w:rPr>
              <w:t>排气筒内径/m</w:t>
            </w:r>
          </w:p>
        </w:tc>
        <w:tc>
          <w:tcPr>
            <w:tcW w:w="269" w:type="pct"/>
            <w:vMerge w:val="restart"/>
            <w:noWrap w:val="0"/>
            <w:vAlign w:val="center"/>
          </w:tcPr>
          <w:p>
            <w:pPr>
              <w:pStyle w:val="195"/>
              <w:bidi w:val="0"/>
              <w:rPr>
                <w:color w:val="auto"/>
                <w:lang w:val="en-US" w:eastAsia="zh-CN"/>
              </w:rPr>
            </w:pPr>
            <w:r>
              <w:rPr>
                <w:color w:val="auto"/>
                <w:lang w:val="en-US" w:eastAsia="zh-CN"/>
              </w:rPr>
              <w:t>烟气流速m</w:t>
            </w:r>
            <w:r>
              <w:rPr>
                <w:rFonts w:hint="eastAsia"/>
                <w:color w:val="auto"/>
                <w:vertAlign w:val="superscript"/>
                <w:lang w:val="en-US" w:eastAsia="zh-CN"/>
              </w:rPr>
              <w:t>3</w:t>
            </w:r>
            <w:r>
              <w:rPr>
                <w:color w:val="auto"/>
                <w:lang w:val="en-US" w:eastAsia="zh-CN"/>
              </w:rPr>
              <w:t>/s</w:t>
            </w:r>
          </w:p>
        </w:tc>
        <w:tc>
          <w:tcPr>
            <w:tcW w:w="215" w:type="pct"/>
            <w:vMerge w:val="restart"/>
            <w:noWrap w:val="0"/>
            <w:vAlign w:val="center"/>
          </w:tcPr>
          <w:p>
            <w:pPr>
              <w:pStyle w:val="195"/>
              <w:bidi w:val="0"/>
              <w:rPr>
                <w:color w:val="auto"/>
                <w:lang w:val="en-US" w:eastAsia="zh-CN"/>
              </w:rPr>
            </w:pPr>
            <w:r>
              <w:rPr>
                <w:color w:val="auto"/>
                <w:lang w:val="en-US" w:eastAsia="zh-CN"/>
              </w:rPr>
              <w:t>烟气温度/℃</w:t>
            </w:r>
          </w:p>
        </w:tc>
        <w:tc>
          <w:tcPr>
            <w:tcW w:w="271" w:type="pct"/>
            <w:vMerge w:val="restart"/>
            <w:noWrap w:val="0"/>
            <w:vAlign w:val="center"/>
          </w:tcPr>
          <w:p>
            <w:pPr>
              <w:pStyle w:val="195"/>
              <w:bidi w:val="0"/>
              <w:rPr>
                <w:color w:val="auto"/>
                <w:lang w:val="en-US" w:eastAsia="zh-CN"/>
              </w:rPr>
            </w:pPr>
            <w:r>
              <w:rPr>
                <w:color w:val="auto"/>
                <w:lang w:val="en-US" w:eastAsia="zh-CN"/>
              </w:rPr>
              <w:t>年排放小时数/h</w:t>
            </w:r>
          </w:p>
        </w:tc>
        <w:tc>
          <w:tcPr>
            <w:tcW w:w="216" w:type="pct"/>
            <w:vMerge w:val="restart"/>
            <w:noWrap w:val="0"/>
            <w:vAlign w:val="center"/>
          </w:tcPr>
          <w:p>
            <w:pPr>
              <w:pStyle w:val="195"/>
              <w:bidi w:val="0"/>
              <w:rPr>
                <w:color w:val="auto"/>
                <w:lang w:val="en-US" w:eastAsia="zh-CN"/>
              </w:rPr>
            </w:pPr>
            <w:r>
              <w:rPr>
                <w:color w:val="auto"/>
                <w:lang w:val="en-US" w:eastAsia="zh-CN"/>
              </w:rPr>
              <w:t>排放</w:t>
            </w:r>
          </w:p>
          <w:p>
            <w:pPr>
              <w:pStyle w:val="195"/>
              <w:bidi w:val="0"/>
              <w:rPr>
                <w:color w:val="auto"/>
                <w:lang w:val="en-US" w:eastAsia="zh-CN"/>
              </w:rPr>
            </w:pPr>
            <w:r>
              <w:rPr>
                <w:color w:val="auto"/>
                <w:lang w:val="en-US" w:eastAsia="zh-CN"/>
              </w:rPr>
              <w:t>工况</w:t>
            </w:r>
          </w:p>
        </w:tc>
        <w:tc>
          <w:tcPr>
            <w:tcW w:w="1687" w:type="pct"/>
            <w:gridSpan w:val="5"/>
            <w:noWrap w:val="0"/>
            <w:vAlign w:val="center"/>
          </w:tcPr>
          <w:p>
            <w:pPr>
              <w:pStyle w:val="195"/>
              <w:bidi w:val="0"/>
              <w:rPr>
                <w:color w:val="auto"/>
                <w:lang w:val="en-US" w:eastAsia="zh-CN"/>
              </w:rPr>
            </w:pPr>
            <w:r>
              <w:rPr>
                <w:color w:val="auto"/>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2" w:type="pct"/>
            <w:vMerge w:val="continue"/>
            <w:noWrap w:val="0"/>
            <w:vAlign w:val="center"/>
          </w:tcPr>
          <w:p>
            <w:pPr>
              <w:pStyle w:val="195"/>
              <w:bidi w:val="0"/>
              <w:rPr>
                <w:color w:val="auto"/>
                <w:lang w:val="en-US" w:eastAsia="zh-CN"/>
              </w:rPr>
            </w:pPr>
          </w:p>
        </w:tc>
        <w:tc>
          <w:tcPr>
            <w:tcW w:w="390" w:type="pct"/>
            <w:vMerge w:val="continue"/>
            <w:noWrap w:val="0"/>
            <w:vAlign w:val="center"/>
          </w:tcPr>
          <w:p>
            <w:pPr>
              <w:pStyle w:val="195"/>
              <w:bidi w:val="0"/>
              <w:rPr>
                <w:color w:val="auto"/>
                <w:lang w:val="en-US" w:eastAsia="zh-CN"/>
              </w:rPr>
            </w:pPr>
          </w:p>
        </w:tc>
        <w:tc>
          <w:tcPr>
            <w:tcW w:w="486" w:type="pct"/>
            <w:noWrap w:val="0"/>
            <w:vAlign w:val="center"/>
          </w:tcPr>
          <w:p>
            <w:pPr>
              <w:pStyle w:val="195"/>
              <w:bidi w:val="0"/>
              <w:rPr>
                <w:color w:val="auto"/>
                <w:lang w:val="en-US" w:eastAsia="zh-CN"/>
              </w:rPr>
            </w:pPr>
            <w:r>
              <w:rPr>
                <w:color w:val="auto"/>
                <w:lang w:val="en-US" w:eastAsia="zh-CN"/>
              </w:rPr>
              <w:t>东经</w:t>
            </w:r>
          </w:p>
        </w:tc>
        <w:tc>
          <w:tcPr>
            <w:tcW w:w="433" w:type="pct"/>
            <w:noWrap w:val="0"/>
            <w:vAlign w:val="center"/>
          </w:tcPr>
          <w:p>
            <w:pPr>
              <w:pStyle w:val="195"/>
              <w:bidi w:val="0"/>
              <w:rPr>
                <w:color w:val="auto"/>
                <w:lang w:val="en-US" w:eastAsia="zh-CN"/>
              </w:rPr>
            </w:pPr>
            <w:r>
              <w:rPr>
                <w:color w:val="auto"/>
                <w:lang w:val="en-US" w:eastAsia="zh-CN"/>
              </w:rPr>
              <w:t>北纬</w:t>
            </w:r>
          </w:p>
        </w:tc>
        <w:tc>
          <w:tcPr>
            <w:tcW w:w="324" w:type="pct"/>
            <w:vMerge w:val="continue"/>
            <w:noWrap w:val="0"/>
            <w:vAlign w:val="center"/>
          </w:tcPr>
          <w:p>
            <w:pPr>
              <w:pStyle w:val="195"/>
              <w:bidi w:val="0"/>
              <w:rPr>
                <w:color w:val="auto"/>
                <w:lang w:val="en-US" w:eastAsia="zh-CN"/>
              </w:rPr>
            </w:pPr>
          </w:p>
        </w:tc>
        <w:tc>
          <w:tcPr>
            <w:tcW w:w="271" w:type="pct"/>
            <w:vMerge w:val="continue"/>
            <w:noWrap w:val="0"/>
            <w:vAlign w:val="center"/>
          </w:tcPr>
          <w:p>
            <w:pPr>
              <w:pStyle w:val="195"/>
              <w:bidi w:val="0"/>
              <w:rPr>
                <w:color w:val="auto"/>
                <w:lang w:val="en-US" w:eastAsia="zh-CN"/>
              </w:rPr>
            </w:pPr>
          </w:p>
        </w:tc>
        <w:tc>
          <w:tcPr>
            <w:tcW w:w="271" w:type="pct"/>
            <w:vMerge w:val="continue"/>
            <w:noWrap w:val="0"/>
            <w:vAlign w:val="center"/>
          </w:tcPr>
          <w:p>
            <w:pPr>
              <w:pStyle w:val="195"/>
              <w:bidi w:val="0"/>
              <w:rPr>
                <w:color w:val="auto"/>
                <w:lang w:val="en-US" w:eastAsia="zh-CN"/>
              </w:rPr>
            </w:pPr>
          </w:p>
        </w:tc>
        <w:tc>
          <w:tcPr>
            <w:tcW w:w="269" w:type="pct"/>
            <w:vMerge w:val="continue"/>
            <w:noWrap w:val="0"/>
            <w:vAlign w:val="center"/>
          </w:tcPr>
          <w:p>
            <w:pPr>
              <w:pStyle w:val="195"/>
              <w:bidi w:val="0"/>
              <w:rPr>
                <w:color w:val="auto"/>
                <w:lang w:val="en-US" w:eastAsia="zh-CN"/>
              </w:rPr>
            </w:pPr>
          </w:p>
        </w:tc>
        <w:tc>
          <w:tcPr>
            <w:tcW w:w="215" w:type="pct"/>
            <w:vMerge w:val="continue"/>
            <w:noWrap w:val="0"/>
            <w:vAlign w:val="center"/>
          </w:tcPr>
          <w:p>
            <w:pPr>
              <w:pStyle w:val="195"/>
              <w:bidi w:val="0"/>
              <w:rPr>
                <w:color w:val="auto"/>
                <w:lang w:val="en-US" w:eastAsia="zh-CN"/>
              </w:rPr>
            </w:pPr>
          </w:p>
        </w:tc>
        <w:tc>
          <w:tcPr>
            <w:tcW w:w="271" w:type="pct"/>
            <w:vMerge w:val="continue"/>
            <w:noWrap w:val="0"/>
            <w:vAlign w:val="center"/>
          </w:tcPr>
          <w:p>
            <w:pPr>
              <w:pStyle w:val="195"/>
              <w:bidi w:val="0"/>
              <w:rPr>
                <w:color w:val="auto"/>
                <w:lang w:val="en-US" w:eastAsia="zh-CN"/>
              </w:rPr>
            </w:pPr>
          </w:p>
        </w:tc>
        <w:tc>
          <w:tcPr>
            <w:tcW w:w="216" w:type="pct"/>
            <w:vMerge w:val="continue"/>
            <w:noWrap w:val="0"/>
            <w:vAlign w:val="center"/>
          </w:tcPr>
          <w:p>
            <w:pPr>
              <w:pStyle w:val="195"/>
              <w:bidi w:val="0"/>
              <w:rPr>
                <w:color w:val="auto"/>
                <w:lang w:val="en-US" w:eastAsia="zh-CN"/>
              </w:rPr>
            </w:pPr>
          </w:p>
        </w:tc>
        <w:tc>
          <w:tcPr>
            <w:tcW w:w="304" w:type="pct"/>
            <w:noWrap w:val="0"/>
            <w:vAlign w:val="center"/>
          </w:tcPr>
          <w:p>
            <w:pPr>
              <w:pStyle w:val="195"/>
              <w:bidi w:val="0"/>
              <w:rPr>
                <w:color w:val="auto"/>
                <w:lang w:val="en-US" w:eastAsia="zh-CN"/>
              </w:rPr>
            </w:pPr>
            <w:r>
              <w:rPr>
                <w:color w:val="auto"/>
                <w:lang w:val="en-US" w:eastAsia="zh-CN"/>
              </w:rPr>
              <w:t>PM</w:t>
            </w:r>
            <w:r>
              <w:rPr>
                <w:color w:val="auto"/>
                <w:vertAlign w:val="subscript"/>
                <w:lang w:val="en-US" w:eastAsia="zh-CN"/>
              </w:rPr>
              <w:t>10</w:t>
            </w:r>
          </w:p>
        </w:tc>
        <w:tc>
          <w:tcPr>
            <w:tcW w:w="378" w:type="pct"/>
            <w:noWrap w:val="0"/>
            <w:vAlign w:val="center"/>
          </w:tcPr>
          <w:p>
            <w:pPr>
              <w:pStyle w:val="195"/>
              <w:bidi w:val="0"/>
              <w:rPr>
                <w:color w:val="auto"/>
                <w:lang w:val="en-US" w:eastAsia="zh-CN"/>
              </w:rPr>
            </w:pPr>
            <w:r>
              <w:rPr>
                <w:color w:val="auto"/>
                <w:lang w:val="en-US" w:eastAsia="zh-CN"/>
              </w:rPr>
              <w:t>SO</w:t>
            </w:r>
            <w:r>
              <w:rPr>
                <w:color w:val="auto"/>
                <w:vertAlign w:val="subscript"/>
                <w:lang w:val="en-US" w:eastAsia="zh-CN"/>
              </w:rPr>
              <w:t>2</w:t>
            </w:r>
          </w:p>
        </w:tc>
        <w:tc>
          <w:tcPr>
            <w:tcW w:w="378" w:type="pct"/>
            <w:noWrap w:val="0"/>
            <w:vAlign w:val="center"/>
          </w:tcPr>
          <w:p>
            <w:pPr>
              <w:pStyle w:val="195"/>
              <w:bidi w:val="0"/>
              <w:rPr>
                <w:color w:val="auto"/>
                <w:lang w:val="en-US" w:eastAsia="zh-CN"/>
              </w:rPr>
            </w:pPr>
            <w:r>
              <w:rPr>
                <w:color w:val="auto"/>
                <w:lang w:val="en-US" w:eastAsia="zh-CN"/>
              </w:rPr>
              <w:t>NO</w:t>
            </w:r>
            <w:r>
              <w:rPr>
                <w:rFonts w:hint="eastAsia"/>
                <w:color w:val="auto"/>
                <w:lang w:val="en-US" w:eastAsia="zh-CN"/>
              </w:rPr>
              <w:t>x</w:t>
            </w:r>
          </w:p>
        </w:tc>
        <w:tc>
          <w:tcPr>
            <w:tcW w:w="378" w:type="pct"/>
            <w:noWrap w:val="0"/>
            <w:vAlign w:val="center"/>
          </w:tcPr>
          <w:p>
            <w:pPr>
              <w:pStyle w:val="195"/>
              <w:bidi w:val="0"/>
              <w:rPr>
                <w:color w:val="auto"/>
                <w:lang w:val="en-US" w:eastAsia="zh-CN"/>
              </w:rPr>
            </w:pPr>
            <w:r>
              <w:rPr>
                <w:rFonts w:hint="eastAsia"/>
                <w:color w:val="auto"/>
                <w:lang w:val="en-US" w:eastAsia="zh-CN"/>
              </w:rPr>
              <w:t>非甲烷</w:t>
            </w:r>
            <w:r>
              <w:rPr>
                <w:color w:val="auto"/>
                <w:lang w:val="en-US" w:eastAsia="zh-CN"/>
              </w:rPr>
              <w:t>总烃</w:t>
            </w:r>
          </w:p>
        </w:tc>
        <w:tc>
          <w:tcPr>
            <w:tcW w:w="247" w:type="pct"/>
            <w:noWrap w:val="0"/>
            <w:vAlign w:val="center"/>
          </w:tcPr>
          <w:p>
            <w:pPr>
              <w:pStyle w:val="195"/>
              <w:bidi w:val="0"/>
              <w:rPr>
                <w:color w:val="auto"/>
                <w:lang w:val="en-US" w:eastAsia="zh-CN"/>
              </w:rPr>
            </w:pPr>
            <w:r>
              <w:rPr>
                <w:rFonts w:hint="eastAsia"/>
                <w:color w:val="auto"/>
                <w:lang w:val="en-US" w:eastAsia="zh-CN"/>
              </w:rPr>
              <w:t>苯并[a]芘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2" w:type="pct"/>
            <w:noWrap w:val="0"/>
            <w:vAlign w:val="center"/>
          </w:tcPr>
          <w:p>
            <w:pPr>
              <w:pStyle w:val="195"/>
              <w:bidi w:val="0"/>
              <w:rPr>
                <w:color w:val="auto"/>
                <w:lang w:val="en-US" w:eastAsia="zh-CN"/>
              </w:rPr>
            </w:pPr>
            <w:r>
              <w:rPr>
                <w:rFonts w:hint="eastAsia"/>
                <w:color w:val="auto"/>
                <w:lang w:val="en-US" w:eastAsia="zh-CN"/>
              </w:rPr>
              <w:t>1</w:t>
            </w:r>
          </w:p>
        </w:tc>
        <w:tc>
          <w:tcPr>
            <w:tcW w:w="390" w:type="pct"/>
            <w:noWrap w:val="0"/>
            <w:vAlign w:val="center"/>
          </w:tcPr>
          <w:p>
            <w:pPr>
              <w:contextualSpacing/>
              <w:jc w:val="center"/>
              <w:rPr>
                <w:rFonts w:hint="default" w:eastAsia="宋体"/>
                <w:color w:val="auto"/>
                <w:lang w:val="en-US" w:eastAsia="zh-CN"/>
              </w:rPr>
            </w:pPr>
            <w:r>
              <w:rPr>
                <w:rFonts w:hint="eastAsia"/>
                <w:color w:val="auto"/>
                <w:sz w:val="18"/>
                <w:szCs w:val="18"/>
                <w:lang w:val="en-US" w:eastAsia="zh-CN"/>
              </w:rPr>
              <w:t>拌合系统粉尘</w:t>
            </w:r>
          </w:p>
        </w:tc>
        <w:tc>
          <w:tcPr>
            <w:tcW w:w="486" w:type="pct"/>
            <w:noWrap w:val="0"/>
            <w:vAlign w:val="center"/>
          </w:tcPr>
          <w:p>
            <w:pPr>
              <w:pStyle w:val="195"/>
              <w:bidi w:val="0"/>
              <w:rPr>
                <w:color w:val="auto"/>
                <w:lang w:val="en-US" w:eastAsia="zh-CN"/>
              </w:rPr>
            </w:pPr>
            <w:r>
              <w:rPr>
                <w:rFonts w:hint="eastAsia"/>
                <w:color w:val="auto"/>
                <w:lang w:val="en-US" w:eastAsia="zh-CN"/>
              </w:rPr>
              <w:t>128.952417</w:t>
            </w:r>
          </w:p>
        </w:tc>
        <w:tc>
          <w:tcPr>
            <w:tcW w:w="433" w:type="pct"/>
            <w:noWrap w:val="0"/>
            <w:vAlign w:val="center"/>
          </w:tcPr>
          <w:p>
            <w:pPr>
              <w:pStyle w:val="195"/>
              <w:bidi w:val="0"/>
              <w:rPr>
                <w:color w:val="auto"/>
                <w:lang w:val="en-US" w:eastAsia="zh-CN"/>
              </w:rPr>
            </w:pPr>
            <w:r>
              <w:rPr>
                <w:rFonts w:hint="eastAsia"/>
                <w:color w:val="auto"/>
                <w:lang w:val="en-US" w:eastAsia="zh-CN"/>
              </w:rPr>
              <w:t>47.705551</w:t>
            </w:r>
          </w:p>
        </w:tc>
        <w:tc>
          <w:tcPr>
            <w:tcW w:w="324" w:type="pct"/>
            <w:noWrap w:val="0"/>
            <w:vAlign w:val="center"/>
          </w:tcPr>
          <w:p>
            <w:pPr>
              <w:pStyle w:val="195"/>
              <w:bidi w:val="0"/>
              <w:rPr>
                <w:rFonts w:hint="default"/>
                <w:color w:val="auto"/>
                <w:lang w:val="en-US" w:eastAsia="zh-CN"/>
              </w:rPr>
            </w:pPr>
            <w:r>
              <w:rPr>
                <w:rFonts w:hint="eastAsia"/>
                <w:color w:val="auto"/>
                <w:lang w:val="en-US" w:eastAsia="zh-CN"/>
              </w:rPr>
              <w:t>230</w:t>
            </w:r>
          </w:p>
        </w:tc>
        <w:tc>
          <w:tcPr>
            <w:tcW w:w="271" w:type="pct"/>
            <w:noWrap w:val="0"/>
            <w:vAlign w:val="center"/>
          </w:tcPr>
          <w:p>
            <w:pPr>
              <w:pStyle w:val="195"/>
              <w:bidi w:val="0"/>
              <w:rPr>
                <w:color w:val="auto"/>
                <w:lang w:val="en-US" w:eastAsia="zh-CN"/>
              </w:rPr>
            </w:pPr>
            <w:r>
              <w:rPr>
                <w:color w:val="auto"/>
                <w:lang w:val="en-US" w:eastAsia="zh-CN"/>
              </w:rPr>
              <w:t>15</w:t>
            </w:r>
          </w:p>
        </w:tc>
        <w:tc>
          <w:tcPr>
            <w:tcW w:w="271" w:type="pct"/>
            <w:noWrap w:val="0"/>
            <w:vAlign w:val="center"/>
          </w:tcPr>
          <w:p>
            <w:pPr>
              <w:pStyle w:val="195"/>
              <w:bidi w:val="0"/>
              <w:rPr>
                <w:color w:val="auto"/>
                <w:lang w:val="en-US" w:eastAsia="zh-CN"/>
              </w:rPr>
            </w:pPr>
            <w:r>
              <w:rPr>
                <w:color w:val="auto"/>
                <w:lang w:val="en-US" w:eastAsia="zh-CN"/>
              </w:rPr>
              <w:t>0.50</w:t>
            </w:r>
          </w:p>
        </w:tc>
        <w:tc>
          <w:tcPr>
            <w:tcW w:w="269" w:type="pct"/>
            <w:noWrap w:val="0"/>
            <w:vAlign w:val="center"/>
          </w:tcPr>
          <w:p>
            <w:pPr>
              <w:pStyle w:val="195"/>
              <w:bidi w:val="0"/>
              <w:rPr>
                <w:rFonts w:hint="default"/>
                <w:color w:val="auto"/>
                <w:lang w:val="en-US" w:eastAsia="zh-CN"/>
              </w:rPr>
            </w:pPr>
            <w:r>
              <w:rPr>
                <w:rFonts w:hint="eastAsia"/>
                <w:color w:val="auto"/>
                <w:lang w:val="en-US" w:eastAsia="zh-CN"/>
              </w:rPr>
              <w:t>7.56</w:t>
            </w:r>
          </w:p>
        </w:tc>
        <w:tc>
          <w:tcPr>
            <w:tcW w:w="215" w:type="pct"/>
            <w:noWrap w:val="0"/>
            <w:vAlign w:val="center"/>
          </w:tcPr>
          <w:p>
            <w:pPr>
              <w:pStyle w:val="195"/>
              <w:bidi w:val="0"/>
              <w:rPr>
                <w:rFonts w:hint="default"/>
                <w:color w:val="auto"/>
                <w:lang w:val="en-US" w:eastAsia="zh-CN"/>
              </w:rPr>
            </w:pPr>
            <w:r>
              <w:rPr>
                <w:rFonts w:hint="eastAsia"/>
                <w:color w:val="auto"/>
                <w:lang w:val="en-US" w:eastAsia="zh-CN"/>
              </w:rPr>
              <w:t>100</w:t>
            </w:r>
          </w:p>
        </w:tc>
        <w:tc>
          <w:tcPr>
            <w:tcW w:w="271" w:type="pct"/>
            <w:noWrap w:val="0"/>
            <w:vAlign w:val="center"/>
          </w:tcPr>
          <w:p>
            <w:pPr>
              <w:pStyle w:val="195"/>
              <w:bidi w:val="0"/>
              <w:rPr>
                <w:rFonts w:hint="default"/>
                <w:color w:val="auto"/>
                <w:lang w:val="en-US" w:eastAsia="zh-CN"/>
              </w:rPr>
            </w:pPr>
            <w:r>
              <w:rPr>
                <w:rFonts w:hint="eastAsia"/>
                <w:color w:val="auto"/>
                <w:highlight w:val="none"/>
                <w:lang w:val="en-US" w:eastAsia="zh-CN"/>
              </w:rPr>
              <w:t>1200</w:t>
            </w:r>
          </w:p>
        </w:tc>
        <w:tc>
          <w:tcPr>
            <w:tcW w:w="216" w:type="pct"/>
            <w:noWrap w:val="0"/>
            <w:vAlign w:val="center"/>
          </w:tcPr>
          <w:p>
            <w:pPr>
              <w:pStyle w:val="195"/>
              <w:bidi w:val="0"/>
              <w:rPr>
                <w:color w:val="auto"/>
                <w:lang w:val="en-US" w:eastAsia="zh-CN"/>
              </w:rPr>
            </w:pPr>
            <w:r>
              <w:rPr>
                <w:color w:val="auto"/>
                <w:lang w:val="en-US" w:eastAsia="zh-CN"/>
              </w:rPr>
              <w:t>连续</w:t>
            </w:r>
          </w:p>
        </w:tc>
        <w:tc>
          <w:tcPr>
            <w:tcW w:w="304" w:type="pct"/>
            <w:noWrap w:val="0"/>
            <w:vAlign w:val="center"/>
          </w:tcPr>
          <w:p>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502</w:t>
            </w:r>
          </w:p>
        </w:tc>
        <w:tc>
          <w:tcPr>
            <w:tcW w:w="378" w:type="pct"/>
            <w:noWrap w:val="0"/>
            <w:vAlign w:val="center"/>
          </w:tcPr>
          <w:p>
            <w:pPr>
              <w:keepNext w:val="0"/>
              <w:keepLines w:val="0"/>
              <w:widowControl/>
              <w:suppressLineNumbers w:val="0"/>
              <w:jc w:val="center"/>
              <w:textAlignment w:val="center"/>
              <w:rPr>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0.012</w:t>
            </w:r>
          </w:p>
        </w:tc>
        <w:tc>
          <w:tcPr>
            <w:tcW w:w="378" w:type="pct"/>
            <w:noWrap w:val="0"/>
            <w:vAlign w:val="center"/>
          </w:tcPr>
          <w:p>
            <w:pPr>
              <w:keepNext w:val="0"/>
              <w:keepLines w:val="0"/>
              <w:widowControl/>
              <w:suppressLineNumbers w:val="0"/>
              <w:jc w:val="center"/>
              <w:textAlignment w:val="center"/>
              <w:rPr>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0.379</w:t>
            </w:r>
          </w:p>
        </w:tc>
        <w:tc>
          <w:tcPr>
            <w:tcW w:w="378" w:type="pct"/>
            <w:noWrap w:val="0"/>
            <w:vAlign w:val="center"/>
          </w:tcPr>
          <w:p>
            <w:pPr>
              <w:pStyle w:val="195"/>
              <w:bidi w:val="0"/>
              <w:rPr>
                <w:rFonts w:hint="default"/>
                <w:color w:val="auto"/>
                <w:lang w:val="en-US" w:eastAsia="zh-CN"/>
              </w:rPr>
            </w:pPr>
            <w:r>
              <w:rPr>
                <w:rFonts w:hint="eastAsia"/>
                <w:color w:val="auto"/>
                <w:lang w:val="en-US" w:eastAsia="zh-CN"/>
              </w:rPr>
              <w:t>/</w:t>
            </w:r>
          </w:p>
        </w:tc>
        <w:tc>
          <w:tcPr>
            <w:tcW w:w="247" w:type="pct"/>
            <w:noWrap w:val="0"/>
            <w:vAlign w:val="center"/>
          </w:tcPr>
          <w:p>
            <w:pPr>
              <w:pStyle w:val="195"/>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2" w:type="pct"/>
            <w:noWrap w:val="0"/>
            <w:vAlign w:val="center"/>
          </w:tcPr>
          <w:p>
            <w:pPr>
              <w:pStyle w:val="195"/>
              <w:bidi w:val="0"/>
              <w:rPr>
                <w:color w:val="auto"/>
                <w:lang w:val="en-US" w:eastAsia="zh-CN"/>
              </w:rPr>
            </w:pPr>
            <w:r>
              <w:rPr>
                <w:rFonts w:hint="eastAsia"/>
                <w:color w:val="auto"/>
                <w:lang w:val="en-US" w:eastAsia="zh-CN"/>
              </w:rPr>
              <w:t>2</w:t>
            </w:r>
          </w:p>
        </w:tc>
        <w:tc>
          <w:tcPr>
            <w:tcW w:w="390" w:type="pct"/>
            <w:noWrap w:val="0"/>
            <w:vAlign w:val="center"/>
          </w:tcPr>
          <w:p>
            <w:pPr>
              <w:contextualSpacing/>
              <w:jc w:val="center"/>
              <w:rPr>
                <w:rFonts w:hint="eastAsia" w:eastAsia="宋体"/>
                <w:color w:val="auto"/>
                <w:lang w:val="en-US" w:eastAsia="zh-CN"/>
              </w:rPr>
            </w:pPr>
            <w:r>
              <w:rPr>
                <w:color w:val="auto"/>
                <w:sz w:val="18"/>
                <w:szCs w:val="18"/>
              </w:rPr>
              <w:t>导热油炉</w:t>
            </w:r>
            <w:r>
              <w:rPr>
                <w:rFonts w:hint="eastAsia"/>
                <w:color w:val="auto"/>
                <w:sz w:val="18"/>
                <w:szCs w:val="18"/>
                <w:lang w:val="en-US" w:eastAsia="zh-CN"/>
              </w:rPr>
              <w:t>废气</w:t>
            </w:r>
          </w:p>
        </w:tc>
        <w:tc>
          <w:tcPr>
            <w:tcW w:w="486" w:type="pct"/>
            <w:noWrap w:val="0"/>
            <w:vAlign w:val="center"/>
          </w:tcPr>
          <w:p>
            <w:pPr>
              <w:pStyle w:val="195"/>
              <w:bidi w:val="0"/>
              <w:rPr>
                <w:color w:val="auto"/>
                <w:lang w:val="en-US" w:eastAsia="zh-CN"/>
              </w:rPr>
            </w:pPr>
            <w:r>
              <w:rPr>
                <w:rFonts w:hint="eastAsia"/>
                <w:color w:val="auto"/>
                <w:lang w:val="en-US" w:eastAsia="zh-CN"/>
              </w:rPr>
              <w:t>128.952428</w:t>
            </w:r>
          </w:p>
        </w:tc>
        <w:tc>
          <w:tcPr>
            <w:tcW w:w="433" w:type="pct"/>
            <w:noWrap w:val="0"/>
            <w:vAlign w:val="center"/>
          </w:tcPr>
          <w:p>
            <w:pPr>
              <w:pStyle w:val="195"/>
              <w:bidi w:val="0"/>
              <w:rPr>
                <w:color w:val="auto"/>
                <w:lang w:val="en-US" w:eastAsia="zh-CN"/>
              </w:rPr>
            </w:pPr>
            <w:r>
              <w:rPr>
                <w:rFonts w:hint="eastAsia"/>
                <w:color w:val="auto"/>
                <w:lang w:val="en-US" w:eastAsia="zh-CN"/>
              </w:rPr>
              <w:t>47.704773</w:t>
            </w:r>
          </w:p>
        </w:tc>
        <w:tc>
          <w:tcPr>
            <w:tcW w:w="324" w:type="pct"/>
            <w:noWrap w:val="0"/>
            <w:vAlign w:val="center"/>
          </w:tcPr>
          <w:p>
            <w:pPr>
              <w:pStyle w:val="195"/>
              <w:bidi w:val="0"/>
              <w:rPr>
                <w:rFonts w:hint="default"/>
                <w:color w:val="auto"/>
                <w:lang w:val="en-US" w:eastAsia="zh-CN"/>
              </w:rPr>
            </w:pPr>
            <w:r>
              <w:rPr>
                <w:rFonts w:hint="eastAsia"/>
                <w:color w:val="auto"/>
                <w:lang w:val="en-US" w:eastAsia="zh-CN"/>
              </w:rPr>
              <w:t>229</w:t>
            </w:r>
          </w:p>
        </w:tc>
        <w:tc>
          <w:tcPr>
            <w:tcW w:w="271" w:type="pct"/>
            <w:noWrap w:val="0"/>
            <w:vAlign w:val="center"/>
          </w:tcPr>
          <w:p>
            <w:pPr>
              <w:pStyle w:val="195"/>
              <w:bidi w:val="0"/>
              <w:rPr>
                <w:color w:val="auto"/>
                <w:lang w:val="en-US" w:eastAsia="zh-CN"/>
              </w:rPr>
            </w:pPr>
            <w:r>
              <w:rPr>
                <w:color w:val="auto"/>
                <w:lang w:val="en-US" w:eastAsia="zh-CN"/>
              </w:rPr>
              <w:t>1</w:t>
            </w:r>
            <w:r>
              <w:rPr>
                <w:rFonts w:hint="eastAsia"/>
                <w:color w:val="auto"/>
                <w:lang w:val="en-US" w:eastAsia="zh-CN"/>
              </w:rPr>
              <w:t>5</w:t>
            </w:r>
          </w:p>
        </w:tc>
        <w:tc>
          <w:tcPr>
            <w:tcW w:w="271" w:type="pct"/>
            <w:noWrap w:val="0"/>
            <w:vAlign w:val="center"/>
          </w:tcPr>
          <w:p>
            <w:pPr>
              <w:pStyle w:val="195"/>
              <w:bidi w:val="0"/>
              <w:rPr>
                <w:color w:val="auto"/>
                <w:lang w:val="en-US" w:eastAsia="zh-CN"/>
              </w:rPr>
            </w:pPr>
            <w:r>
              <w:rPr>
                <w:color w:val="auto"/>
                <w:lang w:val="en-US" w:eastAsia="zh-CN"/>
              </w:rPr>
              <w:t>0.50</w:t>
            </w:r>
          </w:p>
        </w:tc>
        <w:tc>
          <w:tcPr>
            <w:tcW w:w="269" w:type="pct"/>
            <w:noWrap w:val="0"/>
            <w:vAlign w:val="center"/>
          </w:tcPr>
          <w:p>
            <w:pPr>
              <w:pStyle w:val="195"/>
              <w:bidi w:val="0"/>
              <w:rPr>
                <w:rFonts w:hint="default"/>
                <w:color w:val="auto"/>
                <w:lang w:val="en-US" w:eastAsia="zh-CN"/>
              </w:rPr>
            </w:pPr>
            <w:r>
              <w:rPr>
                <w:rFonts w:hint="eastAsia"/>
                <w:color w:val="auto"/>
                <w:lang w:val="en-US" w:eastAsia="zh-CN"/>
              </w:rPr>
              <w:t>0.44</w:t>
            </w:r>
          </w:p>
        </w:tc>
        <w:tc>
          <w:tcPr>
            <w:tcW w:w="215" w:type="pct"/>
            <w:noWrap w:val="0"/>
            <w:vAlign w:val="center"/>
          </w:tcPr>
          <w:p>
            <w:pPr>
              <w:pStyle w:val="195"/>
              <w:bidi w:val="0"/>
              <w:rPr>
                <w:color w:val="auto"/>
                <w:lang w:val="en-US" w:eastAsia="zh-CN"/>
              </w:rPr>
            </w:pPr>
            <w:r>
              <w:rPr>
                <w:rFonts w:hint="eastAsia"/>
                <w:color w:val="auto"/>
                <w:lang w:val="en-US" w:eastAsia="zh-CN"/>
              </w:rPr>
              <w:t>100</w:t>
            </w:r>
          </w:p>
        </w:tc>
        <w:tc>
          <w:tcPr>
            <w:tcW w:w="271" w:type="pct"/>
            <w:noWrap w:val="0"/>
            <w:vAlign w:val="center"/>
          </w:tcPr>
          <w:p>
            <w:pPr>
              <w:bidi w:val="0"/>
              <w:jc w:val="center"/>
              <w:rPr>
                <w:color w:val="auto"/>
                <w:sz w:val="18"/>
                <w:szCs w:val="18"/>
                <w:lang w:val="en-US" w:eastAsia="zh-CN"/>
              </w:rPr>
            </w:pPr>
            <w:r>
              <w:rPr>
                <w:rFonts w:hint="eastAsia"/>
                <w:color w:val="auto"/>
                <w:sz w:val="18"/>
                <w:szCs w:val="18"/>
                <w:highlight w:val="none"/>
                <w:lang w:val="en-US" w:eastAsia="zh-CN"/>
              </w:rPr>
              <w:t>1200</w:t>
            </w:r>
          </w:p>
        </w:tc>
        <w:tc>
          <w:tcPr>
            <w:tcW w:w="216" w:type="pct"/>
            <w:noWrap w:val="0"/>
            <w:vAlign w:val="center"/>
          </w:tcPr>
          <w:p>
            <w:pPr>
              <w:pStyle w:val="195"/>
              <w:bidi w:val="0"/>
              <w:rPr>
                <w:color w:val="auto"/>
                <w:lang w:val="en-US" w:eastAsia="zh-CN"/>
              </w:rPr>
            </w:pPr>
            <w:r>
              <w:rPr>
                <w:color w:val="auto"/>
                <w:lang w:val="en-US" w:eastAsia="zh-CN"/>
              </w:rPr>
              <w:t>连续</w:t>
            </w:r>
          </w:p>
        </w:tc>
        <w:tc>
          <w:tcPr>
            <w:tcW w:w="304" w:type="pct"/>
            <w:noWrap w:val="0"/>
            <w:vAlign w:val="center"/>
          </w:tcPr>
          <w:p>
            <w:pPr>
              <w:keepNext w:val="0"/>
              <w:keepLines w:val="0"/>
              <w:widowControl/>
              <w:suppressLineNumbers w:val="0"/>
              <w:jc w:val="center"/>
              <w:textAlignment w:val="center"/>
              <w:rPr>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ascii="Times New Roman" w:hAnsi="Times New Roman" w:eastAsia="宋体" w:cs="Times New Roman"/>
                <w:i w:val="0"/>
                <w:iCs w:val="0"/>
                <w:color w:val="auto"/>
                <w:kern w:val="0"/>
                <w:sz w:val="18"/>
                <w:szCs w:val="18"/>
                <w:u w:val="none"/>
                <w:lang w:val="en-US" w:eastAsia="zh-CN" w:bidi="ar"/>
              </w:rPr>
              <w:t>0033</w:t>
            </w:r>
          </w:p>
        </w:tc>
        <w:tc>
          <w:tcPr>
            <w:tcW w:w="378" w:type="pct"/>
            <w:noWrap w:val="0"/>
            <w:vAlign w:val="center"/>
          </w:tcPr>
          <w:p>
            <w:pPr>
              <w:keepNext w:val="0"/>
              <w:keepLines w:val="0"/>
              <w:widowControl/>
              <w:suppressLineNumbers w:val="0"/>
              <w:jc w:val="center"/>
              <w:textAlignment w:val="center"/>
              <w:rPr>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0.083</w:t>
            </w:r>
          </w:p>
        </w:tc>
        <w:tc>
          <w:tcPr>
            <w:tcW w:w="378" w:type="pct"/>
            <w:noWrap w:val="0"/>
            <w:vAlign w:val="center"/>
          </w:tcPr>
          <w:p>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0.1</w:t>
            </w:r>
            <w:r>
              <w:rPr>
                <w:rFonts w:hint="eastAsia" w:cs="Times New Roman"/>
                <w:i w:val="0"/>
                <w:iCs w:val="0"/>
                <w:color w:val="auto"/>
                <w:kern w:val="0"/>
                <w:sz w:val="18"/>
                <w:szCs w:val="18"/>
                <w:u w:val="none"/>
                <w:lang w:val="en-US" w:eastAsia="zh-CN" w:bidi="ar"/>
              </w:rPr>
              <w:t>12</w:t>
            </w:r>
          </w:p>
        </w:tc>
        <w:tc>
          <w:tcPr>
            <w:tcW w:w="378" w:type="pct"/>
            <w:noWrap w:val="0"/>
            <w:vAlign w:val="center"/>
          </w:tcPr>
          <w:p>
            <w:pPr>
              <w:pStyle w:val="195"/>
              <w:bidi w:val="0"/>
              <w:rPr>
                <w:rFonts w:hint="default"/>
                <w:color w:val="auto"/>
                <w:lang w:val="en-US" w:eastAsia="zh-CN"/>
              </w:rPr>
            </w:pPr>
            <w:r>
              <w:rPr>
                <w:rFonts w:hint="eastAsia"/>
                <w:color w:val="auto"/>
                <w:lang w:val="en-US" w:eastAsia="zh-CN"/>
              </w:rPr>
              <w:t>/</w:t>
            </w:r>
          </w:p>
        </w:tc>
        <w:tc>
          <w:tcPr>
            <w:tcW w:w="247" w:type="pct"/>
            <w:noWrap w:val="0"/>
            <w:vAlign w:val="center"/>
          </w:tcPr>
          <w:p>
            <w:pPr>
              <w:pStyle w:val="195"/>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2" w:type="pct"/>
            <w:noWrap w:val="0"/>
            <w:vAlign w:val="center"/>
          </w:tcPr>
          <w:p>
            <w:pPr>
              <w:pStyle w:val="195"/>
              <w:bidi w:val="0"/>
              <w:rPr>
                <w:color w:val="auto"/>
                <w:lang w:val="en-US" w:eastAsia="zh-CN"/>
              </w:rPr>
            </w:pPr>
            <w:r>
              <w:rPr>
                <w:rFonts w:hint="eastAsia"/>
                <w:color w:val="auto"/>
                <w:lang w:val="en-US" w:eastAsia="zh-CN"/>
              </w:rPr>
              <w:t>3</w:t>
            </w:r>
          </w:p>
        </w:tc>
        <w:tc>
          <w:tcPr>
            <w:tcW w:w="390" w:type="pct"/>
            <w:noWrap w:val="0"/>
            <w:vAlign w:val="center"/>
          </w:tcPr>
          <w:p>
            <w:pPr>
              <w:contextualSpacing/>
              <w:jc w:val="center"/>
              <w:rPr>
                <w:rFonts w:hint="eastAsia" w:eastAsia="宋体"/>
                <w:color w:val="auto"/>
                <w:lang w:val="en-US" w:eastAsia="zh-CN"/>
              </w:rPr>
            </w:pPr>
            <w:r>
              <w:rPr>
                <w:color w:val="auto"/>
                <w:sz w:val="18"/>
                <w:szCs w:val="18"/>
              </w:rPr>
              <w:t>沥青</w:t>
            </w:r>
            <w:r>
              <w:rPr>
                <w:rFonts w:hint="eastAsia"/>
                <w:color w:val="auto"/>
                <w:sz w:val="18"/>
                <w:szCs w:val="18"/>
              </w:rPr>
              <w:t>搅拌</w:t>
            </w:r>
            <w:r>
              <w:rPr>
                <w:rFonts w:hint="eastAsia"/>
                <w:color w:val="auto"/>
                <w:sz w:val="18"/>
                <w:szCs w:val="18"/>
                <w:lang w:val="en-US" w:eastAsia="zh-CN"/>
              </w:rPr>
              <w:t>废气</w:t>
            </w:r>
          </w:p>
        </w:tc>
        <w:tc>
          <w:tcPr>
            <w:tcW w:w="813" w:type="dxa"/>
            <w:noWrap w:val="0"/>
            <w:vAlign w:val="center"/>
          </w:tcPr>
          <w:p>
            <w:pPr>
              <w:pStyle w:val="195"/>
              <w:bidi w:val="0"/>
              <w:ind w:left="0" w:leftChars="0" w:firstLine="0" w:firstLineChars="0"/>
              <w:rPr>
                <w:color w:val="auto"/>
                <w:lang w:val="en-US" w:eastAsia="zh-CN"/>
              </w:rPr>
            </w:pPr>
            <w:r>
              <w:rPr>
                <w:rFonts w:hint="eastAsia"/>
                <w:color w:val="auto"/>
                <w:lang w:val="en-US" w:eastAsia="zh-CN"/>
              </w:rPr>
              <w:t>128.952417</w:t>
            </w:r>
          </w:p>
        </w:tc>
        <w:tc>
          <w:tcPr>
            <w:tcW w:w="724" w:type="dxa"/>
            <w:noWrap w:val="0"/>
            <w:vAlign w:val="center"/>
          </w:tcPr>
          <w:p>
            <w:pPr>
              <w:pStyle w:val="195"/>
              <w:bidi w:val="0"/>
              <w:ind w:left="0" w:leftChars="0" w:firstLine="0" w:firstLineChars="0"/>
              <w:rPr>
                <w:color w:val="auto"/>
                <w:lang w:val="en-US" w:eastAsia="zh-CN"/>
              </w:rPr>
            </w:pPr>
            <w:r>
              <w:rPr>
                <w:rFonts w:hint="eastAsia"/>
                <w:color w:val="auto"/>
                <w:lang w:val="en-US" w:eastAsia="zh-CN"/>
              </w:rPr>
              <w:t>47.705551</w:t>
            </w:r>
          </w:p>
        </w:tc>
        <w:tc>
          <w:tcPr>
            <w:tcW w:w="324" w:type="pct"/>
            <w:noWrap w:val="0"/>
            <w:vAlign w:val="center"/>
          </w:tcPr>
          <w:p>
            <w:pPr>
              <w:pStyle w:val="195"/>
              <w:bidi w:val="0"/>
              <w:rPr>
                <w:rFonts w:hint="default"/>
                <w:color w:val="auto"/>
                <w:lang w:val="en-US" w:eastAsia="zh-CN"/>
              </w:rPr>
            </w:pPr>
            <w:r>
              <w:rPr>
                <w:rFonts w:hint="eastAsia"/>
                <w:color w:val="auto"/>
                <w:lang w:val="en-US" w:eastAsia="zh-CN"/>
              </w:rPr>
              <w:t>230</w:t>
            </w:r>
          </w:p>
        </w:tc>
        <w:tc>
          <w:tcPr>
            <w:tcW w:w="271" w:type="pct"/>
            <w:noWrap w:val="0"/>
            <w:vAlign w:val="center"/>
          </w:tcPr>
          <w:p>
            <w:pPr>
              <w:pStyle w:val="195"/>
              <w:bidi w:val="0"/>
              <w:rPr>
                <w:rFonts w:hint="default"/>
                <w:color w:val="auto"/>
                <w:lang w:val="en-US" w:eastAsia="zh-CN"/>
              </w:rPr>
            </w:pPr>
            <w:r>
              <w:rPr>
                <w:rFonts w:hint="eastAsia"/>
                <w:color w:val="auto"/>
                <w:lang w:val="en-US" w:eastAsia="zh-CN"/>
              </w:rPr>
              <w:t>15</w:t>
            </w:r>
          </w:p>
        </w:tc>
        <w:tc>
          <w:tcPr>
            <w:tcW w:w="271" w:type="pct"/>
            <w:noWrap w:val="0"/>
            <w:vAlign w:val="center"/>
          </w:tcPr>
          <w:p>
            <w:pPr>
              <w:pStyle w:val="195"/>
              <w:bidi w:val="0"/>
              <w:rPr>
                <w:color w:val="auto"/>
                <w:lang w:val="en-US" w:eastAsia="zh-CN"/>
              </w:rPr>
            </w:pPr>
            <w:r>
              <w:rPr>
                <w:color w:val="auto"/>
                <w:lang w:val="en-US" w:eastAsia="zh-CN"/>
              </w:rPr>
              <w:t>0.50</w:t>
            </w:r>
          </w:p>
        </w:tc>
        <w:tc>
          <w:tcPr>
            <w:tcW w:w="269" w:type="pct"/>
            <w:noWrap w:val="0"/>
            <w:vAlign w:val="center"/>
          </w:tcPr>
          <w:p>
            <w:pPr>
              <w:pStyle w:val="195"/>
              <w:bidi w:val="0"/>
              <w:rPr>
                <w:rFonts w:hint="default"/>
                <w:color w:val="auto"/>
                <w:lang w:val="en-US" w:eastAsia="zh-CN"/>
              </w:rPr>
            </w:pPr>
            <w:r>
              <w:rPr>
                <w:rFonts w:hint="eastAsia"/>
                <w:color w:val="auto"/>
                <w:lang w:val="en-US" w:eastAsia="zh-CN"/>
              </w:rPr>
              <w:t>11.11</w:t>
            </w:r>
          </w:p>
        </w:tc>
        <w:tc>
          <w:tcPr>
            <w:tcW w:w="215" w:type="pct"/>
            <w:noWrap w:val="0"/>
            <w:vAlign w:val="center"/>
          </w:tcPr>
          <w:p>
            <w:pPr>
              <w:pStyle w:val="195"/>
              <w:bidi w:val="0"/>
              <w:rPr>
                <w:color w:val="auto"/>
                <w:lang w:val="en-US" w:eastAsia="zh-CN"/>
              </w:rPr>
            </w:pPr>
            <w:r>
              <w:rPr>
                <w:rFonts w:hint="eastAsia"/>
                <w:color w:val="auto"/>
                <w:lang w:val="en-US" w:eastAsia="zh-CN"/>
              </w:rPr>
              <w:t>100</w:t>
            </w:r>
          </w:p>
        </w:tc>
        <w:tc>
          <w:tcPr>
            <w:tcW w:w="271" w:type="pct"/>
            <w:noWrap w:val="0"/>
            <w:vAlign w:val="center"/>
          </w:tcPr>
          <w:p>
            <w:pPr>
              <w:bidi w:val="0"/>
              <w:jc w:val="center"/>
              <w:rPr>
                <w:color w:val="auto"/>
                <w:sz w:val="18"/>
                <w:szCs w:val="18"/>
                <w:lang w:val="en-US" w:eastAsia="zh-CN"/>
              </w:rPr>
            </w:pPr>
            <w:r>
              <w:rPr>
                <w:rFonts w:hint="eastAsia"/>
                <w:color w:val="auto"/>
                <w:sz w:val="18"/>
                <w:szCs w:val="18"/>
                <w:highlight w:val="none"/>
                <w:lang w:val="en-US" w:eastAsia="zh-CN"/>
              </w:rPr>
              <w:t>1200</w:t>
            </w:r>
          </w:p>
        </w:tc>
        <w:tc>
          <w:tcPr>
            <w:tcW w:w="216" w:type="pct"/>
            <w:noWrap w:val="0"/>
            <w:vAlign w:val="center"/>
          </w:tcPr>
          <w:p>
            <w:pPr>
              <w:pStyle w:val="195"/>
              <w:bidi w:val="0"/>
              <w:rPr>
                <w:color w:val="auto"/>
                <w:lang w:val="en-US" w:eastAsia="zh-CN"/>
              </w:rPr>
            </w:pPr>
            <w:r>
              <w:rPr>
                <w:color w:val="auto"/>
                <w:lang w:val="en-US" w:eastAsia="zh-CN"/>
              </w:rPr>
              <w:t>连续</w:t>
            </w:r>
          </w:p>
        </w:tc>
        <w:tc>
          <w:tcPr>
            <w:tcW w:w="304"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cs="Times New Roman"/>
                <w:i w:val="0"/>
                <w:iCs w:val="0"/>
                <w:color w:val="auto"/>
                <w:kern w:val="0"/>
                <w:sz w:val="18"/>
                <w:szCs w:val="18"/>
                <w:u w:val="none"/>
                <w:lang w:val="en-US" w:eastAsia="zh-CN" w:bidi="ar"/>
              </w:rPr>
              <w:t>0.018</w:t>
            </w:r>
          </w:p>
        </w:tc>
        <w:tc>
          <w:tcPr>
            <w:tcW w:w="378" w:type="pct"/>
            <w:noWrap w:val="0"/>
            <w:vAlign w:val="center"/>
          </w:tcPr>
          <w:p>
            <w:pPr>
              <w:keepNext w:val="0"/>
              <w:keepLines w:val="0"/>
              <w:widowControl/>
              <w:suppressLineNumbers w:val="0"/>
              <w:jc w:val="center"/>
              <w:textAlignment w:val="center"/>
              <w:rPr>
                <w:color w:val="auto"/>
                <w:lang w:val="en-US" w:eastAsia="zh-CN"/>
              </w:rPr>
            </w:pPr>
            <w:r>
              <w:rPr>
                <w:rFonts w:hint="eastAsia"/>
                <w:color w:val="auto"/>
                <w:lang w:val="en-US" w:eastAsia="zh-CN"/>
              </w:rPr>
              <w:t>/</w:t>
            </w:r>
          </w:p>
        </w:tc>
        <w:tc>
          <w:tcPr>
            <w:tcW w:w="378" w:type="pct"/>
            <w:noWrap w:val="0"/>
            <w:vAlign w:val="center"/>
          </w:tcPr>
          <w:p>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w:t>
            </w:r>
          </w:p>
        </w:tc>
        <w:tc>
          <w:tcPr>
            <w:tcW w:w="378"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cs="Times New Roman"/>
                <w:i w:val="0"/>
                <w:iCs w:val="0"/>
                <w:color w:val="auto"/>
                <w:kern w:val="2"/>
                <w:sz w:val="18"/>
                <w:szCs w:val="18"/>
                <w:u w:val="none"/>
                <w:lang w:val="en-US" w:eastAsia="zh-CN" w:bidi="ar-SA"/>
              </w:rPr>
              <w:t>0.001</w:t>
            </w:r>
          </w:p>
        </w:tc>
        <w:tc>
          <w:tcPr>
            <w:tcW w:w="247"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cs="Times New Roman"/>
                <w:i w:val="0"/>
                <w:iCs w:val="0"/>
                <w:color w:val="auto"/>
                <w:kern w:val="2"/>
                <w:sz w:val="18"/>
                <w:szCs w:val="18"/>
                <w:u w:val="none"/>
                <w:lang w:val="en-US" w:eastAsia="zh-CN" w:bidi="ar-SA"/>
              </w:rPr>
              <w:t>3.75×10</w:t>
            </w:r>
            <w:r>
              <w:rPr>
                <w:rFonts w:hint="eastAsia" w:cs="Times New Roman"/>
                <w:i w:val="0"/>
                <w:iCs w:val="0"/>
                <w:color w:val="auto"/>
                <w:kern w:val="2"/>
                <w:sz w:val="18"/>
                <w:szCs w:val="18"/>
                <w:u w:val="none"/>
                <w:vertAlign w:val="superscript"/>
                <w:lang w:val="en-US" w:eastAsia="zh-CN" w:bidi="ar-SA"/>
              </w:rPr>
              <w:t>-7</w:t>
            </w:r>
          </w:p>
        </w:tc>
      </w:tr>
    </w:tbl>
    <w:p>
      <w:pPr>
        <w:pStyle w:val="135"/>
        <w:tabs>
          <w:tab w:val="clear" w:pos="5400"/>
        </w:tabs>
        <w:bidi w:val="0"/>
        <w:rPr>
          <w:color w:val="auto"/>
        </w:rPr>
      </w:pPr>
      <w:r>
        <w:rPr>
          <w:color w:val="auto"/>
        </w:rPr>
        <w:t>表1-8</w:t>
      </w:r>
      <w:r>
        <w:rPr>
          <w:rFonts w:hint="eastAsia"/>
          <w:color w:val="auto"/>
        </w:rPr>
        <w:t xml:space="preserve"> 矩形面源</w:t>
      </w:r>
      <w:r>
        <w:rPr>
          <w:color w:val="auto"/>
        </w:rPr>
        <w:t>预测参数表</w:t>
      </w:r>
    </w:p>
    <w:tbl>
      <w:tblPr>
        <w:tblStyle w:val="3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70"/>
        <w:gridCol w:w="470"/>
        <w:gridCol w:w="772"/>
        <w:gridCol w:w="794"/>
        <w:gridCol w:w="641"/>
        <w:gridCol w:w="731"/>
        <w:gridCol w:w="731"/>
        <w:gridCol w:w="584"/>
        <w:gridCol w:w="731"/>
        <w:gridCol w:w="733"/>
        <w:gridCol w:w="438"/>
        <w:gridCol w:w="406"/>
        <w:gridCol w:w="516"/>
        <w:gridCol w:w="6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17" w:type="pct"/>
            <w:vMerge w:val="restart"/>
            <w:shd w:val="clear" w:color="auto" w:fill="auto"/>
            <w:noWrap w:val="0"/>
            <w:vAlign w:val="center"/>
          </w:tcPr>
          <w:p>
            <w:pPr>
              <w:pStyle w:val="195"/>
              <w:bidi w:val="0"/>
              <w:rPr>
                <w:color w:val="auto"/>
                <w:lang w:val="en-US" w:eastAsia="zh-CN"/>
              </w:rPr>
            </w:pPr>
            <w:r>
              <w:rPr>
                <w:color w:val="auto"/>
                <w:lang w:val="en-US" w:eastAsia="zh-CN"/>
              </w:rPr>
              <w:t>编号</w:t>
            </w:r>
          </w:p>
        </w:tc>
        <w:tc>
          <w:tcPr>
            <w:tcW w:w="275" w:type="pct"/>
            <w:vMerge w:val="restart"/>
            <w:shd w:val="clear" w:color="auto" w:fill="auto"/>
            <w:noWrap w:val="0"/>
            <w:vAlign w:val="center"/>
          </w:tcPr>
          <w:p>
            <w:pPr>
              <w:pStyle w:val="195"/>
              <w:bidi w:val="0"/>
              <w:rPr>
                <w:color w:val="auto"/>
                <w:lang w:val="en-US" w:eastAsia="zh-CN"/>
              </w:rPr>
            </w:pPr>
            <w:r>
              <w:rPr>
                <w:color w:val="auto"/>
                <w:lang w:val="en-US" w:eastAsia="zh-CN"/>
              </w:rPr>
              <w:t>名称</w:t>
            </w:r>
          </w:p>
        </w:tc>
        <w:tc>
          <w:tcPr>
            <w:tcW w:w="919" w:type="pct"/>
            <w:gridSpan w:val="2"/>
            <w:shd w:val="clear" w:color="auto" w:fill="auto"/>
            <w:noWrap w:val="0"/>
            <w:vAlign w:val="center"/>
          </w:tcPr>
          <w:p>
            <w:pPr>
              <w:pStyle w:val="195"/>
              <w:bidi w:val="0"/>
              <w:rPr>
                <w:color w:val="auto"/>
                <w:lang w:val="en-US" w:eastAsia="zh-CN"/>
              </w:rPr>
            </w:pPr>
            <w:r>
              <w:rPr>
                <w:color w:val="auto"/>
                <w:lang w:val="en-US" w:eastAsia="zh-CN"/>
              </w:rPr>
              <w:t>面源起点坐标</w:t>
            </w:r>
          </w:p>
        </w:tc>
        <w:tc>
          <w:tcPr>
            <w:tcW w:w="376" w:type="pct"/>
            <w:vMerge w:val="restart"/>
            <w:shd w:val="clear" w:color="auto" w:fill="auto"/>
            <w:noWrap w:val="0"/>
            <w:vAlign w:val="center"/>
          </w:tcPr>
          <w:p>
            <w:pPr>
              <w:pStyle w:val="195"/>
              <w:bidi w:val="0"/>
              <w:rPr>
                <w:color w:val="auto"/>
                <w:lang w:val="en-US" w:eastAsia="zh-CN"/>
              </w:rPr>
            </w:pPr>
            <w:r>
              <w:rPr>
                <w:color w:val="auto"/>
                <w:lang w:val="en-US" w:eastAsia="zh-CN"/>
              </w:rPr>
              <w:t>面源海拔高度/m</w:t>
            </w:r>
          </w:p>
        </w:tc>
        <w:tc>
          <w:tcPr>
            <w:tcW w:w="429" w:type="pct"/>
            <w:vMerge w:val="restart"/>
            <w:shd w:val="clear" w:color="auto" w:fill="auto"/>
            <w:noWrap w:val="0"/>
            <w:vAlign w:val="center"/>
          </w:tcPr>
          <w:p>
            <w:pPr>
              <w:pStyle w:val="195"/>
              <w:bidi w:val="0"/>
              <w:rPr>
                <w:color w:val="auto"/>
                <w:lang w:val="en-US" w:eastAsia="zh-CN"/>
              </w:rPr>
            </w:pPr>
            <w:r>
              <w:rPr>
                <w:color w:val="auto"/>
                <w:lang w:val="en-US" w:eastAsia="zh-CN"/>
              </w:rPr>
              <w:t>面源长度/m</w:t>
            </w:r>
          </w:p>
        </w:tc>
        <w:tc>
          <w:tcPr>
            <w:tcW w:w="429" w:type="pct"/>
            <w:vMerge w:val="restart"/>
            <w:shd w:val="clear" w:color="auto" w:fill="auto"/>
            <w:noWrap w:val="0"/>
            <w:vAlign w:val="center"/>
          </w:tcPr>
          <w:p>
            <w:pPr>
              <w:pStyle w:val="195"/>
              <w:bidi w:val="0"/>
              <w:rPr>
                <w:color w:val="auto"/>
                <w:lang w:val="en-US" w:eastAsia="zh-CN"/>
              </w:rPr>
            </w:pPr>
            <w:r>
              <w:rPr>
                <w:color w:val="auto"/>
                <w:lang w:val="en-US" w:eastAsia="zh-CN"/>
              </w:rPr>
              <w:t>面源宽度/m</w:t>
            </w:r>
          </w:p>
        </w:tc>
        <w:tc>
          <w:tcPr>
            <w:tcW w:w="342" w:type="pct"/>
            <w:vMerge w:val="restart"/>
            <w:shd w:val="clear" w:color="auto" w:fill="auto"/>
            <w:noWrap w:val="0"/>
            <w:vAlign w:val="center"/>
          </w:tcPr>
          <w:p>
            <w:pPr>
              <w:pStyle w:val="195"/>
              <w:bidi w:val="0"/>
              <w:rPr>
                <w:color w:val="auto"/>
                <w:lang w:val="en-US" w:eastAsia="zh-CN"/>
              </w:rPr>
            </w:pPr>
            <w:r>
              <w:rPr>
                <w:color w:val="auto"/>
                <w:lang w:val="en-US" w:eastAsia="zh-CN"/>
              </w:rPr>
              <w:t>与正北向夹角/°</w:t>
            </w:r>
          </w:p>
        </w:tc>
        <w:tc>
          <w:tcPr>
            <w:tcW w:w="429" w:type="pct"/>
            <w:vMerge w:val="restart"/>
            <w:shd w:val="clear" w:color="auto" w:fill="auto"/>
            <w:noWrap w:val="0"/>
            <w:vAlign w:val="center"/>
          </w:tcPr>
          <w:p>
            <w:pPr>
              <w:pStyle w:val="195"/>
              <w:bidi w:val="0"/>
              <w:rPr>
                <w:color w:val="auto"/>
                <w:lang w:val="en-US" w:eastAsia="zh-CN"/>
              </w:rPr>
            </w:pPr>
            <w:r>
              <w:rPr>
                <w:color w:val="auto"/>
                <w:lang w:val="en-US" w:eastAsia="zh-CN"/>
              </w:rPr>
              <w:t>面源有效排放高度/m</w:t>
            </w:r>
          </w:p>
        </w:tc>
        <w:tc>
          <w:tcPr>
            <w:tcW w:w="430" w:type="pct"/>
            <w:vMerge w:val="restart"/>
            <w:shd w:val="clear" w:color="auto" w:fill="auto"/>
            <w:noWrap w:val="0"/>
            <w:vAlign w:val="center"/>
          </w:tcPr>
          <w:p>
            <w:pPr>
              <w:pStyle w:val="195"/>
              <w:bidi w:val="0"/>
              <w:rPr>
                <w:color w:val="auto"/>
                <w:lang w:val="en-US" w:eastAsia="zh-CN"/>
              </w:rPr>
            </w:pPr>
            <w:r>
              <w:rPr>
                <w:color w:val="auto"/>
                <w:lang w:val="en-US" w:eastAsia="zh-CN"/>
              </w:rPr>
              <w:t>年排放小时数</w:t>
            </w:r>
            <w:r>
              <w:rPr>
                <w:rFonts w:hint="eastAsia"/>
                <w:color w:val="auto"/>
                <w:lang w:val="en-US" w:eastAsia="zh-CN"/>
              </w:rPr>
              <w:t>/h</w:t>
            </w:r>
          </w:p>
        </w:tc>
        <w:tc>
          <w:tcPr>
            <w:tcW w:w="257" w:type="pct"/>
            <w:vMerge w:val="restart"/>
            <w:shd w:val="clear" w:color="auto" w:fill="auto"/>
            <w:noWrap w:val="0"/>
            <w:vAlign w:val="center"/>
          </w:tcPr>
          <w:p>
            <w:pPr>
              <w:pStyle w:val="195"/>
              <w:bidi w:val="0"/>
              <w:rPr>
                <w:color w:val="auto"/>
                <w:lang w:val="en-US" w:eastAsia="zh-CN"/>
              </w:rPr>
            </w:pPr>
            <w:r>
              <w:rPr>
                <w:color w:val="auto"/>
                <w:lang w:val="en-US" w:eastAsia="zh-CN"/>
              </w:rPr>
              <w:t>排放工况</w:t>
            </w:r>
          </w:p>
        </w:tc>
        <w:tc>
          <w:tcPr>
            <w:tcW w:w="894" w:type="pct"/>
            <w:gridSpan w:val="3"/>
            <w:shd w:val="clear" w:color="auto" w:fill="auto"/>
            <w:noWrap w:val="0"/>
            <w:vAlign w:val="top"/>
          </w:tcPr>
          <w:p>
            <w:pPr>
              <w:pStyle w:val="195"/>
              <w:bidi w:val="0"/>
              <w:rPr>
                <w:color w:val="auto"/>
                <w:lang w:val="en-US" w:eastAsia="zh-CN"/>
              </w:rPr>
            </w:pPr>
            <w:r>
              <w:rPr>
                <w:color w:val="auto"/>
                <w:lang w:val="en-US" w:eastAsia="zh-CN"/>
              </w:rPr>
              <w:t>污染物排放速率kg/h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17" w:type="pct"/>
            <w:vMerge w:val="continue"/>
            <w:shd w:val="clear" w:color="auto" w:fill="auto"/>
            <w:noWrap w:val="0"/>
            <w:vAlign w:val="center"/>
          </w:tcPr>
          <w:p>
            <w:pPr>
              <w:pStyle w:val="195"/>
              <w:bidi w:val="0"/>
              <w:rPr>
                <w:color w:val="auto"/>
                <w:lang w:val="en-US" w:eastAsia="zh-CN"/>
              </w:rPr>
            </w:pPr>
          </w:p>
        </w:tc>
        <w:tc>
          <w:tcPr>
            <w:tcW w:w="275" w:type="pct"/>
            <w:vMerge w:val="continue"/>
            <w:shd w:val="clear" w:color="auto" w:fill="auto"/>
            <w:noWrap w:val="0"/>
            <w:vAlign w:val="center"/>
          </w:tcPr>
          <w:p>
            <w:pPr>
              <w:pStyle w:val="195"/>
              <w:bidi w:val="0"/>
              <w:rPr>
                <w:color w:val="auto"/>
                <w:lang w:val="en-US" w:eastAsia="zh-CN"/>
              </w:rPr>
            </w:pPr>
          </w:p>
        </w:tc>
        <w:tc>
          <w:tcPr>
            <w:tcW w:w="453" w:type="pct"/>
            <w:shd w:val="clear" w:color="auto" w:fill="auto"/>
            <w:noWrap w:val="0"/>
            <w:vAlign w:val="center"/>
          </w:tcPr>
          <w:p>
            <w:pPr>
              <w:pStyle w:val="195"/>
              <w:bidi w:val="0"/>
              <w:rPr>
                <w:color w:val="auto"/>
                <w:lang w:val="en-US" w:eastAsia="zh-CN"/>
              </w:rPr>
            </w:pPr>
            <w:r>
              <w:rPr>
                <w:color w:val="auto"/>
                <w:lang w:val="en-US" w:eastAsia="zh-CN"/>
              </w:rPr>
              <w:t>经度</w:t>
            </w:r>
          </w:p>
        </w:tc>
        <w:tc>
          <w:tcPr>
            <w:tcW w:w="466" w:type="pct"/>
            <w:shd w:val="clear" w:color="auto" w:fill="auto"/>
            <w:noWrap w:val="0"/>
            <w:vAlign w:val="center"/>
          </w:tcPr>
          <w:p>
            <w:pPr>
              <w:pStyle w:val="195"/>
              <w:bidi w:val="0"/>
              <w:rPr>
                <w:color w:val="auto"/>
                <w:lang w:val="en-US" w:eastAsia="zh-CN"/>
              </w:rPr>
            </w:pPr>
            <w:r>
              <w:rPr>
                <w:color w:val="auto"/>
                <w:lang w:val="en-US" w:eastAsia="zh-CN"/>
              </w:rPr>
              <w:t>纬度</w:t>
            </w:r>
          </w:p>
        </w:tc>
        <w:tc>
          <w:tcPr>
            <w:tcW w:w="376" w:type="pct"/>
            <w:vMerge w:val="continue"/>
            <w:shd w:val="clear" w:color="auto" w:fill="auto"/>
            <w:noWrap w:val="0"/>
            <w:vAlign w:val="center"/>
          </w:tcPr>
          <w:p>
            <w:pPr>
              <w:pStyle w:val="195"/>
              <w:bidi w:val="0"/>
              <w:rPr>
                <w:color w:val="auto"/>
                <w:lang w:val="en-US" w:eastAsia="zh-CN"/>
              </w:rPr>
            </w:pPr>
          </w:p>
        </w:tc>
        <w:tc>
          <w:tcPr>
            <w:tcW w:w="429" w:type="pct"/>
            <w:vMerge w:val="continue"/>
            <w:shd w:val="clear" w:color="auto" w:fill="auto"/>
            <w:noWrap w:val="0"/>
            <w:vAlign w:val="center"/>
          </w:tcPr>
          <w:p>
            <w:pPr>
              <w:pStyle w:val="195"/>
              <w:bidi w:val="0"/>
              <w:rPr>
                <w:color w:val="auto"/>
                <w:lang w:val="en-US" w:eastAsia="zh-CN"/>
              </w:rPr>
            </w:pPr>
          </w:p>
        </w:tc>
        <w:tc>
          <w:tcPr>
            <w:tcW w:w="429" w:type="pct"/>
            <w:vMerge w:val="continue"/>
            <w:shd w:val="clear" w:color="auto" w:fill="auto"/>
            <w:noWrap w:val="0"/>
            <w:vAlign w:val="center"/>
          </w:tcPr>
          <w:p>
            <w:pPr>
              <w:pStyle w:val="195"/>
              <w:bidi w:val="0"/>
              <w:rPr>
                <w:color w:val="auto"/>
                <w:lang w:val="en-US" w:eastAsia="zh-CN"/>
              </w:rPr>
            </w:pPr>
          </w:p>
        </w:tc>
        <w:tc>
          <w:tcPr>
            <w:tcW w:w="342" w:type="pct"/>
            <w:vMerge w:val="continue"/>
            <w:shd w:val="clear" w:color="auto" w:fill="auto"/>
            <w:noWrap w:val="0"/>
            <w:vAlign w:val="center"/>
          </w:tcPr>
          <w:p>
            <w:pPr>
              <w:pStyle w:val="195"/>
              <w:bidi w:val="0"/>
              <w:rPr>
                <w:color w:val="auto"/>
                <w:lang w:val="en-US" w:eastAsia="zh-CN"/>
              </w:rPr>
            </w:pPr>
          </w:p>
        </w:tc>
        <w:tc>
          <w:tcPr>
            <w:tcW w:w="429" w:type="pct"/>
            <w:vMerge w:val="continue"/>
            <w:shd w:val="clear" w:color="auto" w:fill="auto"/>
            <w:noWrap w:val="0"/>
            <w:vAlign w:val="center"/>
          </w:tcPr>
          <w:p>
            <w:pPr>
              <w:pStyle w:val="195"/>
              <w:bidi w:val="0"/>
              <w:rPr>
                <w:color w:val="auto"/>
                <w:lang w:val="en-US" w:eastAsia="zh-CN"/>
              </w:rPr>
            </w:pPr>
          </w:p>
        </w:tc>
        <w:tc>
          <w:tcPr>
            <w:tcW w:w="430" w:type="pct"/>
            <w:vMerge w:val="continue"/>
            <w:shd w:val="clear" w:color="auto" w:fill="auto"/>
            <w:noWrap w:val="0"/>
            <w:vAlign w:val="center"/>
          </w:tcPr>
          <w:p>
            <w:pPr>
              <w:pStyle w:val="195"/>
              <w:bidi w:val="0"/>
              <w:rPr>
                <w:color w:val="auto"/>
                <w:lang w:val="en-US" w:eastAsia="zh-CN"/>
              </w:rPr>
            </w:pPr>
          </w:p>
        </w:tc>
        <w:tc>
          <w:tcPr>
            <w:tcW w:w="257" w:type="pct"/>
            <w:vMerge w:val="continue"/>
            <w:shd w:val="clear" w:color="auto" w:fill="auto"/>
            <w:noWrap w:val="0"/>
            <w:vAlign w:val="center"/>
          </w:tcPr>
          <w:p>
            <w:pPr>
              <w:pStyle w:val="195"/>
              <w:bidi w:val="0"/>
              <w:rPr>
                <w:color w:val="auto"/>
                <w:lang w:val="en-US" w:eastAsia="zh-CN"/>
              </w:rPr>
            </w:pPr>
          </w:p>
        </w:tc>
        <w:tc>
          <w:tcPr>
            <w:tcW w:w="238" w:type="pct"/>
            <w:tcBorders>
              <w:right w:val="single" w:color="auto" w:sz="4" w:space="0"/>
            </w:tcBorders>
            <w:shd w:val="clear" w:color="auto" w:fill="auto"/>
            <w:noWrap w:val="0"/>
            <w:vAlign w:val="center"/>
          </w:tcPr>
          <w:p>
            <w:pPr>
              <w:pStyle w:val="195"/>
              <w:bidi w:val="0"/>
              <w:rPr>
                <w:color w:val="auto"/>
                <w:lang w:val="en-US" w:eastAsia="zh-CN"/>
              </w:rPr>
            </w:pPr>
            <w:r>
              <w:rPr>
                <w:color w:val="auto"/>
                <w:lang w:val="en-US" w:eastAsia="zh-CN"/>
              </w:rPr>
              <w:t>TSP</w:t>
            </w:r>
          </w:p>
        </w:tc>
        <w:tc>
          <w:tcPr>
            <w:tcW w:w="302" w:type="pct"/>
            <w:tcBorders>
              <w:left w:val="single" w:color="auto" w:sz="4" w:space="0"/>
              <w:right w:val="single" w:color="auto" w:sz="4" w:space="0"/>
            </w:tcBorders>
            <w:shd w:val="clear" w:color="auto" w:fill="auto"/>
            <w:noWrap w:val="0"/>
            <w:vAlign w:val="center"/>
          </w:tcPr>
          <w:p>
            <w:pPr>
              <w:pStyle w:val="195"/>
              <w:bidi w:val="0"/>
              <w:rPr>
                <w:rFonts w:hint="default"/>
                <w:color w:val="auto"/>
                <w:lang w:val="en-US" w:eastAsia="zh-CN"/>
              </w:rPr>
            </w:pPr>
            <w:r>
              <w:rPr>
                <w:rFonts w:hint="eastAsia"/>
                <w:color w:val="auto"/>
                <w:lang w:val="en-US" w:eastAsia="zh-CN"/>
              </w:rPr>
              <w:t>苯并芘</w:t>
            </w:r>
          </w:p>
        </w:tc>
        <w:tc>
          <w:tcPr>
            <w:tcW w:w="353" w:type="pct"/>
            <w:tcBorders>
              <w:left w:val="single" w:color="auto" w:sz="4" w:space="0"/>
            </w:tcBorders>
            <w:shd w:val="clear" w:color="auto" w:fill="auto"/>
            <w:noWrap w:val="0"/>
            <w:vAlign w:val="center"/>
          </w:tcPr>
          <w:p>
            <w:pPr>
              <w:pStyle w:val="195"/>
              <w:bidi w:val="0"/>
              <w:rPr>
                <w:rFonts w:hint="default"/>
                <w:color w:val="auto"/>
                <w:lang w:val="en-US" w:eastAsia="zh-CN"/>
              </w:rPr>
            </w:pPr>
            <w:r>
              <w:rPr>
                <w:rFonts w:hint="eastAsia"/>
                <w:color w:val="auto"/>
                <w:lang w:val="en-US" w:eastAsia="zh-CN"/>
              </w:rPr>
              <w:t>非甲烷总烃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17" w:type="pct"/>
            <w:shd w:val="clear" w:color="auto" w:fill="auto"/>
            <w:noWrap w:val="0"/>
            <w:vAlign w:val="center"/>
          </w:tcPr>
          <w:p>
            <w:pPr>
              <w:pStyle w:val="195"/>
              <w:bidi w:val="0"/>
              <w:rPr>
                <w:color w:val="auto"/>
                <w:lang w:val="en-US" w:eastAsia="zh-CN"/>
              </w:rPr>
            </w:pPr>
            <w:r>
              <w:rPr>
                <w:color w:val="auto"/>
                <w:lang w:val="en-US" w:eastAsia="zh-CN"/>
              </w:rPr>
              <w:t>1</w:t>
            </w:r>
          </w:p>
        </w:tc>
        <w:tc>
          <w:tcPr>
            <w:tcW w:w="275" w:type="pct"/>
            <w:shd w:val="clear" w:color="auto" w:fill="auto"/>
            <w:noWrap w:val="0"/>
            <w:vAlign w:val="center"/>
          </w:tcPr>
          <w:p>
            <w:pPr>
              <w:pStyle w:val="195"/>
              <w:bidi w:val="0"/>
              <w:rPr>
                <w:color w:val="auto"/>
                <w:lang w:val="en-US" w:eastAsia="zh-CN"/>
              </w:rPr>
            </w:pPr>
            <w:r>
              <w:rPr>
                <w:rFonts w:hint="eastAsia"/>
                <w:color w:val="auto"/>
                <w:lang w:val="en-US" w:eastAsia="zh-CN"/>
              </w:rPr>
              <w:t>厂区</w:t>
            </w:r>
          </w:p>
        </w:tc>
        <w:tc>
          <w:tcPr>
            <w:tcW w:w="453" w:type="pct"/>
            <w:shd w:val="clear" w:color="auto" w:fill="auto"/>
            <w:noWrap w:val="0"/>
            <w:vAlign w:val="center"/>
          </w:tcPr>
          <w:p>
            <w:pPr>
              <w:pStyle w:val="195"/>
              <w:bidi w:val="0"/>
              <w:rPr>
                <w:color w:val="auto"/>
                <w:lang w:val="en-US" w:eastAsia="zh-CN"/>
              </w:rPr>
            </w:pPr>
            <w:r>
              <w:rPr>
                <w:rFonts w:hint="eastAsia"/>
                <w:color w:val="auto"/>
                <w:lang w:val="en-US" w:eastAsia="zh-CN"/>
              </w:rPr>
              <w:t>128.951784</w:t>
            </w:r>
          </w:p>
        </w:tc>
        <w:tc>
          <w:tcPr>
            <w:tcW w:w="466" w:type="pct"/>
            <w:shd w:val="clear" w:color="auto" w:fill="auto"/>
            <w:noWrap w:val="0"/>
            <w:vAlign w:val="center"/>
          </w:tcPr>
          <w:p>
            <w:pPr>
              <w:pStyle w:val="195"/>
              <w:bidi w:val="0"/>
              <w:rPr>
                <w:color w:val="auto"/>
                <w:lang w:val="en-US" w:eastAsia="zh-CN"/>
              </w:rPr>
            </w:pPr>
            <w:r>
              <w:rPr>
                <w:rFonts w:hint="eastAsia"/>
                <w:color w:val="auto"/>
                <w:lang w:val="en-US" w:eastAsia="zh-CN"/>
              </w:rPr>
              <w:t>47.703394</w:t>
            </w:r>
          </w:p>
        </w:tc>
        <w:tc>
          <w:tcPr>
            <w:tcW w:w="376" w:type="pct"/>
            <w:shd w:val="clear" w:color="auto" w:fill="auto"/>
            <w:noWrap w:val="0"/>
            <w:vAlign w:val="center"/>
          </w:tcPr>
          <w:p>
            <w:pPr>
              <w:pStyle w:val="195"/>
              <w:bidi w:val="0"/>
              <w:rPr>
                <w:rFonts w:hint="default"/>
                <w:color w:val="auto"/>
                <w:lang w:val="en-US" w:eastAsia="zh-CN"/>
              </w:rPr>
            </w:pPr>
            <w:r>
              <w:rPr>
                <w:rFonts w:hint="eastAsia"/>
                <w:color w:val="auto"/>
                <w:lang w:val="en-US" w:eastAsia="zh-CN"/>
              </w:rPr>
              <w:t>230</w:t>
            </w:r>
          </w:p>
        </w:tc>
        <w:tc>
          <w:tcPr>
            <w:tcW w:w="429" w:type="pct"/>
            <w:shd w:val="clear" w:color="auto" w:fill="auto"/>
            <w:noWrap w:val="0"/>
            <w:vAlign w:val="center"/>
          </w:tcPr>
          <w:p>
            <w:pPr>
              <w:pStyle w:val="195"/>
              <w:bidi w:val="0"/>
              <w:rPr>
                <w:rFonts w:hint="default"/>
                <w:color w:val="auto"/>
                <w:lang w:val="en-US" w:eastAsia="zh-CN"/>
              </w:rPr>
            </w:pPr>
            <w:r>
              <w:rPr>
                <w:rFonts w:hint="eastAsia"/>
                <w:color w:val="auto"/>
                <w:lang w:val="en-US" w:eastAsia="zh-CN"/>
              </w:rPr>
              <w:t>300</w:t>
            </w:r>
          </w:p>
        </w:tc>
        <w:tc>
          <w:tcPr>
            <w:tcW w:w="429" w:type="pct"/>
            <w:shd w:val="clear" w:color="auto" w:fill="auto"/>
            <w:noWrap w:val="0"/>
            <w:vAlign w:val="center"/>
          </w:tcPr>
          <w:p>
            <w:pPr>
              <w:pStyle w:val="195"/>
              <w:bidi w:val="0"/>
              <w:rPr>
                <w:rFonts w:hint="default"/>
                <w:color w:val="auto"/>
                <w:lang w:val="en-US" w:eastAsia="zh-CN"/>
              </w:rPr>
            </w:pPr>
            <w:r>
              <w:rPr>
                <w:rFonts w:hint="eastAsia"/>
                <w:color w:val="auto"/>
                <w:lang w:val="en-US" w:eastAsia="zh-CN"/>
              </w:rPr>
              <w:t>100</w:t>
            </w:r>
          </w:p>
        </w:tc>
        <w:tc>
          <w:tcPr>
            <w:tcW w:w="342" w:type="pct"/>
            <w:shd w:val="clear" w:color="auto" w:fill="auto"/>
            <w:noWrap w:val="0"/>
            <w:vAlign w:val="center"/>
          </w:tcPr>
          <w:p>
            <w:pPr>
              <w:pStyle w:val="195"/>
              <w:bidi w:val="0"/>
              <w:rPr>
                <w:rFonts w:hint="default"/>
                <w:color w:val="auto"/>
                <w:lang w:val="en-US" w:eastAsia="zh-CN"/>
              </w:rPr>
            </w:pPr>
            <w:r>
              <w:rPr>
                <w:rFonts w:hint="eastAsia"/>
                <w:color w:val="auto"/>
                <w:lang w:val="en-US" w:eastAsia="zh-CN"/>
              </w:rPr>
              <w:t>30</w:t>
            </w:r>
          </w:p>
        </w:tc>
        <w:tc>
          <w:tcPr>
            <w:tcW w:w="429" w:type="pct"/>
            <w:shd w:val="clear" w:color="auto" w:fill="auto"/>
            <w:noWrap w:val="0"/>
            <w:vAlign w:val="center"/>
          </w:tcPr>
          <w:p>
            <w:pPr>
              <w:pStyle w:val="195"/>
              <w:bidi w:val="0"/>
              <w:rPr>
                <w:rFonts w:hint="default"/>
                <w:color w:val="auto"/>
                <w:lang w:val="en-US" w:eastAsia="zh-CN"/>
              </w:rPr>
            </w:pPr>
            <w:r>
              <w:rPr>
                <w:rFonts w:hint="eastAsia"/>
                <w:color w:val="auto"/>
                <w:lang w:val="en-US" w:eastAsia="zh-CN"/>
              </w:rPr>
              <w:t>4.0</w:t>
            </w:r>
          </w:p>
        </w:tc>
        <w:tc>
          <w:tcPr>
            <w:tcW w:w="430" w:type="pct"/>
            <w:shd w:val="clear" w:color="auto" w:fill="auto"/>
            <w:noWrap w:val="0"/>
            <w:vAlign w:val="center"/>
          </w:tcPr>
          <w:p>
            <w:pPr>
              <w:pStyle w:val="195"/>
              <w:bidi w:val="0"/>
              <w:rPr>
                <w:rFonts w:hint="default"/>
                <w:color w:val="auto"/>
                <w:lang w:val="en-US" w:eastAsia="zh-CN"/>
              </w:rPr>
            </w:pPr>
            <w:r>
              <w:rPr>
                <w:rFonts w:hint="eastAsia"/>
                <w:color w:val="auto"/>
                <w:lang w:val="en-US" w:eastAsia="zh-CN"/>
              </w:rPr>
              <w:t>2880</w:t>
            </w:r>
          </w:p>
        </w:tc>
        <w:tc>
          <w:tcPr>
            <w:tcW w:w="257" w:type="pct"/>
            <w:shd w:val="clear" w:color="auto" w:fill="auto"/>
            <w:noWrap w:val="0"/>
            <w:vAlign w:val="center"/>
          </w:tcPr>
          <w:p>
            <w:pPr>
              <w:pStyle w:val="195"/>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正常</w:t>
            </w:r>
          </w:p>
        </w:tc>
        <w:tc>
          <w:tcPr>
            <w:tcW w:w="238" w:type="pct"/>
            <w:tcBorders>
              <w:right w:val="single" w:color="auto" w:sz="4" w:space="0"/>
            </w:tcBorders>
            <w:shd w:val="clear" w:color="auto" w:fill="auto"/>
            <w:noWrap w:val="0"/>
            <w:vAlign w:val="center"/>
          </w:tcPr>
          <w:p>
            <w:pPr>
              <w:pStyle w:val="195"/>
              <w:bidi w:val="0"/>
              <w:rPr>
                <w:rFonts w:hint="default" w:ascii="Times New Roman" w:hAnsi="Times New Roman" w:eastAsia="宋体" w:cs="Times New Roman"/>
                <w:color w:val="auto"/>
                <w:lang w:val="en-US" w:eastAsia="zh-CN"/>
              </w:rPr>
            </w:pPr>
            <w:r>
              <w:rPr>
                <w:rFonts w:hint="eastAsia" w:cs="Times New Roman"/>
                <w:color w:val="auto"/>
                <w:lang w:val="en-US" w:eastAsia="zh-CN"/>
              </w:rPr>
              <w:t>0.1747</w:t>
            </w:r>
          </w:p>
        </w:tc>
        <w:tc>
          <w:tcPr>
            <w:tcW w:w="302" w:type="pct"/>
            <w:tcBorders>
              <w:left w:val="single" w:color="auto" w:sz="4" w:space="0"/>
              <w:right w:val="single" w:color="auto" w:sz="4" w:space="0"/>
            </w:tcBorders>
            <w:shd w:val="clear" w:color="auto" w:fill="auto"/>
            <w:noWrap w:val="0"/>
            <w:vAlign w:val="center"/>
          </w:tcPr>
          <w:p>
            <w:pPr>
              <w:pStyle w:val="195"/>
              <w:bidi w:val="0"/>
              <w:rPr>
                <w:rFonts w:hint="eastAsia"/>
                <w:color w:val="auto"/>
                <w:sz w:val="18"/>
                <w:szCs w:val="18"/>
                <w:lang w:val="en-US" w:eastAsia="zh-CN"/>
              </w:rPr>
            </w:pPr>
            <w:r>
              <w:rPr>
                <w:rFonts w:hint="eastAsia"/>
                <w:color w:val="auto"/>
                <w:sz w:val="18"/>
                <w:szCs w:val="18"/>
                <w:lang w:val="en-US" w:eastAsia="zh-CN"/>
              </w:rPr>
              <w:t>0.0000008</w:t>
            </w:r>
          </w:p>
        </w:tc>
        <w:tc>
          <w:tcPr>
            <w:tcW w:w="353" w:type="pct"/>
            <w:tcBorders>
              <w:left w:val="single" w:color="auto" w:sz="4" w:space="0"/>
            </w:tcBorders>
            <w:shd w:val="clear" w:color="auto" w:fill="auto"/>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0.30225</w:t>
            </w:r>
          </w:p>
        </w:tc>
      </w:tr>
    </w:tbl>
    <w:p>
      <w:pPr>
        <w:pStyle w:val="135"/>
        <w:tabs>
          <w:tab w:val="clear" w:pos="5400"/>
        </w:tabs>
        <w:bidi w:val="0"/>
        <w:rPr>
          <w:rFonts w:hint="eastAsia"/>
          <w:color w:val="auto"/>
        </w:rPr>
      </w:pPr>
      <w:r>
        <w:rPr>
          <w:color w:val="auto"/>
        </w:rPr>
        <w:t>表</w:t>
      </w:r>
      <w:r>
        <w:rPr>
          <w:rFonts w:hint="eastAsia"/>
          <w:color w:val="auto"/>
        </w:rPr>
        <w:t>1-</w:t>
      </w:r>
      <w:r>
        <w:rPr>
          <w:rFonts w:hint="eastAsia"/>
          <w:color w:val="auto"/>
          <w:lang w:val="en-US" w:eastAsia="zh-CN"/>
        </w:rPr>
        <w:t>9</w:t>
      </w:r>
      <w:r>
        <w:rPr>
          <w:color w:val="auto"/>
        </w:rPr>
        <w:t>Pmax和D10%预测和计算结果一览表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276"/>
        <w:gridCol w:w="1342"/>
        <w:gridCol w:w="1506"/>
        <w:gridCol w:w="1127"/>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污染源名称</w:t>
            </w:r>
          </w:p>
        </w:tc>
        <w:tc>
          <w:tcPr>
            <w:tcW w:w="1276" w:type="dxa"/>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评价因子</w:t>
            </w:r>
          </w:p>
        </w:tc>
        <w:tc>
          <w:tcPr>
            <w:tcW w:w="1342" w:type="dxa"/>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评价标准(μg/m³)</w:t>
            </w:r>
          </w:p>
        </w:tc>
        <w:tc>
          <w:tcPr>
            <w:tcW w:w="1506" w:type="dxa"/>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Cmax(μg/m³)</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Pmax(%)</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D10%(m)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restart"/>
            <w:noWrap w:val="0"/>
            <w:vAlign w:val="center"/>
          </w:tcPr>
          <w:p>
            <w:pPr>
              <w:contextualSpacing/>
              <w:jc w:val="center"/>
              <w:rPr>
                <w:rFonts w:ascii="Times New Roman" w:hAnsi="Times New Roman" w:eastAsia="宋体" w:cs="Times New Roman"/>
                <w:color w:val="auto"/>
                <w:lang w:val="en-US" w:eastAsia="zh-CN"/>
              </w:rPr>
            </w:pPr>
            <w:r>
              <w:rPr>
                <w:rFonts w:hint="eastAsia"/>
                <w:color w:val="auto"/>
                <w:sz w:val="18"/>
                <w:szCs w:val="18"/>
                <w:lang w:val="en-US" w:eastAsia="zh-CN"/>
              </w:rPr>
              <w:t>拌合系统粉尘</w:t>
            </w:r>
          </w:p>
        </w:tc>
        <w:tc>
          <w:tcPr>
            <w:tcW w:w="1276" w:type="dxa"/>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PM</w:t>
            </w:r>
            <w:r>
              <w:rPr>
                <w:rFonts w:ascii="Times New Roman" w:hAnsi="Times New Roman" w:eastAsia="宋体" w:cs="Times New Roman"/>
                <w:color w:val="auto"/>
                <w:vertAlign w:val="subscript"/>
                <w:lang w:val="en-US" w:eastAsia="zh-CN"/>
              </w:rPr>
              <w:t>10</w:t>
            </w:r>
          </w:p>
        </w:tc>
        <w:tc>
          <w:tcPr>
            <w:tcW w:w="1342" w:type="dxa"/>
            <w:noWrap w:val="0"/>
            <w:vAlign w:val="center"/>
          </w:tcPr>
          <w:p>
            <w:pPr>
              <w:pStyle w:val="195"/>
              <w:bidi w:val="0"/>
              <w:rPr>
                <w:rFonts w:ascii="Times New Roman" w:hAnsi="Times New Roman" w:eastAsia="宋体" w:cs="Times New Roman"/>
                <w:color w:val="auto"/>
                <w:lang w:val="en-US" w:eastAsia="zh-CN"/>
              </w:rPr>
            </w:pPr>
            <w:r>
              <w:rPr>
                <w:rFonts w:hint="eastAsia" w:cs="Times New Roman"/>
                <w:color w:val="auto"/>
                <w:lang w:val="en-US" w:eastAsia="zh-CN"/>
              </w:rPr>
              <w:t>12</w:t>
            </w:r>
            <w:r>
              <w:rPr>
                <w:rFonts w:ascii="Times New Roman" w:hAnsi="Times New Roman" w:eastAsia="宋体" w:cs="Times New Roman"/>
                <w:color w:val="auto"/>
                <w:lang w:val="en-US" w:eastAsia="zh-CN"/>
              </w:rPr>
              <w:t>0.0</w:t>
            </w:r>
          </w:p>
        </w:tc>
        <w:tc>
          <w:tcPr>
            <w:tcW w:w="1506" w:type="dxa"/>
            <w:noWrap w:val="0"/>
            <w:vAlign w:val="center"/>
          </w:tcPr>
          <w:p>
            <w:pPr>
              <w:pStyle w:val="195"/>
              <w:bidi w:val="0"/>
              <w:ind w:left="0" w:leftChars="0" w:firstLine="0" w:firstLineChars="0"/>
              <w:rPr>
                <w:rFonts w:hint="eastAsia" w:ascii="Times New Roman" w:hAnsi="Times New Roman" w:eastAsia="宋体" w:cs="Times New Roman"/>
                <w:color w:val="auto"/>
                <w:lang w:val="en-US" w:eastAsia="zh-CN"/>
              </w:rPr>
            </w:pPr>
            <w:r>
              <w:rPr>
                <w:rFonts w:hint="default" w:ascii="Times New Roman" w:hAnsi="Times New Roman" w:cs="Times New Roman"/>
                <w:color w:val="auto"/>
                <w:highlight w:val="none"/>
              </w:rPr>
              <w:t>7.2</w:t>
            </w:r>
            <w:r>
              <w:rPr>
                <w:rFonts w:hint="eastAsia" w:cs="Times New Roman"/>
                <w:color w:val="auto"/>
                <w:highlight w:val="none"/>
                <w:lang w:val="en-US" w:eastAsia="zh-CN"/>
              </w:rPr>
              <w:t>9</w:t>
            </w:r>
            <w:r>
              <w:rPr>
                <w:rFonts w:hint="default" w:ascii="Times New Roman" w:hAnsi="Times New Roman" w:cs="Times New Roman"/>
                <w:color w:val="auto"/>
                <w:highlight w:val="none"/>
              </w:rPr>
              <w:t>E-04</w:t>
            </w:r>
          </w:p>
        </w:tc>
        <w:tc>
          <w:tcPr>
            <w:tcW w:w="1127" w:type="dxa"/>
            <w:noWrap w:val="0"/>
            <w:vAlign w:val="center"/>
          </w:tcPr>
          <w:p>
            <w:pPr>
              <w:pStyle w:val="195"/>
              <w:bidi w:val="0"/>
              <w:ind w:left="0" w:leftChars="0" w:firstLine="0" w:firstLineChars="0"/>
              <w:rPr>
                <w:rFonts w:hint="eastAsia" w:ascii="Times New Roman" w:hAnsi="Times New Roman" w:eastAsia="宋体" w:cs="Times New Roman"/>
                <w:color w:val="auto"/>
                <w:lang w:val="en-US" w:eastAsia="zh-CN"/>
              </w:rPr>
            </w:pPr>
            <w:r>
              <w:rPr>
                <w:rFonts w:hint="default" w:ascii="Times New Roman" w:hAnsi="Times New Roman" w:cs="Times New Roman"/>
                <w:color w:val="auto"/>
                <w:highlight w:val="none"/>
              </w:rPr>
              <w:t>0.00</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contextualSpacing/>
              <w:jc w:val="center"/>
              <w:rPr>
                <w:rFonts w:hint="eastAsia"/>
                <w:color w:val="auto"/>
                <w:sz w:val="18"/>
                <w:szCs w:val="18"/>
              </w:rPr>
            </w:pPr>
          </w:p>
        </w:tc>
        <w:tc>
          <w:tcPr>
            <w:tcW w:w="1276" w:type="dxa"/>
            <w:shd w:val="clear" w:color="auto" w:fill="auto"/>
            <w:noWrap w:val="0"/>
            <w:vAlign w:val="center"/>
          </w:tcPr>
          <w:p>
            <w:pPr>
              <w:pStyle w:val="195"/>
              <w:bidi w:val="0"/>
              <w:ind w:left="0" w:leftChars="0" w:firstLine="0" w:firstLineChars="0"/>
              <w:rPr>
                <w:rFonts w:ascii="Times New Roman" w:hAnsi="Times New Roman" w:eastAsia="宋体" w:cs="Times New Roman"/>
                <w:snapToGrid w:val="0"/>
                <w:color w:val="auto"/>
                <w:kern w:val="2"/>
                <w:sz w:val="18"/>
                <w:szCs w:val="18"/>
                <w:lang w:val="en-US" w:eastAsia="zh-CN" w:bidi="ar-SA"/>
              </w:rPr>
            </w:pPr>
            <w:r>
              <w:rPr>
                <w:color w:val="auto"/>
                <w:lang w:val="en-US" w:eastAsia="zh-CN"/>
              </w:rPr>
              <w:t>SO</w:t>
            </w:r>
            <w:r>
              <w:rPr>
                <w:color w:val="auto"/>
                <w:vertAlign w:val="subscript"/>
                <w:lang w:val="en-US" w:eastAsia="zh-CN"/>
              </w:rPr>
              <w:t>2</w:t>
            </w:r>
          </w:p>
        </w:tc>
        <w:tc>
          <w:tcPr>
            <w:tcW w:w="1342"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eastAsia" w:cs="Times New Roman"/>
                <w:color w:val="auto"/>
                <w:lang w:val="en-US" w:eastAsia="zh-CN"/>
              </w:rPr>
              <w:t>500</w:t>
            </w:r>
          </w:p>
        </w:tc>
        <w:tc>
          <w:tcPr>
            <w:tcW w:w="1506"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2.20E-04</w:t>
            </w:r>
          </w:p>
        </w:tc>
        <w:tc>
          <w:tcPr>
            <w:tcW w:w="1127"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0.04</w:t>
            </w:r>
          </w:p>
        </w:tc>
        <w:tc>
          <w:tcPr>
            <w:tcW w:w="0" w:type="auto"/>
            <w:noWrap w:val="0"/>
            <w:vAlign w:val="center"/>
          </w:tcPr>
          <w:p>
            <w:pPr>
              <w:pStyle w:val="195"/>
              <w:bidi w:val="0"/>
              <w:rPr>
                <w:rFonts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contextualSpacing/>
              <w:jc w:val="center"/>
              <w:rPr>
                <w:rFonts w:hint="eastAsia"/>
                <w:color w:val="auto"/>
                <w:sz w:val="18"/>
                <w:szCs w:val="18"/>
              </w:rPr>
            </w:pPr>
          </w:p>
        </w:tc>
        <w:tc>
          <w:tcPr>
            <w:tcW w:w="1276" w:type="dxa"/>
            <w:shd w:val="clear" w:color="auto" w:fill="auto"/>
            <w:noWrap w:val="0"/>
            <w:vAlign w:val="center"/>
          </w:tcPr>
          <w:p>
            <w:pPr>
              <w:pStyle w:val="195"/>
              <w:bidi w:val="0"/>
              <w:ind w:left="0" w:leftChars="0" w:firstLine="0" w:firstLineChars="0"/>
              <w:rPr>
                <w:rFonts w:ascii="Times New Roman" w:hAnsi="Times New Roman" w:eastAsia="宋体" w:cs="Times New Roman"/>
                <w:snapToGrid w:val="0"/>
                <w:color w:val="auto"/>
                <w:kern w:val="2"/>
                <w:sz w:val="18"/>
                <w:szCs w:val="18"/>
                <w:lang w:val="en-US" w:eastAsia="zh-CN" w:bidi="ar-SA"/>
              </w:rPr>
            </w:pPr>
            <w:r>
              <w:rPr>
                <w:color w:val="auto"/>
                <w:lang w:val="en-US" w:eastAsia="zh-CN"/>
              </w:rPr>
              <w:t>NO</w:t>
            </w:r>
            <w:r>
              <w:rPr>
                <w:rFonts w:hint="eastAsia"/>
                <w:color w:val="auto"/>
                <w:lang w:val="en-US" w:eastAsia="zh-CN"/>
              </w:rPr>
              <w:t>x</w:t>
            </w:r>
          </w:p>
        </w:tc>
        <w:tc>
          <w:tcPr>
            <w:tcW w:w="1342"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eastAsia" w:cs="Times New Roman"/>
                <w:color w:val="auto"/>
                <w:lang w:val="en-US" w:eastAsia="zh-CN"/>
              </w:rPr>
              <w:t>250</w:t>
            </w:r>
          </w:p>
        </w:tc>
        <w:tc>
          <w:tcPr>
            <w:tcW w:w="1506"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6.</w:t>
            </w:r>
            <w:r>
              <w:rPr>
                <w:rFonts w:hint="eastAsia" w:cs="Times New Roman"/>
                <w:color w:val="auto"/>
                <w:highlight w:val="none"/>
                <w:lang w:val="en-US" w:eastAsia="zh-CN"/>
              </w:rPr>
              <w:t>8</w:t>
            </w:r>
            <w:r>
              <w:rPr>
                <w:rFonts w:hint="default" w:ascii="Times New Roman" w:hAnsi="Times New Roman" w:cs="Times New Roman"/>
                <w:color w:val="auto"/>
                <w:highlight w:val="none"/>
              </w:rPr>
              <w:t>4E-03</w:t>
            </w:r>
          </w:p>
        </w:tc>
        <w:tc>
          <w:tcPr>
            <w:tcW w:w="1127"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2.77</w:t>
            </w:r>
          </w:p>
        </w:tc>
        <w:tc>
          <w:tcPr>
            <w:tcW w:w="0" w:type="auto"/>
            <w:noWrap w:val="0"/>
            <w:vAlign w:val="center"/>
          </w:tcPr>
          <w:p>
            <w:pPr>
              <w:pStyle w:val="195"/>
              <w:bidi w:val="0"/>
              <w:rPr>
                <w:rFonts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restart"/>
            <w:noWrap w:val="0"/>
            <w:vAlign w:val="center"/>
          </w:tcPr>
          <w:p>
            <w:pPr>
              <w:contextualSpacing/>
              <w:jc w:val="center"/>
              <w:rPr>
                <w:rFonts w:ascii="Times New Roman" w:hAnsi="Times New Roman" w:eastAsia="宋体" w:cs="Times New Roman"/>
                <w:color w:val="auto"/>
                <w:lang w:val="en-US" w:eastAsia="zh-CN"/>
              </w:rPr>
            </w:pPr>
            <w:r>
              <w:rPr>
                <w:color w:val="auto"/>
                <w:sz w:val="18"/>
                <w:szCs w:val="18"/>
              </w:rPr>
              <w:t>导热油炉</w:t>
            </w:r>
            <w:r>
              <w:rPr>
                <w:rFonts w:hint="eastAsia"/>
                <w:color w:val="auto"/>
                <w:sz w:val="18"/>
                <w:szCs w:val="18"/>
                <w:lang w:val="en-US" w:eastAsia="zh-CN"/>
              </w:rPr>
              <w:t>废气</w:t>
            </w: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PM</w:t>
            </w:r>
            <w:r>
              <w:rPr>
                <w:rFonts w:ascii="Times New Roman" w:hAnsi="Times New Roman" w:eastAsia="宋体" w:cs="Times New Roman"/>
                <w:color w:val="auto"/>
                <w:vertAlign w:val="subscript"/>
                <w:lang w:val="en-US" w:eastAsia="zh-CN"/>
              </w:rPr>
              <w:t>10</w:t>
            </w:r>
          </w:p>
        </w:tc>
        <w:tc>
          <w:tcPr>
            <w:tcW w:w="1342" w:type="dxa"/>
            <w:noWrap w:val="0"/>
            <w:vAlign w:val="center"/>
          </w:tcPr>
          <w:p>
            <w:pPr>
              <w:pStyle w:val="195"/>
              <w:bidi w:val="0"/>
              <w:rPr>
                <w:rFonts w:ascii="Times New Roman" w:hAnsi="Times New Roman" w:eastAsia="宋体" w:cs="Times New Roman"/>
                <w:color w:val="auto"/>
                <w:lang w:val="en-US" w:eastAsia="zh-CN"/>
              </w:rPr>
            </w:pPr>
            <w:r>
              <w:rPr>
                <w:rFonts w:hint="eastAsia" w:cs="Times New Roman"/>
                <w:color w:val="auto"/>
                <w:lang w:val="en-US" w:eastAsia="zh-CN"/>
              </w:rPr>
              <w:t>12</w:t>
            </w:r>
            <w:r>
              <w:rPr>
                <w:rFonts w:ascii="Times New Roman" w:hAnsi="Times New Roman" w:eastAsia="宋体" w:cs="Times New Roman"/>
                <w:color w:val="auto"/>
                <w:lang w:val="en-US" w:eastAsia="zh-CN"/>
              </w:rPr>
              <w:t>0.0</w:t>
            </w:r>
          </w:p>
        </w:tc>
        <w:tc>
          <w:tcPr>
            <w:tcW w:w="1506" w:type="dxa"/>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8.</w:t>
            </w:r>
            <w:r>
              <w:rPr>
                <w:rFonts w:hint="eastAsia" w:cs="Times New Roman"/>
                <w:color w:val="auto"/>
                <w:highlight w:val="none"/>
                <w:lang w:val="en-US" w:eastAsia="zh-CN"/>
              </w:rPr>
              <w:t>52</w:t>
            </w:r>
            <w:r>
              <w:rPr>
                <w:rFonts w:hint="default" w:ascii="Times New Roman" w:hAnsi="Times New Roman" w:cs="Times New Roman"/>
                <w:color w:val="auto"/>
                <w:highlight w:val="none"/>
              </w:rPr>
              <w:t>E+00</w:t>
            </w:r>
          </w:p>
        </w:tc>
        <w:tc>
          <w:tcPr>
            <w:tcW w:w="1127" w:type="dxa"/>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kern w:val="2"/>
                <w:sz w:val="18"/>
                <w:szCs w:val="18"/>
                <w:lang w:val="en-US" w:eastAsia="zh-CN" w:bidi="ar-SA"/>
              </w:rPr>
            </w:pPr>
            <w:r>
              <w:rPr>
                <w:rFonts w:hint="eastAsia" w:cs="Times New Roman"/>
                <w:color w:val="auto"/>
                <w:highlight w:val="none"/>
                <w:lang w:val="en-US" w:eastAsia="zh-CN"/>
              </w:rPr>
              <w:t>2.40</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pStyle w:val="195"/>
              <w:bidi w:val="0"/>
              <w:rPr>
                <w:rFonts w:ascii="Times New Roman" w:hAnsi="Times New Roman" w:eastAsia="宋体" w:cs="Times New Roman"/>
                <w:color w:val="auto"/>
                <w:lang w:val="en-US" w:eastAsia="zh-CN"/>
              </w:rPr>
            </w:pP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color w:val="auto"/>
                <w:lang w:val="en-US" w:eastAsia="zh-CN"/>
              </w:rPr>
              <w:t>SO</w:t>
            </w:r>
            <w:r>
              <w:rPr>
                <w:color w:val="auto"/>
                <w:vertAlign w:val="subscript"/>
                <w:lang w:val="en-US" w:eastAsia="zh-CN"/>
              </w:rPr>
              <w:t>2</w:t>
            </w:r>
          </w:p>
        </w:tc>
        <w:tc>
          <w:tcPr>
            <w:tcW w:w="1342" w:type="dxa"/>
            <w:noWrap w:val="0"/>
            <w:vAlign w:val="center"/>
          </w:tcPr>
          <w:p>
            <w:pPr>
              <w:pStyle w:val="195"/>
              <w:bidi w:val="0"/>
              <w:rPr>
                <w:rFonts w:hint="default" w:ascii="Times New Roman" w:hAnsi="Times New Roman" w:eastAsia="宋体" w:cs="Times New Roman"/>
                <w:color w:val="auto"/>
                <w:lang w:val="en-US" w:eastAsia="zh-CN"/>
              </w:rPr>
            </w:pPr>
            <w:r>
              <w:rPr>
                <w:rFonts w:hint="eastAsia" w:cs="Times New Roman"/>
                <w:color w:val="auto"/>
                <w:lang w:val="en-US" w:eastAsia="zh-CN"/>
              </w:rPr>
              <w:t>500</w:t>
            </w:r>
          </w:p>
        </w:tc>
        <w:tc>
          <w:tcPr>
            <w:tcW w:w="1506" w:type="dxa"/>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sz w:val="18"/>
                <w:szCs w:val="18"/>
                <w:lang w:val="en-US" w:eastAsia="zh-CN" w:bidi="ar-SA"/>
              </w:rPr>
            </w:pPr>
            <w:r>
              <w:rPr>
                <w:rFonts w:hint="default" w:ascii="Times New Roman" w:hAnsi="Times New Roman" w:cs="Times New Roman"/>
                <w:color w:val="auto"/>
                <w:highlight w:val="none"/>
              </w:rPr>
              <w:t>3.8</w:t>
            </w:r>
            <w:r>
              <w:rPr>
                <w:rFonts w:hint="eastAsia" w:cs="Times New Roman"/>
                <w:color w:val="auto"/>
                <w:highlight w:val="none"/>
                <w:lang w:val="en-US" w:eastAsia="zh-CN"/>
              </w:rPr>
              <w:t>8</w:t>
            </w:r>
            <w:r>
              <w:rPr>
                <w:rFonts w:hint="default" w:ascii="Times New Roman" w:hAnsi="Times New Roman" w:cs="Times New Roman"/>
                <w:color w:val="auto"/>
                <w:highlight w:val="none"/>
              </w:rPr>
              <w:t>E-01</w:t>
            </w:r>
          </w:p>
        </w:tc>
        <w:tc>
          <w:tcPr>
            <w:tcW w:w="1127" w:type="dxa"/>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sz w:val="18"/>
                <w:szCs w:val="18"/>
                <w:lang w:val="en-US" w:eastAsia="zh-CN" w:bidi="ar-SA"/>
              </w:rPr>
            </w:pPr>
            <w:r>
              <w:rPr>
                <w:rFonts w:hint="default" w:ascii="Times New Roman" w:hAnsi="Times New Roman" w:cs="Times New Roman"/>
                <w:color w:val="auto"/>
                <w:highlight w:val="none"/>
              </w:rPr>
              <w:t>0.08</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pStyle w:val="195"/>
              <w:bidi w:val="0"/>
              <w:rPr>
                <w:rFonts w:ascii="Times New Roman" w:hAnsi="Times New Roman" w:eastAsia="宋体" w:cs="Times New Roman"/>
                <w:color w:val="auto"/>
                <w:lang w:val="en-US" w:eastAsia="zh-CN"/>
              </w:rPr>
            </w:pP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color w:val="auto"/>
                <w:lang w:val="en-US" w:eastAsia="zh-CN"/>
              </w:rPr>
              <w:t>NO</w:t>
            </w:r>
            <w:r>
              <w:rPr>
                <w:rFonts w:hint="eastAsia"/>
                <w:color w:val="auto"/>
                <w:lang w:val="en-US" w:eastAsia="zh-CN"/>
              </w:rPr>
              <w:t>x</w:t>
            </w:r>
          </w:p>
        </w:tc>
        <w:tc>
          <w:tcPr>
            <w:tcW w:w="1342" w:type="dxa"/>
            <w:noWrap w:val="0"/>
            <w:vAlign w:val="center"/>
          </w:tcPr>
          <w:p>
            <w:pPr>
              <w:pStyle w:val="195"/>
              <w:bidi w:val="0"/>
              <w:rPr>
                <w:rFonts w:hint="default" w:ascii="Times New Roman" w:hAnsi="Times New Roman" w:eastAsia="宋体" w:cs="Times New Roman"/>
                <w:color w:val="auto"/>
                <w:lang w:val="en-US" w:eastAsia="zh-CN"/>
              </w:rPr>
            </w:pPr>
            <w:r>
              <w:rPr>
                <w:rFonts w:hint="eastAsia" w:cs="Times New Roman"/>
                <w:color w:val="auto"/>
                <w:lang w:val="en-US" w:eastAsia="zh-CN"/>
              </w:rPr>
              <w:t>250</w:t>
            </w:r>
          </w:p>
        </w:tc>
        <w:tc>
          <w:tcPr>
            <w:tcW w:w="1506"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1.23E+01</w:t>
            </w:r>
          </w:p>
        </w:tc>
        <w:tc>
          <w:tcPr>
            <w:tcW w:w="1127"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highlight w:val="none"/>
              </w:rPr>
              <w:t>4.9</w:t>
            </w:r>
            <w:r>
              <w:rPr>
                <w:rFonts w:hint="eastAsia" w:cs="Times New Roman"/>
                <w:color w:val="auto"/>
                <w:highlight w:val="none"/>
                <w:lang w:val="en-US" w:eastAsia="zh-CN"/>
              </w:rPr>
              <w:t>2</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restart"/>
            <w:noWrap w:val="0"/>
            <w:vAlign w:val="center"/>
          </w:tcPr>
          <w:p>
            <w:pPr>
              <w:contextualSpacing/>
              <w:jc w:val="center"/>
              <w:rPr>
                <w:rFonts w:ascii="Times New Roman" w:hAnsi="Times New Roman" w:eastAsia="宋体" w:cs="Times New Roman"/>
                <w:color w:val="auto"/>
                <w:lang w:val="en-US" w:eastAsia="zh-CN"/>
              </w:rPr>
            </w:pPr>
            <w:r>
              <w:rPr>
                <w:color w:val="auto"/>
                <w:sz w:val="18"/>
                <w:szCs w:val="18"/>
              </w:rPr>
              <w:t>沥青</w:t>
            </w:r>
            <w:r>
              <w:rPr>
                <w:rFonts w:hint="eastAsia"/>
                <w:color w:val="auto"/>
                <w:sz w:val="18"/>
                <w:szCs w:val="18"/>
              </w:rPr>
              <w:t>搅拌</w:t>
            </w:r>
            <w:r>
              <w:rPr>
                <w:rFonts w:hint="eastAsia"/>
                <w:color w:val="auto"/>
                <w:sz w:val="18"/>
                <w:szCs w:val="18"/>
                <w:lang w:val="en-US" w:eastAsia="zh-CN"/>
              </w:rPr>
              <w:t>废气</w:t>
            </w:r>
          </w:p>
        </w:tc>
        <w:tc>
          <w:tcPr>
            <w:tcW w:w="1276" w:type="dxa"/>
            <w:noWrap w:val="0"/>
            <w:vAlign w:val="center"/>
          </w:tcPr>
          <w:p>
            <w:pPr>
              <w:pStyle w:val="195"/>
              <w:bidi w:val="0"/>
              <w:ind w:left="0" w:leftChars="0"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沥青烟</w:t>
            </w:r>
          </w:p>
        </w:tc>
        <w:tc>
          <w:tcPr>
            <w:tcW w:w="1342"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hint="eastAsia" w:cs="Times New Roman"/>
                <w:color w:val="auto"/>
                <w:lang w:val="en-US" w:eastAsia="zh-CN"/>
              </w:rPr>
              <w:t>12</w:t>
            </w:r>
            <w:r>
              <w:rPr>
                <w:rFonts w:ascii="Times New Roman" w:hAnsi="Times New Roman" w:eastAsia="宋体" w:cs="Times New Roman"/>
                <w:color w:val="auto"/>
                <w:lang w:val="en-US" w:eastAsia="zh-CN"/>
              </w:rPr>
              <w:t>0.0</w:t>
            </w:r>
          </w:p>
        </w:tc>
        <w:tc>
          <w:tcPr>
            <w:tcW w:w="1506" w:type="dxa"/>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eastAsia"/>
                <w:color w:val="auto"/>
              </w:rPr>
              <w:t>1.12E-03</w:t>
            </w:r>
          </w:p>
        </w:tc>
        <w:tc>
          <w:tcPr>
            <w:tcW w:w="0" w:type="auto"/>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eastAsia"/>
                <w:color w:val="auto"/>
              </w:rPr>
              <w:t>0.00</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contextualSpacing/>
              <w:jc w:val="center"/>
              <w:rPr>
                <w:color w:val="auto"/>
                <w:sz w:val="18"/>
                <w:szCs w:val="18"/>
              </w:rPr>
            </w:pP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color w:val="auto"/>
                <w:lang w:val="en-US" w:eastAsia="zh-CN"/>
              </w:rPr>
              <w:t>苯并[a]芘</w:t>
            </w:r>
          </w:p>
        </w:tc>
        <w:tc>
          <w:tcPr>
            <w:tcW w:w="1342" w:type="dxa"/>
            <w:noWrap w:val="0"/>
            <w:vAlign w:val="center"/>
          </w:tcPr>
          <w:p>
            <w:pPr>
              <w:pStyle w:val="195"/>
              <w:bidi w:val="0"/>
              <w:ind w:left="0" w:leftChars="0" w:firstLine="0" w:firstLineChars="0"/>
              <w:rPr>
                <w:rFonts w:hint="eastAsia" w:cs="Times New Roman"/>
                <w:color w:val="auto"/>
                <w:lang w:val="en-US" w:eastAsia="zh-CN"/>
              </w:rPr>
            </w:pPr>
            <w:r>
              <w:rPr>
                <w:rFonts w:hint="eastAsia"/>
                <w:color w:val="auto"/>
                <w:szCs w:val="21"/>
                <w:lang w:val="en-US" w:eastAsia="zh-CN"/>
              </w:rPr>
              <w:t>0.0025</w:t>
            </w:r>
          </w:p>
        </w:tc>
        <w:tc>
          <w:tcPr>
            <w:tcW w:w="1506" w:type="dxa"/>
            <w:shd w:val="clear" w:color="auto" w:fill="auto"/>
            <w:noWrap w:val="0"/>
            <w:vAlign w:val="center"/>
          </w:tcPr>
          <w:p>
            <w:pPr>
              <w:pStyle w:val="195"/>
              <w:bidi w:val="0"/>
              <w:ind w:left="0" w:leftChars="0" w:firstLine="0" w:firstLineChars="0"/>
              <w:rPr>
                <w:rFonts w:hint="eastAsia"/>
                <w:color w:val="auto"/>
              </w:rPr>
            </w:pPr>
            <w:r>
              <w:rPr>
                <w:rFonts w:hint="default" w:ascii="Times New Roman" w:hAnsi="Times New Roman" w:cs="Times New Roman"/>
                <w:color w:val="auto"/>
                <w:highlight w:val="none"/>
              </w:rPr>
              <w:t>2.31E-05</w:t>
            </w:r>
          </w:p>
        </w:tc>
        <w:tc>
          <w:tcPr>
            <w:tcW w:w="1127" w:type="dxa"/>
            <w:shd w:val="clear" w:color="auto" w:fill="auto"/>
            <w:noWrap w:val="0"/>
            <w:vAlign w:val="center"/>
          </w:tcPr>
          <w:p>
            <w:pPr>
              <w:pStyle w:val="195"/>
              <w:bidi w:val="0"/>
              <w:ind w:left="0" w:leftChars="0" w:firstLine="0" w:firstLineChars="0"/>
              <w:rPr>
                <w:rFonts w:hint="eastAsia" w:eastAsia="宋体"/>
                <w:color w:val="auto"/>
                <w:lang w:eastAsia="zh-CN"/>
              </w:rPr>
            </w:pPr>
            <w:r>
              <w:rPr>
                <w:rFonts w:hint="default" w:ascii="Times New Roman" w:hAnsi="Times New Roman" w:cs="Times New Roman"/>
                <w:color w:val="auto"/>
                <w:highlight w:val="none"/>
              </w:rPr>
              <w:t>0.31</w:t>
            </w:r>
          </w:p>
        </w:tc>
        <w:tc>
          <w:tcPr>
            <w:tcW w:w="1178"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contextualSpacing/>
              <w:jc w:val="center"/>
              <w:rPr>
                <w:color w:val="auto"/>
                <w:sz w:val="18"/>
                <w:szCs w:val="18"/>
              </w:rPr>
            </w:pP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color w:val="auto"/>
                <w:lang w:val="en-US" w:eastAsia="zh-CN"/>
              </w:rPr>
              <w:t>非甲烷总烃</w:t>
            </w:r>
          </w:p>
        </w:tc>
        <w:tc>
          <w:tcPr>
            <w:tcW w:w="1342" w:type="dxa"/>
            <w:noWrap w:val="0"/>
            <w:vAlign w:val="center"/>
          </w:tcPr>
          <w:p>
            <w:pPr>
              <w:pStyle w:val="195"/>
              <w:bidi w:val="0"/>
              <w:ind w:left="0" w:leftChars="0" w:firstLine="0" w:firstLineChars="0"/>
              <w:rPr>
                <w:rFonts w:hint="eastAsia" w:cs="Times New Roman"/>
                <w:color w:val="auto"/>
                <w:lang w:val="en-US" w:eastAsia="zh-CN"/>
              </w:rPr>
            </w:pPr>
            <w:r>
              <w:rPr>
                <w:rFonts w:hint="eastAsia" w:cs="Times New Roman"/>
                <w:color w:val="auto"/>
                <w:lang w:val="en-US" w:eastAsia="zh-CN"/>
              </w:rPr>
              <w:t>2000</w:t>
            </w:r>
          </w:p>
        </w:tc>
        <w:tc>
          <w:tcPr>
            <w:tcW w:w="1506" w:type="dxa"/>
            <w:shd w:val="clear" w:color="auto" w:fill="auto"/>
            <w:noWrap w:val="0"/>
            <w:vAlign w:val="center"/>
          </w:tcPr>
          <w:p>
            <w:pPr>
              <w:pStyle w:val="195"/>
              <w:bidi w:val="0"/>
              <w:ind w:left="0" w:leftChars="0" w:firstLine="0" w:firstLineChars="0"/>
              <w:rPr>
                <w:rFonts w:hint="eastAsia"/>
                <w:color w:val="auto"/>
              </w:rPr>
            </w:pPr>
            <w:r>
              <w:rPr>
                <w:rFonts w:hint="default" w:ascii="Times New Roman" w:hAnsi="Times New Roman" w:cs="Times New Roman"/>
                <w:color w:val="auto"/>
                <w:highlight w:val="none"/>
              </w:rPr>
              <w:t>7.5</w:t>
            </w:r>
            <w:r>
              <w:rPr>
                <w:rFonts w:hint="eastAsia" w:cs="Times New Roman"/>
                <w:color w:val="auto"/>
                <w:highlight w:val="none"/>
                <w:lang w:val="en-US" w:eastAsia="zh-CN"/>
              </w:rPr>
              <w:t>4</w:t>
            </w:r>
            <w:r>
              <w:rPr>
                <w:rFonts w:hint="default" w:ascii="Times New Roman" w:hAnsi="Times New Roman" w:cs="Times New Roman"/>
                <w:color w:val="auto"/>
                <w:highlight w:val="none"/>
              </w:rPr>
              <w:t>E-03</w:t>
            </w:r>
          </w:p>
        </w:tc>
        <w:tc>
          <w:tcPr>
            <w:tcW w:w="1127" w:type="dxa"/>
            <w:shd w:val="clear" w:color="auto" w:fill="auto"/>
            <w:noWrap w:val="0"/>
            <w:vAlign w:val="center"/>
          </w:tcPr>
          <w:p>
            <w:pPr>
              <w:pStyle w:val="195"/>
              <w:bidi w:val="0"/>
              <w:ind w:left="0" w:leftChars="0" w:firstLine="0" w:firstLineChars="0"/>
              <w:rPr>
                <w:rFonts w:hint="eastAsia"/>
                <w:color w:val="auto"/>
              </w:rPr>
            </w:pPr>
            <w:r>
              <w:rPr>
                <w:rFonts w:hint="default" w:ascii="Times New Roman" w:hAnsi="Times New Roman" w:cs="Times New Roman"/>
                <w:color w:val="auto"/>
                <w:highlight w:val="none"/>
              </w:rPr>
              <w:t>0.00</w:t>
            </w:r>
          </w:p>
        </w:tc>
        <w:tc>
          <w:tcPr>
            <w:tcW w:w="1178"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restart"/>
            <w:noWrap w:val="0"/>
            <w:vAlign w:val="center"/>
          </w:tcPr>
          <w:p>
            <w:pPr>
              <w:pStyle w:val="195"/>
              <w:bidi w:val="0"/>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厂区</w:t>
            </w:r>
          </w:p>
        </w:tc>
        <w:tc>
          <w:tcPr>
            <w:tcW w:w="1276" w:type="dxa"/>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TSP</w:t>
            </w:r>
          </w:p>
        </w:tc>
        <w:tc>
          <w:tcPr>
            <w:tcW w:w="1342" w:type="dxa"/>
            <w:noWrap w:val="0"/>
            <w:vAlign w:val="center"/>
          </w:tcPr>
          <w:p>
            <w:pPr>
              <w:pStyle w:val="195"/>
              <w:bidi w:val="0"/>
              <w:rPr>
                <w:rFonts w:ascii="Times New Roman" w:hAnsi="Times New Roman" w:eastAsia="宋体" w:cs="Times New Roman"/>
                <w:color w:val="auto"/>
                <w:lang w:val="en-US" w:eastAsia="zh-CN"/>
              </w:rPr>
            </w:pPr>
            <w:r>
              <w:rPr>
                <w:rFonts w:hint="eastAsia" w:cs="Times New Roman"/>
                <w:color w:val="auto"/>
                <w:lang w:val="en-US" w:eastAsia="zh-CN"/>
              </w:rPr>
              <w:t>3</w:t>
            </w:r>
            <w:r>
              <w:rPr>
                <w:rFonts w:ascii="Times New Roman" w:hAnsi="Times New Roman" w:eastAsia="宋体" w:cs="Times New Roman"/>
                <w:color w:val="auto"/>
                <w:lang w:val="en-US" w:eastAsia="zh-CN"/>
              </w:rPr>
              <w:t>00.0</w:t>
            </w:r>
          </w:p>
        </w:tc>
        <w:tc>
          <w:tcPr>
            <w:tcW w:w="1506" w:type="dxa"/>
            <w:noWrap w:val="0"/>
            <w:vAlign w:val="center"/>
          </w:tcPr>
          <w:p>
            <w:pPr>
              <w:pStyle w:val="195"/>
              <w:bidi w:val="0"/>
              <w:ind w:left="0" w:leftChars="0" w:firstLine="0" w:firstLineChars="0"/>
              <w:rPr>
                <w:rFonts w:hint="eastAsia" w:ascii="Times New Roman" w:hAnsi="Times New Roman" w:eastAsia="宋体" w:cs="Times New Roman"/>
                <w:color w:val="auto"/>
                <w:lang w:val="en-US" w:eastAsia="zh-CN"/>
              </w:rPr>
            </w:pPr>
            <w:r>
              <w:rPr>
                <w:rFonts w:hint="default" w:ascii="Times New Roman" w:hAnsi="Times New Roman" w:cs="Times New Roman"/>
                <w:color w:val="auto"/>
                <w:highlight w:val="none"/>
              </w:rPr>
              <w:t>1.87E+01</w:t>
            </w:r>
          </w:p>
        </w:tc>
        <w:tc>
          <w:tcPr>
            <w:tcW w:w="1127"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hint="default" w:ascii="Times New Roman" w:hAnsi="Times New Roman" w:cs="Times New Roman"/>
                <w:color w:val="auto"/>
                <w:highlight w:val="none"/>
              </w:rPr>
              <w:t>2.07</w:t>
            </w:r>
          </w:p>
        </w:tc>
        <w:tc>
          <w:tcPr>
            <w:tcW w:w="0" w:type="auto"/>
            <w:noWrap w:val="0"/>
            <w:vAlign w:val="center"/>
          </w:tcPr>
          <w:p>
            <w:pPr>
              <w:pStyle w:val="195"/>
              <w:bidi w:val="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pStyle w:val="195"/>
              <w:bidi w:val="0"/>
              <w:rPr>
                <w:rFonts w:hint="eastAsia" w:ascii="Times New Roman" w:hAnsi="Times New Roman" w:eastAsia="宋体" w:cs="Times New Roman"/>
                <w:color w:val="auto"/>
                <w:lang w:val="en-US" w:eastAsia="zh-CN"/>
              </w:rPr>
            </w:pP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color w:val="auto"/>
                <w:lang w:val="en-US" w:eastAsia="zh-CN"/>
              </w:rPr>
              <w:t>苯并[a]芘</w:t>
            </w:r>
          </w:p>
        </w:tc>
        <w:tc>
          <w:tcPr>
            <w:tcW w:w="1342" w:type="dxa"/>
            <w:noWrap w:val="0"/>
            <w:vAlign w:val="center"/>
          </w:tcPr>
          <w:p>
            <w:pPr>
              <w:pStyle w:val="195"/>
              <w:bidi w:val="0"/>
              <w:ind w:left="0" w:leftChars="0" w:firstLine="0" w:firstLineChars="0"/>
              <w:rPr>
                <w:rFonts w:hint="eastAsia" w:cs="Times New Roman"/>
                <w:color w:val="auto"/>
                <w:lang w:val="en-US" w:eastAsia="zh-CN"/>
              </w:rPr>
            </w:pPr>
            <w:r>
              <w:rPr>
                <w:rFonts w:hint="eastAsia"/>
                <w:color w:val="auto"/>
                <w:szCs w:val="21"/>
                <w:lang w:val="en-US" w:eastAsia="zh-CN"/>
              </w:rPr>
              <w:t>0.0025</w:t>
            </w:r>
          </w:p>
        </w:tc>
        <w:tc>
          <w:tcPr>
            <w:tcW w:w="1506" w:type="dxa"/>
            <w:noWrap w:val="0"/>
            <w:vAlign w:val="center"/>
          </w:tcPr>
          <w:p>
            <w:pPr>
              <w:pStyle w:val="195"/>
              <w:bidi w:val="0"/>
              <w:ind w:left="0" w:leftChars="0" w:firstLine="0" w:firstLineChars="0"/>
              <w:rPr>
                <w:rFonts w:hint="eastAsia"/>
                <w:color w:val="auto"/>
              </w:rPr>
            </w:pPr>
            <w:r>
              <w:rPr>
                <w:rFonts w:hint="default" w:ascii="Times New Roman" w:hAnsi="Times New Roman" w:cs="Times New Roman"/>
                <w:color w:val="auto"/>
                <w:highlight w:val="none"/>
              </w:rPr>
              <w:t>2.</w:t>
            </w:r>
            <w:r>
              <w:rPr>
                <w:rFonts w:hint="eastAsia" w:cs="Times New Roman"/>
                <w:color w:val="auto"/>
                <w:highlight w:val="none"/>
                <w:lang w:val="en-US" w:eastAsia="zh-CN"/>
              </w:rPr>
              <w:t>56</w:t>
            </w:r>
            <w:r>
              <w:rPr>
                <w:rFonts w:hint="default" w:ascii="Times New Roman" w:hAnsi="Times New Roman" w:cs="Times New Roman"/>
                <w:color w:val="auto"/>
                <w:highlight w:val="none"/>
              </w:rPr>
              <w:t>E-05</w:t>
            </w:r>
          </w:p>
        </w:tc>
        <w:tc>
          <w:tcPr>
            <w:tcW w:w="1127" w:type="dxa"/>
            <w:noWrap w:val="0"/>
            <w:vAlign w:val="center"/>
          </w:tcPr>
          <w:p>
            <w:pPr>
              <w:pStyle w:val="195"/>
              <w:bidi w:val="0"/>
              <w:ind w:left="0" w:leftChars="0" w:firstLine="0" w:firstLineChars="0"/>
              <w:rPr>
                <w:rFonts w:hint="eastAsia" w:eastAsia="宋体"/>
                <w:color w:val="auto"/>
                <w:lang w:eastAsia="zh-CN"/>
              </w:rPr>
            </w:pPr>
            <w:r>
              <w:rPr>
                <w:rFonts w:hint="default" w:ascii="Times New Roman" w:hAnsi="Times New Roman" w:cs="Times New Roman"/>
                <w:color w:val="auto"/>
                <w:highlight w:val="none"/>
              </w:rPr>
              <w:t>0.3</w:t>
            </w:r>
            <w:r>
              <w:rPr>
                <w:rFonts w:hint="eastAsia" w:cs="Times New Roman"/>
                <w:color w:val="auto"/>
                <w:highlight w:val="none"/>
                <w:lang w:val="en-US" w:eastAsia="zh-CN"/>
              </w:rPr>
              <w:t>4</w:t>
            </w:r>
          </w:p>
        </w:tc>
        <w:tc>
          <w:tcPr>
            <w:tcW w:w="1178"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3" w:type="dxa"/>
            <w:vMerge w:val="continue"/>
            <w:noWrap w:val="0"/>
            <w:vAlign w:val="center"/>
          </w:tcPr>
          <w:p>
            <w:pPr>
              <w:pStyle w:val="195"/>
              <w:bidi w:val="0"/>
              <w:rPr>
                <w:rFonts w:hint="eastAsia" w:ascii="Times New Roman" w:hAnsi="Times New Roman" w:eastAsia="宋体" w:cs="Times New Roman"/>
                <w:color w:val="auto"/>
                <w:lang w:val="en-US" w:eastAsia="zh-CN"/>
              </w:rPr>
            </w:pPr>
          </w:p>
        </w:tc>
        <w:tc>
          <w:tcPr>
            <w:tcW w:w="1276"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color w:val="auto"/>
                <w:lang w:val="en-US" w:eastAsia="zh-CN"/>
              </w:rPr>
              <w:t>非甲烷总烃</w:t>
            </w:r>
          </w:p>
        </w:tc>
        <w:tc>
          <w:tcPr>
            <w:tcW w:w="1342" w:type="dxa"/>
            <w:noWrap w:val="0"/>
            <w:vAlign w:val="center"/>
          </w:tcPr>
          <w:p>
            <w:pPr>
              <w:pStyle w:val="195"/>
              <w:bidi w:val="0"/>
              <w:ind w:left="0" w:leftChars="0" w:firstLine="0" w:firstLineChars="0"/>
              <w:rPr>
                <w:rFonts w:hint="eastAsia" w:cs="Times New Roman"/>
                <w:color w:val="auto"/>
                <w:lang w:val="en-US" w:eastAsia="zh-CN"/>
              </w:rPr>
            </w:pPr>
            <w:r>
              <w:rPr>
                <w:rFonts w:hint="eastAsia" w:cs="Times New Roman"/>
                <w:color w:val="auto"/>
                <w:lang w:val="en-US" w:eastAsia="zh-CN"/>
              </w:rPr>
              <w:t>2000</w:t>
            </w:r>
          </w:p>
        </w:tc>
        <w:tc>
          <w:tcPr>
            <w:tcW w:w="1506" w:type="dxa"/>
            <w:noWrap w:val="0"/>
            <w:vAlign w:val="center"/>
          </w:tcPr>
          <w:p>
            <w:pPr>
              <w:pStyle w:val="195"/>
              <w:bidi w:val="0"/>
              <w:ind w:left="0" w:leftChars="0" w:firstLine="0" w:firstLineChars="0"/>
              <w:rPr>
                <w:rFonts w:hint="eastAsia"/>
                <w:color w:val="auto"/>
              </w:rPr>
            </w:pPr>
            <w:r>
              <w:rPr>
                <w:rFonts w:hint="default" w:ascii="Times New Roman" w:hAnsi="Times New Roman" w:cs="Times New Roman"/>
                <w:color w:val="auto"/>
                <w:highlight w:val="none"/>
              </w:rPr>
              <w:t>7.5</w:t>
            </w:r>
            <w:r>
              <w:rPr>
                <w:rFonts w:hint="eastAsia" w:cs="Times New Roman"/>
                <w:color w:val="auto"/>
                <w:highlight w:val="none"/>
                <w:lang w:val="en-US" w:eastAsia="zh-CN"/>
              </w:rPr>
              <w:t>6</w:t>
            </w:r>
            <w:r>
              <w:rPr>
                <w:rFonts w:hint="default" w:ascii="Times New Roman" w:hAnsi="Times New Roman" w:cs="Times New Roman"/>
                <w:color w:val="auto"/>
                <w:highlight w:val="none"/>
              </w:rPr>
              <w:t>E-03</w:t>
            </w:r>
          </w:p>
        </w:tc>
        <w:tc>
          <w:tcPr>
            <w:tcW w:w="1127" w:type="dxa"/>
            <w:noWrap w:val="0"/>
            <w:vAlign w:val="center"/>
          </w:tcPr>
          <w:p>
            <w:pPr>
              <w:pStyle w:val="195"/>
              <w:bidi w:val="0"/>
              <w:ind w:left="0" w:leftChars="0" w:firstLine="0" w:firstLineChars="0"/>
              <w:rPr>
                <w:rFonts w:hint="eastAsia"/>
                <w:color w:val="auto"/>
              </w:rPr>
            </w:pPr>
            <w:r>
              <w:rPr>
                <w:rFonts w:hint="default" w:ascii="Times New Roman" w:hAnsi="Times New Roman" w:cs="Times New Roman"/>
                <w:color w:val="auto"/>
                <w:highlight w:val="none"/>
              </w:rPr>
              <w:t>0.00</w:t>
            </w:r>
          </w:p>
        </w:tc>
        <w:tc>
          <w:tcPr>
            <w:tcW w:w="1178" w:type="dxa"/>
            <w:noWrap w:val="0"/>
            <w:vAlign w:val="center"/>
          </w:tcPr>
          <w:p>
            <w:pPr>
              <w:pStyle w:val="195"/>
              <w:bidi w:val="0"/>
              <w:ind w:left="0" w:leftChars="0" w:firstLine="0" w:firstLineChars="0"/>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w:t>
            </w:r>
          </w:p>
        </w:tc>
      </w:tr>
    </w:tbl>
    <w:p>
      <w:pPr>
        <w:pStyle w:val="117"/>
        <w:bidi w:val="0"/>
        <w:rPr>
          <w:color w:val="auto"/>
        </w:rPr>
      </w:pPr>
      <w:r>
        <w:rPr>
          <w:rFonts w:hint="eastAsia"/>
          <w:color w:val="auto"/>
        </w:rPr>
        <w:t>通过估算模式预测软件的计算最大结果表明，厂区预测结果最大，占标率为</w:t>
      </w:r>
      <w:r>
        <w:rPr>
          <w:rFonts w:hint="eastAsia"/>
          <w:color w:val="auto"/>
          <w:lang w:val="en-US" w:eastAsia="zh-CN"/>
        </w:rPr>
        <w:t>4.92</w:t>
      </w:r>
      <w:r>
        <w:rPr>
          <w:rFonts w:hint="eastAsia"/>
          <w:color w:val="auto"/>
        </w:rPr>
        <w:t>%。根据《环境影响评价技术导则 大气环境》（HJ2.2-2018），1%≤Pmax&lt;10%，本项目</w:t>
      </w:r>
      <w:r>
        <w:rPr>
          <w:color w:val="auto"/>
        </w:rPr>
        <w:t>大气环境影响评价工作等级为二级</w:t>
      </w:r>
      <w:r>
        <w:rPr>
          <w:rFonts w:hint="eastAsia"/>
          <w:color w:val="auto"/>
        </w:rPr>
        <w:t>。</w:t>
      </w:r>
    </w:p>
    <w:p>
      <w:pPr>
        <w:pStyle w:val="86"/>
        <w:spacing w:line="360" w:lineRule="auto"/>
        <w:ind w:firstLine="0" w:firstLineChars="0"/>
        <w:outlineLvl w:val="2"/>
        <w:rPr>
          <w:rFonts w:hint="eastAsia"/>
          <w:snapToGrid w:val="0"/>
          <w:color w:val="auto"/>
          <w:spacing w:val="0"/>
          <w:kern w:val="0"/>
        </w:rPr>
      </w:pPr>
      <w:bookmarkStart w:id="132" w:name="_Toc5551"/>
      <w:bookmarkStart w:id="133" w:name="_Toc4102"/>
      <w:bookmarkStart w:id="134" w:name="_Toc11496"/>
      <w:bookmarkStart w:id="135" w:name="_Toc31351"/>
      <w:r>
        <w:rPr>
          <w:rFonts w:hint="eastAsia"/>
          <w:snapToGrid w:val="0"/>
          <w:color w:val="auto"/>
          <w:spacing w:val="0"/>
          <w:kern w:val="0"/>
        </w:rPr>
        <w:t>1.4.2评价范围</w:t>
      </w:r>
      <w:bookmarkEnd w:id="132"/>
      <w:bookmarkEnd w:id="133"/>
      <w:bookmarkEnd w:id="134"/>
      <w:bookmarkEnd w:id="135"/>
    </w:p>
    <w:p>
      <w:pPr>
        <w:pStyle w:val="117"/>
        <w:bidi w:val="0"/>
        <w:rPr>
          <w:rFonts w:hint="eastAsia"/>
          <w:color w:val="auto"/>
        </w:rPr>
      </w:pPr>
      <w:r>
        <w:rPr>
          <w:rFonts w:hint="eastAsia"/>
          <w:color w:val="auto"/>
        </w:rPr>
        <w:t>本项目评价工作等级为二级，根据《环境影响评价技术导则 大气环境》（HJ2.2-2018）第5.4.2条规定，大气环境影响评价范围为以项目为中心区域，边长为5km的矩形区域。</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136" w:name="_Toc120088770"/>
      <w:bookmarkStart w:id="137" w:name="_Toc8768"/>
      <w:bookmarkStart w:id="138" w:name="_Toc6211"/>
      <w:bookmarkStart w:id="139" w:name="_Toc27672"/>
      <w:bookmarkStart w:id="140" w:name="_Toc22226"/>
      <w:r>
        <w:rPr>
          <w:rFonts w:ascii="Times New Roman" w:hAnsi="Times New Roman" w:eastAsia="宋体" w:cs="Times New Roman"/>
          <w:b w:val="0"/>
          <w:bCs/>
          <w:color w:val="auto"/>
          <w:sz w:val="24"/>
          <w:szCs w:val="24"/>
          <w:highlight w:val="none"/>
        </w:rPr>
        <w:t>1.5大气环境保护目标</w:t>
      </w:r>
      <w:bookmarkEnd w:id="136"/>
      <w:bookmarkEnd w:id="137"/>
      <w:bookmarkEnd w:id="138"/>
      <w:bookmarkEnd w:id="139"/>
      <w:bookmarkEnd w:id="140"/>
    </w:p>
    <w:p>
      <w:pPr>
        <w:pStyle w:val="117"/>
        <w:bidi w:val="0"/>
        <w:rPr>
          <w:rFonts w:hint="eastAsia"/>
          <w:color w:val="auto"/>
          <w:lang w:val="en-GB" w:eastAsia="zh-CN"/>
        </w:rPr>
      </w:pPr>
      <w:r>
        <w:rPr>
          <w:color w:val="auto"/>
        </w:rPr>
        <w:t>根据大气</w:t>
      </w:r>
      <w:r>
        <w:rPr>
          <w:rFonts w:hint="eastAsia"/>
          <w:color w:val="auto"/>
          <w:lang w:eastAsia="zh-CN"/>
        </w:rPr>
        <w:t>预测</w:t>
      </w:r>
      <w:r>
        <w:rPr>
          <w:color w:val="auto"/>
        </w:rPr>
        <w:t>估算结果，本项目大气环境评价等级为二级评价项目，大气环境影响评价范围为以本项目厂址为中心，边长5km的矩形区域。本项目评价范围内无自然保护区、风景名胜区等保护目标，根据项目特点及周边环境状况，确定大气环境保护目标</w:t>
      </w:r>
      <w:r>
        <w:rPr>
          <w:color w:val="auto"/>
          <w:lang w:val="en-GB"/>
        </w:rPr>
        <w:t>，详见表</w:t>
      </w:r>
      <w:r>
        <w:rPr>
          <w:rFonts w:hint="eastAsia"/>
          <w:color w:val="auto"/>
          <w:lang w:val="en-GB" w:eastAsia="zh-CN"/>
        </w:rPr>
        <w:t>1</w:t>
      </w:r>
      <w:r>
        <w:rPr>
          <w:color w:val="auto"/>
          <w:lang w:val="en-GB" w:eastAsia="zh-CN"/>
        </w:rPr>
        <w:t>-</w:t>
      </w:r>
      <w:r>
        <w:rPr>
          <w:rFonts w:hint="eastAsia"/>
          <w:color w:val="auto"/>
          <w:lang w:val="en-GB" w:eastAsia="zh-CN"/>
        </w:rPr>
        <w:t>1</w:t>
      </w:r>
      <w:r>
        <w:rPr>
          <w:rFonts w:hint="eastAsia"/>
          <w:color w:val="auto"/>
          <w:lang w:val="en-US" w:eastAsia="zh-CN"/>
        </w:rPr>
        <w:t>0</w:t>
      </w:r>
      <w:r>
        <w:rPr>
          <w:rFonts w:hint="eastAsia"/>
          <w:color w:val="auto"/>
          <w:lang w:val="en-GB" w:eastAsia="zh-CN"/>
        </w:rPr>
        <w:t>和</w:t>
      </w:r>
      <w:r>
        <w:rPr>
          <w:rFonts w:hint="eastAsia"/>
          <w:color w:val="auto"/>
          <w:lang w:val="en-US" w:eastAsia="zh-CN"/>
        </w:rPr>
        <w:t>附</w:t>
      </w:r>
      <w:r>
        <w:rPr>
          <w:rFonts w:hint="eastAsia"/>
          <w:color w:val="auto"/>
          <w:lang w:val="en-GB" w:eastAsia="zh-CN"/>
        </w:rPr>
        <w:t>图</w:t>
      </w:r>
      <w:r>
        <w:rPr>
          <w:rFonts w:hint="eastAsia"/>
          <w:color w:val="auto"/>
          <w:lang w:val="en-US" w:eastAsia="zh-CN"/>
        </w:rPr>
        <w:t>3</w:t>
      </w:r>
      <w:r>
        <w:rPr>
          <w:color w:val="auto"/>
          <w:lang w:val="en-GB"/>
        </w:rPr>
        <w:t>。</w:t>
      </w:r>
    </w:p>
    <w:p>
      <w:pPr>
        <w:pStyle w:val="135"/>
        <w:tabs>
          <w:tab w:val="clear" w:pos="5400"/>
        </w:tabs>
        <w:rPr>
          <w:color w:val="auto"/>
          <w:highlight w:val="none"/>
        </w:rPr>
      </w:pPr>
      <w:r>
        <w:rPr>
          <w:color w:val="auto"/>
          <w:highlight w:val="none"/>
        </w:rPr>
        <w:t>表</w:t>
      </w:r>
      <w:r>
        <w:rPr>
          <w:rFonts w:hint="eastAsia"/>
          <w:color w:val="auto"/>
          <w:highlight w:val="none"/>
          <w:lang w:val="en-US" w:eastAsia="zh-CN"/>
        </w:rPr>
        <w:t>1-10</w:t>
      </w:r>
      <w:r>
        <w:rPr>
          <w:color w:val="auto"/>
          <w:highlight w:val="none"/>
        </w:rPr>
        <w:t>环境保护目标</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54"/>
        <w:gridCol w:w="1353"/>
        <w:gridCol w:w="1215"/>
        <w:gridCol w:w="894"/>
        <w:gridCol w:w="1246"/>
        <w:gridCol w:w="675"/>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39" w:type="pct"/>
            <w:vMerge w:val="restart"/>
            <w:noWrap w:val="0"/>
            <w:vAlign w:val="center"/>
          </w:tcPr>
          <w:p>
            <w:pPr>
              <w:adjustRightInd w:val="0"/>
              <w:snapToGrid w:val="0"/>
              <w:jc w:val="center"/>
              <w:textAlignment w:val="center"/>
              <w:rPr>
                <w:rFonts w:hint="eastAsia" w:ascii="Times New Roman" w:eastAsia="宋体"/>
                <w:color w:val="auto"/>
                <w:sz w:val="21"/>
                <w:szCs w:val="21"/>
                <w:highlight w:val="none"/>
                <w:lang w:eastAsia="zh-CN"/>
              </w:rPr>
            </w:pPr>
            <w:r>
              <w:rPr>
                <w:rFonts w:hint="eastAsia" w:ascii="Times New Roman"/>
                <w:color w:val="auto"/>
                <w:sz w:val="21"/>
                <w:szCs w:val="21"/>
                <w:highlight w:val="none"/>
                <w:lang w:eastAsia="zh-CN"/>
              </w:rPr>
              <w:t>环境要素</w:t>
            </w:r>
          </w:p>
        </w:tc>
        <w:tc>
          <w:tcPr>
            <w:tcW w:w="442" w:type="pct"/>
            <w:vMerge w:val="restart"/>
            <w:noWrap w:val="0"/>
            <w:vAlign w:val="center"/>
          </w:tcPr>
          <w:p>
            <w:pPr>
              <w:adjustRightInd w:val="0"/>
              <w:snapToGrid w:val="0"/>
              <w:jc w:val="center"/>
              <w:textAlignment w:val="center"/>
              <w:rPr>
                <w:rFonts w:hint="eastAsia" w:ascii="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环境保护目标名称</w:t>
            </w:r>
          </w:p>
        </w:tc>
        <w:tc>
          <w:tcPr>
            <w:tcW w:w="1506" w:type="pct"/>
            <w:gridSpan w:val="2"/>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坐标（</w:t>
            </w:r>
            <w:r>
              <w:rPr>
                <w:rFonts w:ascii="Times New Roman"/>
                <w:color w:val="auto"/>
                <w:sz w:val="21"/>
                <w:szCs w:val="21"/>
                <w:highlight w:val="none"/>
                <w:vertAlign w:val="superscript"/>
              </w:rPr>
              <w:t>○</w:t>
            </w:r>
            <w:r>
              <w:rPr>
                <w:rFonts w:ascii="Times New Roman"/>
                <w:color w:val="auto"/>
                <w:sz w:val="21"/>
                <w:szCs w:val="21"/>
                <w:highlight w:val="none"/>
              </w:rPr>
              <w:t>）</w:t>
            </w:r>
          </w:p>
        </w:tc>
        <w:tc>
          <w:tcPr>
            <w:tcW w:w="524" w:type="pct"/>
            <w:vMerge w:val="restart"/>
            <w:noWrap w:val="0"/>
            <w:vAlign w:val="center"/>
          </w:tcPr>
          <w:p>
            <w:pPr>
              <w:adjustRightInd w:val="0"/>
              <w:snapToGrid w:val="0"/>
              <w:jc w:val="center"/>
              <w:textAlignment w:val="center"/>
              <w:rPr>
                <w:rFonts w:ascii="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730" w:type="pct"/>
            <w:vMerge w:val="restart"/>
            <w:noWrap w:val="0"/>
            <w:vAlign w:val="center"/>
          </w:tcPr>
          <w:p>
            <w:pPr>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pPr>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对象</w:t>
            </w:r>
          </w:p>
        </w:tc>
        <w:tc>
          <w:tcPr>
            <w:tcW w:w="396" w:type="pct"/>
            <w:vMerge w:val="restar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厂界距离/m</w:t>
            </w:r>
          </w:p>
        </w:tc>
        <w:tc>
          <w:tcPr>
            <w:tcW w:w="1060" w:type="pct"/>
            <w:vMerge w:val="restar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环境功能区/</w:t>
            </w:r>
          </w:p>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39" w:type="pct"/>
            <w:vMerge w:val="continue"/>
            <w:noWrap w:val="0"/>
            <w:vAlign w:val="center"/>
          </w:tcPr>
          <w:p>
            <w:pPr>
              <w:widowControl/>
              <w:adjustRightInd w:val="0"/>
              <w:snapToGrid w:val="0"/>
              <w:jc w:val="left"/>
              <w:rPr>
                <w:rFonts w:ascii="Times New Roman"/>
                <w:color w:val="auto"/>
                <w:sz w:val="21"/>
                <w:szCs w:val="21"/>
                <w:highlight w:val="none"/>
              </w:rPr>
            </w:pPr>
          </w:p>
        </w:tc>
        <w:tc>
          <w:tcPr>
            <w:tcW w:w="442" w:type="pct"/>
            <w:vMerge w:val="continue"/>
            <w:noWrap w:val="0"/>
            <w:vAlign w:val="center"/>
          </w:tcPr>
          <w:p>
            <w:pPr>
              <w:widowControl/>
              <w:adjustRightInd w:val="0"/>
              <w:snapToGrid w:val="0"/>
              <w:jc w:val="left"/>
              <w:rPr>
                <w:rFonts w:ascii="Times New Roman"/>
                <w:color w:val="auto"/>
                <w:sz w:val="21"/>
                <w:szCs w:val="21"/>
                <w:highlight w:val="none"/>
              </w:rPr>
            </w:pPr>
          </w:p>
        </w:tc>
        <w:tc>
          <w:tcPr>
            <w:tcW w:w="793" w:type="pc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经度</w:t>
            </w:r>
          </w:p>
        </w:tc>
        <w:tc>
          <w:tcPr>
            <w:tcW w:w="712" w:type="pct"/>
            <w:noWrap w:val="0"/>
            <w:vAlign w:val="center"/>
          </w:tcPr>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纬度</w:t>
            </w:r>
          </w:p>
        </w:tc>
        <w:tc>
          <w:tcPr>
            <w:tcW w:w="524" w:type="pct"/>
            <w:vMerge w:val="continue"/>
            <w:noWrap w:val="0"/>
            <w:vAlign w:val="center"/>
          </w:tcPr>
          <w:p>
            <w:pPr>
              <w:widowControl/>
              <w:adjustRightInd w:val="0"/>
              <w:snapToGrid w:val="0"/>
              <w:jc w:val="left"/>
              <w:rPr>
                <w:rFonts w:ascii="Times New Roman"/>
                <w:color w:val="auto"/>
                <w:sz w:val="21"/>
                <w:szCs w:val="21"/>
                <w:highlight w:val="none"/>
              </w:rPr>
            </w:pPr>
          </w:p>
        </w:tc>
        <w:tc>
          <w:tcPr>
            <w:tcW w:w="730" w:type="pct"/>
            <w:vMerge w:val="continue"/>
            <w:noWrap w:val="0"/>
            <w:vAlign w:val="center"/>
          </w:tcPr>
          <w:p>
            <w:pPr>
              <w:widowControl/>
              <w:adjustRightInd w:val="0"/>
              <w:snapToGrid w:val="0"/>
              <w:jc w:val="left"/>
              <w:rPr>
                <w:rFonts w:ascii="Times New Roman"/>
                <w:color w:val="auto"/>
                <w:sz w:val="21"/>
                <w:szCs w:val="21"/>
                <w:highlight w:val="none"/>
              </w:rPr>
            </w:pPr>
          </w:p>
        </w:tc>
        <w:tc>
          <w:tcPr>
            <w:tcW w:w="396" w:type="pct"/>
            <w:vMerge w:val="continue"/>
            <w:noWrap w:val="0"/>
            <w:vAlign w:val="center"/>
          </w:tcPr>
          <w:p>
            <w:pPr>
              <w:widowControl/>
              <w:adjustRightInd w:val="0"/>
              <w:snapToGrid w:val="0"/>
              <w:jc w:val="left"/>
              <w:rPr>
                <w:rFonts w:ascii="Times New Roman"/>
                <w:color w:val="auto"/>
                <w:sz w:val="21"/>
                <w:szCs w:val="21"/>
                <w:highlight w:val="none"/>
              </w:rPr>
            </w:pPr>
          </w:p>
        </w:tc>
        <w:tc>
          <w:tcPr>
            <w:tcW w:w="1060" w:type="pct"/>
            <w:vMerge w:val="continue"/>
            <w:noWrap w:val="0"/>
            <w:vAlign w:val="center"/>
          </w:tcPr>
          <w:p>
            <w:pPr>
              <w:widowControl/>
              <w:adjustRightInd w:val="0"/>
              <w:snapToGrid w:val="0"/>
              <w:jc w:val="left"/>
              <w:rPr>
                <w:rFonts w:asci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39" w:type="pct"/>
            <w:noWrap w:val="0"/>
            <w:vAlign w:val="center"/>
          </w:tcPr>
          <w:p>
            <w:pPr>
              <w:adjustRightInd w:val="0"/>
              <w:snapToGrid w:val="0"/>
              <w:jc w:val="center"/>
              <w:textAlignment w:val="center"/>
              <w:rPr>
                <w:rFonts w:ascii="Times New Roman"/>
                <w:color w:val="auto"/>
                <w:sz w:val="21"/>
                <w:szCs w:val="21"/>
                <w:highlight w:val="none"/>
              </w:rPr>
            </w:pPr>
            <w:r>
              <w:rPr>
                <w:rFonts w:hint="eastAsia"/>
                <w:bCs/>
                <w:color w:val="auto"/>
                <w:sz w:val="21"/>
                <w:szCs w:val="21"/>
                <w:highlight w:val="none"/>
                <w:lang w:eastAsia="zh-CN"/>
              </w:rPr>
              <w:t>大气环境</w:t>
            </w:r>
          </w:p>
        </w:tc>
        <w:tc>
          <w:tcPr>
            <w:tcW w:w="442" w:type="pct"/>
            <w:noWrap w:val="0"/>
            <w:vAlign w:val="center"/>
          </w:tcPr>
          <w:p>
            <w:pPr>
              <w:adjustRightInd w:val="0"/>
              <w:snapToGrid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伊敏林场</w:t>
            </w:r>
          </w:p>
        </w:tc>
        <w:tc>
          <w:tcPr>
            <w:tcW w:w="793" w:type="pct"/>
            <w:noWrap w:val="0"/>
            <w:vAlign w:val="center"/>
          </w:tcPr>
          <w:p>
            <w:pPr>
              <w:adjustRightInd w:val="0"/>
              <w:snapToGrid w:val="0"/>
              <w:jc w:val="center"/>
              <w:textAlignment w:val="center"/>
              <w:rPr>
                <w:rFonts w:ascii="Times New Roman"/>
                <w:color w:val="auto"/>
                <w:sz w:val="21"/>
                <w:szCs w:val="21"/>
                <w:highlight w:val="none"/>
              </w:rPr>
            </w:pPr>
            <w:r>
              <w:rPr>
                <w:rFonts w:hint="eastAsia" w:ascii="Times New Roman"/>
                <w:color w:val="auto"/>
                <w:sz w:val="21"/>
                <w:szCs w:val="21"/>
                <w:highlight w:val="none"/>
              </w:rPr>
              <w:t>128.948352</w:t>
            </w:r>
          </w:p>
        </w:tc>
        <w:tc>
          <w:tcPr>
            <w:tcW w:w="712" w:type="pct"/>
            <w:noWrap w:val="0"/>
            <w:vAlign w:val="center"/>
          </w:tcPr>
          <w:p>
            <w:pPr>
              <w:adjustRightInd w:val="0"/>
              <w:snapToGrid w:val="0"/>
              <w:jc w:val="center"/>
              <w:textAlignment w:val="center"/>
              <w:rPr>
                <w:rFonts w:ascii="Times New Roman"/>
                <w:color w:val="auto"/>
                <w:sz w:val="21"/>
                <w:szCs w:val="21"/>
                <w:highlight w:val="none"/>
              </w:rPr>
            </w:pPr>
            <w:r>
              <w:rPr>
                <w:rFonts w:hint="eastAsia" w:ascii="Times New Roman"/>
                <w:color w:val="auto"/>
                <w:sz w:val="21"/>
                <w:szCs w:val="21"/>
                <w:highlight w:val="none"/>
              </w:rPr>
              <w:t>47.704320</w:t>
            </w:r>
          </w:p>
        </w:tc>
        <w:tc>
          <w:tcPr>
            <w:tcW w:w="524" w:type="pct"/>
            <w:noWrap w:val="0"/>
            <w:vAlign w:val="center"/>
          </w:tcPr>
          <w:p>
            <w:pPr>
              <w:adjustRightInd w:val="0"/>
              <w:snapToGrid w:val="0"/>
              <w:jc w:val="center"/>
              <w:textAlignment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E、</w:t>
            </w:r>
            <w:r>
              <w:rPr>
                <w:rFonts w:hint="eastAsia" w:ascii="Times New Roman" w:eastAsia="宋体"/>
                <w:color w:val="auto"/>
                <w:sz w:val="21"/>
                <w:szCs w:val="21"/>
                <w:highlight w:val="none"/>
                <w:lang w:val="en-US" w:eastAsia="zh-CN"/>
              </w:rPr>
              <w:t>W</w:t>
            </w:r>
            <w:r>
              <w:rPr>
                <w:rFonts w:hint="eastAsia"/>
                <w:color w:val="auto"/>
                <w:sz w:val="21"/>
                <w:szCs w:val="21"/>
                <w:highlight w:val="none"/>
                <w:lang w:val="en-US" w:eastAsia="zh-CN"/>
              </w:rPr>
              <w:t>、S</w:t>
            </w:r>
          </w:p>
        </w:tc>
        <w:tc>
          <w:tcPr>
            <w:tcW w:w="730" w:type="pct"/>
            <w:noWrap w:val="0"/>
            <w:vAlign w:val="center"/>
          </w:tcPr>
          <w:p>
            <w:pPr>
              <w:adjustRightInd w:val="0"/>
              <w:snapToGrid w:val="0"/>
              <w:jc w:val="center"/>
              <w:textAlignment w:val="center"/>
              <w:rPr>
                <w:rFonts w:hint="eastAsia" w:asci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rPr>
              <w:t>农村地区人群较集中区域</w:t>
            </w:r>
          </w:p>
        </w:tc>
        <w:tc>
          <w:tcPr>
            <w:tcW w:w="396" w:type="pct"/>
            <w:noWrap w:val="0"/>
            <w:vAlign w:val="center"/>
          </w:tcPr>
          <w:p>
            <w:pPr>
              <w:adjustRightInd w:val="0"/>
              <w:snapToGrid w:val="0"/>
              <w:jc w:val="center"/>
              <w:textAlignment w:val="center"/>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75</w:t>
            </w:r>
          </w:p>
        </w:tc>
        <w:tc>
          <w:tcPr>
            <w:tcW w:w="1060" w:type="pct"/>
            <w:noWrap w:val="0"/>
            <w:vAlign w:val="center"/>
          </w:tcPr>
          <w:p>
            <w:pPr>
              <w:adjustRightInd w:val="0"/>
              <w:snapToGrid w:val="0"/>
              <w:jc w:val="center"/>
              <w:textAlignment w:val="center"/>
              <w:rPr>
                <w:rFonts w:ascii="Times New Roman"/>
                <w:color w:val="auto"/>
                <w:sz w:val="21"/>
                <w:szCs w:val="21"/>
                <w:highlight w:val="none"/>
              </w:rPr>
            </w:pPr>
          </w:p>
          <w:p>
            <w:pPr>
              <w:adjustRightInd w:val="0"/>
              <w:snapToGrid w:val="0"/>
              <w:jc w:val="center"/>
              <w:textAlignment w:val="center"/>
              <w:rPr>
                <w:rFonts w:ascii="Times New Roman"/>
                <w:color w:val="auto"/>
                <w:sz w:val="21"/>
                <w:szCs w:val="21"/>
                <w:highlight w:val="none"/>
              </w:rPr>
            </w:pPr>
            <w:r>
              <w:rPr>
                <w:rFonts w:ascii="Times New Roman"/>
                <w:color w:val="auto"/>
                <w:sz w:val="21"/>
                <w:szCs w:val="21"/>
                <w:highlight w:val="none"/>
              </w:rPr>
              <w:t>《环境空气质量标准》（GB3095-20</w:t>
            </w:r>
            <w:r>
              <w:rPr>
                <w:rFonts w:hint="eastAsia"/>
                <w:color w:val="auto"/>
                <w:sz w:val="21"/>
                <w:szCs w:val="21"/>
                <w:highlight w:val="none"/>
                <w:lang w:val="en-US" w:eastAsia="zh-CN"/>
              </w:rPr>
              <w:t>26</w:t>
            </w:r>
            <w:r>
              <w:rPr>
                <w:rFonts w:ascii="Times New Roman"/>
                <w:color w:val="auto"/>
                <w:sz w:val="21"/>
                <w:szCs w:val="21"/>
                <w:highlight w:val="none"/>
              </w:rPr>
              <w:t>）二类区</w:t>
            </w:r>
          </w:p>
        </w:tc>
      </w:tr>
    </w:tbl>
    <w:p>
      <w:pPr>
        <w:pStyle w:val="124"/>
        <w:rPr>
          <w:color w:val="auto"/>
        </w:rPr>
      </w:pPr>
    </w:p>
    <w:p>
      <w:pPr>
        <w:pStyle w:val="3"/>
        <w:numPr>
          <w:ilvl w:val="0"/>
          <w:numId w:val="0"/>
        </w:numPr>
        <w:bidi w:val="0"/>
        <w:ind w:leftChars="0"/>
        <w:rPr>
          <w:rFonts w:hint="default" w:ascii="宋体" w:hAnsi="宋体" w:eastAsia="宋体" w:cs="Times New Roman"/>
          <w:b w:val="0"/>
          <w:bCs w:val="0"/>
          <w:color w:val="auto"/>
          <w:sz w:val="28"/>
          <w:szCs w:val="28"/>
        </w:rPr>
      </w:pPr>
      <w:bookmarkStart w:id="141" w:name="_Toc30370"/>
      <w:bookmarkStart w:id="142" w:name="_Toc1780"/>
      <w:bookmarkStart w:id="143" w:name="_Toc6779"/>
      <w:bookmarkStart w:id="144" w:name="_Toc12562"/>
      <w:bookmarkStart w:id="145" w:name="_Toc7203"/>
      <w:bookmarkStart w:id="146" w:name="_Toc20238"/>
      <w:bookmarkStart w:id="147" w:name="_Toc26853"/>
      <w:r>
        <w:rPr>
          <w:rFonts w:hint="default" w:ascii="宋体" w:hAnsi="宋体" w:eastAsia="宋体" w:cs="Times New Roman"/>
          <w:b w:val="0"/>
          <w:bCs w:val="0"/>
          <w:color w:val="auto"/>
          <w:sz w:val="28"/>
          <w:szCs w:val="28"/>
        </w:rPr>
        <w:t>2建设项目工程分析</w:t>
      </w:r>
      <w:bookmarkEnd w:id="141"/>
      <w:bookmarkEnd w:id="142"/>
      <w:bookmarkEnd w:id="143"/>
      <w:bookmarkEnd w:id="144"/>
      <w:bookmarkEnd w:id="145"/>
      <w:bookmarkEnd w:id="146"/>
      <w:bookmarkEnd w:id="147"/>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148" w:name="_Toc9073"/>
      <w:bookmarkStart w:id="149" w:name="_Toc21558"/>
      <w:bookmarkStart w:id="150" w:name="_Toc11579"/>
      <w:bookmarkStart w:id="151" w:name="_Toc5961"/>
      <w:bookmarkStart w:id="152" w:name="_Toc31696"/>
      <w:r>
        <w:rPr>
          <w:rFonts w:ascii="Times New Roman" w:hAnsi="Times New Roman" w:eastAsia="宋体" w:cs="Times New Roman"/>
          <w:b w:val="0"/>
          <w:bCs/>
          <w:color w:val="auto"/>
          <w:sz w:val="24"/>
          <w:szCs w:val="24"/>
          <w:highlight w:val="none"/>
        </w:rPr>
        <w:t>2.1项目概况</w:t>
      </w:r>
      <w:bookmarkEnd w:id="148"/>
      <w:bookmarkEnd w:id="149"/>
      <w:bookmarkEnd w:id="150"/>
      <w:bookmarkEnd w:id="151"/>
      <w:bookmarkEnd w:id="152"/>
    </w:p>
    <w:p>
      <w:pPr>
        <w:pStyle w:val="117"/>
        <w:bidi w:val="0"/>
        <w:rPr>
          <w:rFonts w:hint="default"/>
          <w:color w:val="auto"/>
          <w:lang w:val="en-US" w:eastAsia="zh-CN"/>
        </w:rPr>
      </w:pPr>
      <w:r>
        <w:rPr>
          <w:rFonts w:hint="eastAsia"/>
          <w:b w:val="0"/>
          <w:bCs/>
          <w:color w:val="auto"/>
          <w:szCs w:val="21"/>
          <w:lang w:val="en-US" w:eastAsia="zh-CN"/>
        </w:rPr>
        <w:t>本项目在现有厂区内改扩建。新设</w:t>
      </w:r>
      <w:r>
        <w:rPr>
          <w:rFonts w:hint="eastAsia"/>
          <w:b w:val="0"/>
          <w:bCs/>
          <w:color w:val="auto"/>
          <w:szCs w:val="21"/>
        </w:rPr>
        <w:t>1条沥青混凝土生产线，设备型号为</w:t>
      </w:r>
      <w:r>
        <w:rPr>
          <w:rFonts w:hint="eastAsia"/>
          <w:b w:val="0"/>
          <w:bCs/>
          <w:color w:val="auto"/>
          <w:szCs w:val="21"/>
          <w:highlight w:val="none"/>
          <w:lang w:val="en-US" w:eastAsia="zh-CN"/>
        </w:rPr>
        <w:t>LR3015型沥青混合料厂拌热再生组合设备</w:t>
      </w:r>
      <w:r>
        <w:rPr>
          <w:rFonts w:hint="eastAsia" w:hAnsi="宋体"/>
          <w:b w:val="0"/>
          <w:bCs/>
          <w:color w:val="auto"/>
          <w:szCs w:val="21"/>
        </w:rPr>
        <w:t>，年产</w:t>
      </w:r>
      <w:r>
        <w:rPr>
          <w:rFonts w:hint="eastAsia"/>
          <w:b w:val="0"/>
          <w:bCs/>
          <w:color w:val="auto"/>
          <w:szCs w:val="21"/>
        </w:rPr>
        <w:t>沥青混凝土</w:t>
      </w:r>
      <w:r>
        <w:rPr>
          <w:rFonts w:hint="eastAsia"/>
          <w:b w:val="0"/>
          <w:bCs/>
          <w:color w:val="auto"/>
          <w:szCs w:val="21"/>
          <w:lang w:val="en-US" w:eastAsia="zh-CN"/>
        </w:rPr>
        <w:t>5</w:t>
      </w:r>
      <w:r>
        <w:rPr>
          <w:rFonts w:hint="eastAsia"/>
          <w:b w:val="0"/>
          <w:bCs/>
          <w:color w:val="auto"/>
          <w:szCs w:val="21"/>
        </w:rPr>
        <w:t>万t/a</w:t>
      </w:r>
      <w:r>
        <w:rPr>
          <w:rFonts w:hint="eastAsia" w:hAnsi="宋体"/>
          <w:b w:val="0"/>
          <w:bCs/>
          <w:color w:val="auto"/>
          <w:szCs w:val="21"/>
        </w:rPr>
        <w:t>。</w:t>
      </w:r>
      <w:r>
        <w:rPr>
          <w:rFonts w:hint="eastAsia" w:hAnsi="宋体"/>
          <w:b w:val="0"/>
          <w:bCs/>
          <w:color w:val="auto"/>
          <w:szCs w:val="21"/>
          <w:lang w:val="en-US" w:eastAsia="zh-CN"/>
        </w:rPr>
        <w:t>拆除现有厂区的设备，保留利旧的设备有导热油炉、沥青罐6座、40t油罐1座，利用现有6000</w:t>
      </w:r>
      <w:r>
        <w:rPr>
          <w:rFonts w:ascii="Times New Roman" w:hAnsi="Times New Roman" w:eastAsia="Times New Roman"/>
          <w:b w:val="0"/>
          <w:bCs/>
          <w:color w:val="auto"/>
          <w:spacing w:val="-4"/>
          <w:sz w:val="21"/>
          <w:szCs w:val="21"/>
          <w:highlight w:val="none"/>
        </w:rPr>
        <w:t>m</w:t>
      </w:r>
      <w:r>
        <w:rPr>
          <w:rFonts w:ascii="Times New Roman" w:hAnsi="Times New Roman" w:eastAsia="Times New Roman"/>
          <w:b w:val="0"/>
          <w:bCs/>
          <w:color w:val="auto"/>
          <w:spacing w:val="-4"/>
          <w:position w:val="7"/>
          <w:sz w:val="14"/>
          <w:szCs w:val="14"/>
          <w:highlight w:val="none"/>
        </w:rPr>
        <w:t>2</w:t>
      </w:r>
      <w:r>
        <w:rPr>
          <w:rFonts w:hint="eastAsia" w:hAnsi="宋体"/>
          <w:b w:val="0"/>
          <w:bCs/>
          <w:color w:val="auto"/>
          <w:szCs w:val="21"/>
          <w:lang w:val="en-US" w:eastAsia="zh-CN"/>
        </w:rPr>
        <w:t>堆料场</w:t>
      </w:r>
      <w:r>
        <w:rPr>
          <w:rFonts w:hint="eastAsia" w:ascii="Times New Roman" w:hAnsi="Times New Roman" w:eastAsia="宋体" w:cs="Times New Roman"/>
          <w:b w:val="0"/>
          <w:bCs/>
          <w:color w:val="auto"/>
          <w:szCs w:val="24"/>
        </w:rPr>
        <w:t>。</w:t>
      </w:r>
      <w:r>
        <w:rPr>
          <w:rFonts w:hint="eastAsia" w:cs="Times New Roman"/>
          <w:b w:val="0"/>
          <w:bCs/>
          <w:color w:val="auto"/>
          <w:szCs w:val="24"/>
          <w:lang w:val="en-US" w:eastAsia="zh-CN"/>
        </w:rPr>
        <w:t>新建初期雨水池1座。</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153" w:name="_Toc29827"/>
      <w:bookmarkStart w:id="154" w:name="_Toc12133"/>
      <w:bookmarkStart w:id="155" w:name="_Toc3854"/>
      <w:bookmarkStart w:id="156" w:name="_Toc12015"/>
      <w:r>
        <w:rPr>
          <w:rFonts w:ascii="Times New Roman" w:hAnsi="Times New Roman" w:eastAsia="宋体" w:cs="Times New Roman"/>
          <w:b w:val="0"/>
          <w:bCs/>
          <w:color w:val="auto"/>
          <w:sz w:val="24"/>
          <w:szCs w:val="24"/>
          <w:highlight w:val="none"/>
        </w:rPr>
        <w:t>2.</w:t>
      </w:r>
      <w:r>
        <w:rPr>
          <w:rFonts w:hint="eastAsia" w:ascii="Times New Roman" w:hAnsi="Times New Roman" w:eastAsia="宋体" w:cs="Times New Roman"/>
          <w:b w:val="0"/>
          <w:bCs/>
          <w:color w:val="auto"/>
          <w:sz w:val="24"/>
          <w:szCs w:val="24"/>
          <w:highlight w:val="none"/>
          <w:lang w:val="en-US" w:eastAsia="zh-CN"/>
        </w:rPr>
        <w:t>2</w:t>
      </w:r>
      <w:r>
        <w:rPr>
          <w:rFonts w:ascii="Times New Roman" w:hAnsi="Times New Roman" w:eastAsia="宋体" w:cs="Times New Roman"/>
          <w:b w:val="0"/>
          <w:bCs/>
          <w:color w:val="auto"/>
          <w:sz w:val="24"/>
          <w:szCs w:val="24"/>
          <w:highlight w:val="none"/>
        </w:rPr>
        <w:t>工艺流程及废气排污节点</w:t>
      </w:r>
      <w:bookmarkEnd w:id="153"/>
      <w:bookmarkEnd w:id="154"/>
      <w:bookmarkEnd w:id="155"/>
      <w:bookmarkEnd w:id="156"/>
    </w:p>
    <w:p>
      <w:pPr>
        <w:pStyle w:val="117"/>
        <w:ind w:firstLine="480"/>
        <w:rPr>
          <w:rFonts w:hint="eastAsia" w:cs="Times New Roman"/>
          <w:color w:val="auto"/>
          <w:highlight w:val="none"/>
        </w:rPr>
      </w:pPr>
      <w:r>
        <w:rPr>
          <w:color w:val="auto"/>
          <w:highlight w:val="none"/>
        </w:rPr>
        <w:t>工艺流程</w:t>
      </w:r>
      <w:r>
        <w:rPr>
          <w:rFonts w:hint="eastAsia"/>
          <w:color w:val="auto"/>
          <w:highlight w:val="none"/>
          <w:lang w:val="en-US" w:eastAsia="zh-CN"/>
        </w:rPr>
        <w:t>简述：</w:t>
      </w:r>
    </w:p>
    <w:p>
      <w:pPr>
        <w:spacing w:line="360" w:lineRule="auto"/>
        <w:ind w:firstLine="480" w:firstLineChars="200"/>
        <w:rPr>
          <w:rFonts w:eastAsiaTheme="minorEastAsia"/>
          <w:color w:val="auto"/>
          <w:sz w:val="24"/>
        </w:rPr>
      </w:pPr>
      <w:r>
        <w:rPr>
          <w:rFonts w:eastAsiaTheme="minorEastAsia"/>
          <w:color w:val="auto"/>
          <w:sz w:val="24"/>
        </w:rPr>
        <w:t>1、原料贮存：沥青混凝土的骨料主要包括各种粒径的碎石</w:t>
      </w:r>
      <w:r>
        <w:rPr>
          <w:rFonts w:hint="eastAsia" w:eastAsiaTheme="minorEastAsia"/>
          <w:color w:val="auto"/>
          <w:sz w:val="24"/>
          <w:lang w:eastAsia="zh-CN"/>
        </w:rPr>
        <w:t>、</w:t>
      </w:r>
      <w:r>
        <w:rPr>
          <w:rFonts w:hint="eastAsia" w:eastAsiaTheme="minorEastAsia"/>
          <w:color w:val="auto"/>
          <w:sz w:val="24"/>
          <w:lang w:val="en-US" w:eastAsia="zh-CN"/>
        </w:rPr>
        <w:t>机制砂</w:t>
      </w:r>
      <w:r>
        <w:rPr>
          <w:rFonts w:eastAsiaTheme="minorEastAsia"/>
          <w:color w:val="auto"/>
          <w:sz w:val="24"/>
        </w:rPr>
        <w:t>，采用汽运方式运输至指定堆场，矿粉由密闭矿粉运输车通过气力输送贮存在密闭矿粉筒仓内，</w:t>
      </w:r>
      <w:r>
        <w:rPr>
          <w:rFonts w:hint="eastAsia" w:hAnsiTheme="minorEastAsia" w:eastAsiaTheme="minorEastAsia"/>
          <w:bCs/>
          <w:color w:val="auto"/>
          <w:sz w:val="24"/>
        </w:rPr>
        <w:t>上料采用绞龙密闭输送，因此筒仓原料输送过程仅卸料时有含尘废气排放。</w:t>
      </w:r>
      <w:r>
        <w:rPr>
          <w:rFonts w:eastAsiaTheme="minorEastAsia"/>
          <w:color w:val="auto"/>
          <w:sz w:val="24"/>
        </w:rPr>
        <w:t>沥青进厂时为液体散装沥青，由专用沥青运输车将其通过密闭管道送至沥青罐内。</w:t>
      </w:r>
      <w:r>
        <w:rPr>
          <w:rFonts w:eastAsiaTheme="minorEastAsia"/>
          <w:bCs/>
          <w:color w:val="auto"/>
          <w:sz w:val="24"/>
        </w:rPr>
        <w:t>在矿粉筒仓顶部安装</w:t>
      </w:r>
      <w:r>
        <w:rPr>
          <w:rFonts w:hint="eastAsia" w:eastAsiaTheme="minorEastAsia"/>
          <w:bCs/>
          <w:color w:val="auto"/>
          <w:sz w:val="24"/>
          <w:lang w:val="en-US" w:eastAsia="zh-CN"/>
        </w:rPr>
        <w:t>脉冲布袋除尘器</w:t>
      </w:r>
      <w:r>
        <w:rPr>
          <w:rFonts w:eastAsiaTheme="minorEastAsia"/>
          <w:bCs/>
          <w:color w:val="auto"/>
          <w:sz w:val="24"/>
        </w:rPr>
        <w:t>，装卸粉尘经除尘</w:t>
      </w:r>
      <w:r>
        <w:rPr>
          <w:rFonts w:hint="eastAsia" w:eastAsiaTheme="minorEastAsia"/>
          <w:bCs/>
          <w:color w:val="auto"/>
          <w:sz w:val="24"/>
        </w:rPr>
        <w:t>系统</w:t>
      </w:r>
      <w:r>
        <w:rPr>
          <w:rFonts w:eastAsiaTheme="minorEastAsia"/>
          <w:bCs/>
          <w:color w:val="auto"/>
          <w:sz w:val="24"/>
        </w:rPr>
        <w:t>（处理效率为99%）处理后，</w:t>
      </w:r>
      <w:r>
        <w:rPr>
          <w:rFonts w:hint="eastAsia" w:eastAsiaTheme="minorEastAsia"/>
          <w:bCs/>
          <w:color w:val="auto"/>
          <w:sz w:val="24"/>
        </w:rPr>
        <w:t>由</w:t>
      </w:r>
      <w:r>
        <w:rPr>
          <w:rFonts w:hint="eastAsia" w:eastAsiaTheme="minorEastAsia"/>
          <w:bCs/>
          <w:color w:val="auto"/>
          <w:sz w:val="24"/>
          <w:lang w:val="en-US" w:eastAsia="zh-CN"/>
        </w:rPr>
        <w:t>现有15</w:t>
      </w:r>
      <w:r>
        <w:rPr>
          <w:rFonts w:hint="eastAsia" w:eastAsiaTheme="minorEastAsia"/>
          <w:bCs/>
          <w:color w:val="auto"/>
          <w:sz w:val="24"/>
        </w:rPr>
        <w:t>m高除尘系统烟囱（DA001）排放</w:t>
      </w:r>
      <w:r>
        <w:rPr>
          <w:rFonts w:eastAsiaTheme="minorEastAsia"/>
          <w:bCs/>
          <w:color w:val="auto"/>
          <w:sz w:val="24"/>
        </w:rPr>
        <w:t>。</w:t>
      </w:r>
    </w:p>
    <w:p>
      <w:pPr>
        <w:spacing w:line="360" w:lineRule="auto"/>
        <w:ind w:firstLine="480" w:firstLineChars="200"/>
        <w:rPr>
          <w:rFonts w:eastAsiaTheme="minorEastAsia"/>
          <w:color w:val="auto"/>
          <w:sz w:val="24"/>
        </w:rPr>
      </w:pPr>
      <w:r>
        <w:rPr>
          <w:rFonts w:eastAsiaTheme="minorEastAsia"/>
          <w:color w:val="auto"/>
          <w:sz w:val="24"/>
        </w:rPr>
        <w:t>2、骨料预处理：生产时，碎石从储料场利用铲车铲至冷料仓，然后通过密闭的集料输送机和皮带输送机自动计量、进料。项目料斗上料区域均只留操作面，其余几面封闭。</w:t>
      </w:r>
      <w:r>
        <w:rPr>
          <w:rFonts w:eastAsiaTheme="minorEastAsia"/>
          <w:bCs/>
          <w:color w:val="auto"/>
          <w:sz w:val="24"/>
        </w:rPr>
        <w:t>冷料仓上</w:t>
      </w:r>
      <w:r>
        <w:rPr>
          <w:rFonts w:hint="eastAsia" w:eastAsiaTheme="minorEastAsia"/>
          <w:bCs/>
          <w:color w:val="auto"/>
          <w:sz w:val="24"/>
        </w:rPr>
        <w:t>方</w:t>
      </w:r>
      <w:r>
        <w:rPr>
          <w:rFonts w:eastAsiaTheme="minorEastAsia"/>
          <w:bCs/>
          <w:color w:val="auto"/>
          <w:sz w:val="24"/>
        </w:rPr>
        <w:t>安装</w:t>
      </w:r>
      <w:r>
        <w:rPr>
          <w:rFonts w:hint="eastAsia" w:eastAsiaTheme="minorEastAsia"/>
          <w:bCs/>
          <w:color w:val="auto"/>
          <w:sz w:val="24"/>
        </w:rPr>
        <w:t>集气</w:t>
      </w:r>
      <w:r>
        <w:rPr>
          <w:rFonts w:eastAsiaTheme="minorEastAsia"/>
          <w:bCs/>
          <w:color w:val="auto"/>
          <w:sz w:val="24"/>
        </w:rPr>
        <w:t>装置</w:t>
      </w:r>
      <w:r>
        <w:rPr>
          <w:rFonts w:hint="eastAsia" w:eastAsiaTheme="minorEastAsia"/>
          <w:bCs/>
          <w:color w:val="auto"/>
          <w:sz w:val="24"/>
        </w:rPr>
        <w:t>（收集效率90%）</w:t>
      </w:r>
      <w:r>
        <w:rPr>
          <w:rFonts w:eastAsiaTheme="minorEastAsia"/>
          <w:bCs/>
          <w:color w:val="auto"/>
          <w:sz w:val="24"/>
        </w:rPr>
        <w:t>，上料废气经收集后</w:t>
      </w:r>
      <w:r>
        <w:rPr>
          <w:rFonts w:hint="eastAsia" w:eastAsiaTheme="minorEastAsia"/>
          <w:bCs/>
          <w:color w:val="auto"/>
          <w:sz w:val="24"/>
        </w:rPr>
        <w:t>通过管道连接至除尘系统（重力+布袋），处理后由</w:t>
      </w:r>
      <w:r>
        <w:rPr>
          <w:rFonts w:hint="eastAsia" w:eastAsiaTheme="minorEastAsia"/>
          <w:bCs/>
          <w:color w:val="auto"/>
          <w:sz w:val="24"/>
          <w:lang w:val="en-US" w:eastAsia="zh-CN"/>
        </w:rPr>
        <w:t>15</w:t>
      </w:r>
      <w:r>
        <w:rPr>
          <w:rFonts w:hint="eastAsia" w:eastAsiaTheme="minorEastAsia"/>
          <w:bCs/>
          <w:color w:val="auto"/>
          <w:sz w:val="24"/>
        </w:rPr>
        <w:t>m高除尘系统烟囱（DA001）排放，除尘效率为99%</w:t>
      </w:r>
      <w:r>
        <w:rPr>
          <w:rFonts w:eastAsiaTheme="minorEastAsia"/>
          <w:bCs/>
          <w:color w:val="auto"/>
          <w:sz w:val="24"/>
        </w:rPr>
        <w:t>。</w:t>
      </w:r>
      <w:r>
        <w:rPr>
          <w:rFonts w:eastAsiaTheme="minorEastAsia"/>
          <w:color w:val="auto"/>
          <w:sz w:val="24"/>
        </w:rPr>
        <w:t>为使沥青混凝土产品不至于因过快冷却而带来运输上的不便，骨料在与沥青混合前要经过热处理。骨料由皮带输送机在密闭输送通道内送入干燥筒，骨料在干燥筒内加热至</w:t>
      </w:r>
      <w:r>
        <w:rPr>
          <w:rFonts w:hint="eastAsia" w:eastAsiaTheme="minorEastAsia"/>
          <w:color w:val="auto"/>
          <w:sz w:val="24"/>
        </w:rPr>
        <w:t>180</w:t>
      </w:r>
      <w:r>
        <w:rPr>
          <w:rFonts w:eastAsiaTheme="minorEastAsia"/>
          <w:color w:val="auto"/>
          <w:sz w:val="24"/>
        </w:rPr>
        <w:t>℃。干燥筒燃烧产生的热量，干燥工艺采用直接接触干燥方式。干燥筒通过加热，并不停转动，以使骨料受热干燥，加热后的</w:t>
      </w:r>
      <w:r>
        <w:rPr>
          <w:rFonts w:hint="eastAsia" w:eastAsiaTheme="minorEastAsia"/>
          <w:color w:val="auto"/>
          <w:sz w:val="24"/>
        </w:rPr>
        <w:t>石料为方便各粒径物料搅拌过程计量精准，</w:t>
      </w:r>
      <w:r>
        <w:rPr>
          <w:rFonts w:eastAsiaTheme="minorEastAsia"/>
          <w:color w:val="auto"/>
          <w:sz w:val="24"/>
        </w:rPr>
        <w:t>加热后的骨料经通过骨料提升机送到粒度检控系统内进行振动筛分</w:t>
      </w:r>
      <w:r>
        <w:rPr>
          <w:rFonts w:hint="eastAsia" w:eastAsiaTheme="minorEastAsia"/>
          <w:color w:val="auto"/>
          <w:sz w:val="24"/>
        </w:rPr>
        <w:t>，</w:t>
      </w:r>
      <w:r>
        <w:rPr>
          <w:rFonts w:eastAsiaTheme="minorEastAsia"/>
          <w:color w:val="auto"/>
          <w:sz w:val="24"/>
        </w:rPr>
        <w:t>随后将加热的不同粒径骨料通过提升机输送至各自热骨料仓暂存，骨料经计量后进入沥青混凝土搅拌站</w:t>
      </w:r>
      <w:r>
        <w:rPr>
          <w:rFonts w:hint="eastAsia" w:eastAsiaTheme="minorEastAsia"/>
          <w:color w:val="auto"/>
          <w:sz w:val="24"/>
        </w:rPr>
        <w:t>，</w:t>
      </w:r>
      <w:r>
        <w:rPr>
          <w:rFonts w:eastAsiaTheme="minorEastAsia"/>
          <w:color w:val="auto"/>
          <w:sz w:val="24"/>
        </w:rPr>
        <w:t>本项目沥青混凝土装置为一体式封闭设备，骨料输送、提升等过程全封闭。</w:t>
      </w:r>
      <w:r>
        <w:rPr>
          <w:rFonts w:hint="eastAsia"/>
          <w:color w:val="auto"/>
          <w:sz w:val="24"/>
        </w:rPr>
        <w:t>骨料加热过程产生烟气不会以无组织形式排放。</w:t>
      </w:r>
    </w:p>
    <w:p>
      <w:pPr>
        <w:spacing w:line="360" w:lineRule="auto"/>
        <w:ind w:firstLine="480" w:firstLineChars="200"/>
        <w:rPr>
          <w:rFonts w:eastAsiaTheme="minorEastAsia"/>
          <w:color w:val="auto"/>
          <w:sz w:val="24"/>
        </w:rPr>
      </w:pPr>
      <w:r>
        <w:rPr>
          <w:rFonts w:eastAsiaTheme="minorEastAsia"/>
          <w:bCs/>
          <w:color w:val="auto"/>
          <w:sz w:val="24"/>
        </w:rPr>
        <w:t>本项目上料粉尘、</w:t>
      </w:r>
      <w:r>
        <w:rPr>
          <w:rFonts w:eastAsiaTheme="minorEastAsia"/>
          <w:color w:val="auto"/>
          <w:sz w:val="24"/>
        </w:rPr>
        <w:t>碎石筛分粉尘、烘干废气</w:t>
      </w:r>
      <w:r>
        <w:rPr>
          <w:rFonts w:hint="eastAsia" w:eastAsiaTheme="minorEastAsia"/>
          <w:color w:val="auto"/>
          <w:sz w:val="24"/>
          <w:lang w:eastAsia="zh-CN"/>
        </w:rPr>
        <w:t>、</w:t>
      </w:r>
      <w:r>
        <w:rPr>
          <w:rFonts w:eastAsiaTheme="minorEastAsia"/>
          <w:color w:val="auto"/>
          <w:sz w:val="24"/>
        </w:rPr>
        <w:t>燃烧器烟气、热料仓落料废气、</w:t>
      </w:r>
      <w:r>
        <w:rPr>
          <w:rFonts w:eastAsiaTheme="minorEastAsia"/>
          <w:bCs/>
          <w:color w:val="auto"/>
          <w:sz w:val="24"/>
        </w:rPr>
        <w:t>矿粉筒装卸粉尘</w:t>
      </w:r>
      <w:r>
        <w:rPr>
          <w:rFonts w:hint="eastAsia" w:eastAsiaTheme="minorEastAsia"/>
          <w:color w:val="auto"/>
          <w:sz w:val="24"/>
        </w:rPr>
        <w:t>经除尘系统（重力+布袋）处理后，由</w:t>
      </w:r>
      <w:r>
        <w:rPr>
          <w:rFonts w:hint="eastAsia" w:eastAsiaTheme="minorEastAsia"/>
          <w:color w:val="auto"/>
          <w:sz w:val="24"/>
          <w:lang w:val="en-US" w:eastAsia="zh-CN"/>
        </w:rPr>
        <w:t>15</w:t>
      </w:r>
      <w:r>
        <w:rPr>
          <w:rFonts w:hint="eastAsia" w:eastAsiaTheme="minorEastAsia"/>
          <w:color w:val="auto"/>
          <w:sz w:val="24"/>
        </w:rPr>
        <w:t>m高除尘系统排气筒（DA001）排放，除尘效率为99%；</w:t>
      </w:r>
    </w:p>
    <w:p>
      <w:pPr>
        <w:spacing w:line="360" w:lineRule="auto"/>
        <w:ind w:firstLine="480" w:firstLineChars="200"/>
        <w:rPr>
          <w:rFonts w:eastAsiaTheme="minorEastAsia"/>
          <w:color w:val="auto"/>
          <w:sz w:val="24"/>
        </w:rPr>
      </w:pPr>
      <w:r>
        <w:rPr>
          <w:rFonts w:eastAsiaTheme="minorEastAsia"/>
          <w:color w:val="auto"/>
          <w:sz w:val="24"/>
        </w:rPr>
        <w:t>3、沥青预处理：沥青罐内的沥青通过导热油炉间接加热，使其维持在1</w:t>
      </w:r>
      <w:r>
        <w:rPr>
          <w:rFonts w:hint="eastAsia" w:eastAsiaTheme="minorEastAsia"/>
          <w:color w:val="auto"/>
          <w:sz w:val="24"/>
        </w:rPr>
        <w:t>5</w:t>
      </w:r>
      <w:r>
        <w:rPr>
          <w:rFonts w:eastAsiaTheme="minorEastAsia"/>
          <w:color w:val="auto"/>
          <w:sz w:val="24"/>
        </w:rPr>
        <w:t>0</w:t>
      </w:r>
      <w:r>
        <w:rPr>
          <w:rFonts w:hint="eastAsia" w:eastAsiaTheme="minorEastAsia"/>
          <w:color w:val="auto"/>
          <w:sz w:val="24"/>
        </w:rPr>
        <w:t>-160</w:t>
      </w:r>
      <w:r>
        <w:rPr>
          <w:rFonts w:eastAsiaTheme="minorEastAsia"/>
          <w:color w:val="auto"/>
          <w:sz w:val="24"/>
        </w:rPr>
        <w:t>℃，确保沥青处于可流动状态</w:t>
      </w:r>
      <w:r>
        <w:rPr>
          <w:rFonts w:hint="eastAsia" w:eastAsiaTheme="minorEastAsia"/>
          <w:color w:val="auto"/>
          <w:sz w:val="24"/>
        </w:rPr>
        <w:t>，</w:t>
      </w:r>
      <w:r>
        <w:rPr>
          <w:rFonts w:eastAsiaTheme="minorEastAsia"/>
          <w:color w:val="auto"/>
          <w:sz w:val="24"/>
        </w:rPr>
        <w:t>导热油炉</w:t>
      </w:r>
      <w:r>
        <w:rPr>
          <w:rFonts w:eastAsiaTheme="minorEastAsia"/>
          <w:bCs/>
          <w:color w:val="auto"/>
          <w:sz w:val="24"/>
        </w:rPr>
        <w:t>烟气经</w:t>
      </w:r>
      <w:r>
        <w:rPr>
          <w:rFonts w:hint="eastAsia" w:eastAsiaTheme="minorEastAsia"/>
          <w:color w:val="auto"/>
          <w:sz w:val="24"/>
        </w:rPr>
        <w:t>低氮燃烧处理后（除氮效率30%），由1根</w:t>
      </w:r>
      <w:r>
        <w:rPr>
          <w:rFonts w:hint="eastAsia" w:eastAsiaTheme="minorEastAsia"/>
          <w:color w:val="auto"/>
          <w:sz w:val="24"/>
          <w:lang w:val="en-US" w:eastAsia="zh-CN"/>
        </w:rPr>
        <w:t>15</w:t>
      </w:r>
      <w:r>
        <w:rPr>
          <w:rFonts w:hint="eastAsia" w:eastAsiaTheme="minorEastAsia"/>
          <w:color w:val="auto"/>
          <w:sz w:val="24"/>
        </w:rPr>
        <w:t>m高排气筒（DA002）排放；</w:t>
      </w:r>
      <w:r>
        <w:rPr>
          <w:rFonts w:eastAsiaTheme="minorEastAsia"/>
          <w:color w:val="auto"/>
          <w:sz w:val="24"/>
        </w:rPr>
        <w:t>生产时用沥青泵将加热好的沥青输送至沥青计量系统，通过专门管道送入搅拌缸内与骨料、粉料进行混合。</w:t>
      </w:r>
    </w:p>
    <w:p>
      <w:pPr>
        <w:spacing w:line="360" w:lineRule="auto"/>
        <w:ind w:firstLine="480" w:firstLineChars="200"/>
        <w:rPr>
          <w:rFonts w:eastAsiaTheme="minorEastAsia"/>
          <w:color w:val="auto"/>
          <w:sz w:val="24"/>
        </w:rPr>
      </w:pPr>
      <w:r>
        <w:rPr>
          <w:rFonts w:eastAsiaTheme="minorEastAsia"/>
          <w:color w:val="auto"/>
          <w:sz w:val="24"/>
        </w:rPr>
        <w:t>4、搅拌混合工序：进入拌合仓的热骨料、矿粉经与热沥青拌合后得到成品沥青混凝土，整个过程都在封闭系统中进行。厂区不设成品贮仓，成品从拌缸卸料后由汽车直接运出。成品由汽车运输至施工场地。</w:t>
      </w:r>
      <w:r>
        <w:rPr>
          <w:rFonts w:hint="eastAsia" w:eastAsiaTheme="minorEastAsia"/>
          <w:color w:val="auto"/>
          <w:sz w:val="24"/>
        </w:rPr>
        <w:t>本项目在沥青混凝土拌和沥青储罐处会产生</w:t>
      </w:r>
      <w:r>
        <w:rPr>
          <w:rFonts w:eastAsiaTheme="minorEastAsia"/>
          <w:bCs/>
          <w:color w:val="auto"/>
          <w:sz w:val="24"/>
        </w:rPr>
        <w:t>非甲烷总烃、</w:t>
      </w:r>
      <w:r>
        <w:rPr>
          <w:rFonts w:hint="eastAsia" w:eastAsiaTheme="minorEastAsia"/>
          <w:color w:val="auto"/>
          <w:sz w:val="24"/>
        </w:rPr>
        <w:t>沥青烟和苯并[a]芘，沥青在密闭储罐中储存过程中产生的烟气以及出料产生的烟气经</w:t>
      </w:r>
      <w:r>
        <w:rPr>
          <w:rFonts w:hint="eastAsia" w:eastAsiaTheme="minorEastAsia"/>
          <w:color w:val="auto"/>
          <w:sz w:val="24"/>
          <w:lang w:eastAsia="zh-CN"/>
        </w:rPr>
        <w:t>活性炭吸附</w:t>
      </w:r>
      <w:r>
        <w:rPr>
          <w:rFonts w:hint="eastAsia" w:eastAsiaTheme="minorEastAsia"/>
          <w:color w:val="auto"/>
          <w:sz w:val="24"/>
        </w:rPr>
        <w:t>（处理效率95%）处理后，经</w:t>
      </w:r>
      <w:r>
        <w:rPr>
          <w:rFonts w:hint="eastAsia" w:eastAsiaTheme="minorEastAsia"/>
          <w:color w:val="auto"/>
          <w:sz w:val="24"/>
          <w:lang w:val="en-US" w:eastAsia="zh-CN"/>
        </w:rPr>
        <w:t>15</w:t>
      </w:r>
      <w:r>
        <w:rPr>
          <w:rFonts w:hint="eastAsia" w:eastAsiaTheme="minorEastAsia"/>
          <w:color w:val="auto"/>
          <w:sz w:val="24"/>
        </w:rPr>
        <w:t>m高排气筒（DA00</w:t>
      </w:r>
      <w:r>
        <w:rPr>
          <w:rFonts w:hint="eastAsia" w:eastAsiaTheme="minorEastAsia"/>
          <w:color w:val="auto"/>
          <w:sz w:val="24"/>
          <w:lang w:val="en-US" w:eastAsia="zh-CN"/>
        </w:rPr>
        <w:t>1</w:t>
      </w:r>
      <w:r>
        <w:rPr>
          <w:rFonts w:hint="eastAsia" w:eastAsiaTheme="minorEastAsia"/>
          <w:color w:val="auto"/>
          <w:sz w:val="24"/>
        </w:rPr>
        <w:t>）排放；</w:t>
      </w:r>
    </w:p>
    <w:p>
      <w:pPr>
        <w:pStyle w:val="117"/>
        <w:ind w:firstLine="480"/>
        <w:rPr>
          <w:color w:val="auto"/>
          <w:highlight w:val="none"/>
        </w:rPr>
      </w:pPr>
      <w:r>
        <w:rPr>
          <w:rFonts w:hint="eastAsia" w:eastAsiaTheme="minorEastAsia"/>
          <w:color w:val="auto"/>
          <w:sz w:val="24"/>
        </w:rPr>
        <w:t>在整个生产过程中由于使用的生产设备先进性较高，采用的是全自动控制系统，在生产过程中可以有效的减少物料的跑冒漏等，以及其它由于生产设备不先进带来的环保问题，整个生产过程除了进料和出料工序，其他工序均采用密闭操作。</w:t>
      </w:r>
    </w:p>
    <w:p>
      <w:pPr>
        <w:pStyle w:val="135"/>
        <w:tabs>
          <w:tab w:val="clear" w:pos="5400"/>
        </w:tabs>
        <w:spacing w:line="240" w:lineRule="auto"/>
        <w:ind w:left="0"/>
        <w:rPr>
          <w:color w:val="auto"/>
          <w:highlight w:val="none"/>
        </w:rPr>
      </w:pPr>
      <w:r>
        <w:rPr>
          <w:color w:val="auto"/>
          <w:highlight w:val="none"/>
        </w:rPr>
        <w:t>表2-</w:t>
      </w:r>
      <w:r>
        <w:rPr>
          <w:rFonts w:hint="eastAsia"/>
          <w:color w:val="auto"/>
          <w:highlight w:val="none"/>
          <w:lang w:val="en-US" w:eastAsia="zh-CN"/>
        </w:rPr>
        <w:t>1</w:t>
      </w:r>
      <w:r>
        <w:rPr>
          <w:color w:val="auto"/>
          <w:highlight w:val="none"/>
        </w:rPr>
        <w:t xml:space="preserve"> 营运期主要污染工序一览表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337"/>
        <w:gridCol w:w="1722"/>
        <w:gridCol w:w="4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9" w:type="dxa"/>
            <w:vAlign w:val="center"/>
          </w:tcPr>
          <w:p>
            <w:pPr>
              <w:pStyle w:val="195"/>
              <w:bidi w:val="0"/>
              <w:rPr>
                <w:color w:val="auto"/>
              </w:rPr>
            </w:pPr>
            <w:r>
              <w:rPr>
                <w:color w:val="auto"/>
              </w:rPr>
              <w:t>污染类别</w:t>
            </w:r>
          </w:p>
        </w:tc>
        <w:tc>
          <w:tcPr>
            <w:tcW w:w="1337" w:type="dxa"/>
            <w:vAlign w:val="center"/>
          </w:tcPr>
          <w:p>
            <w:pPr>
              <w:pStyle w:val="195"/>
              <w:bidi w:val="0"/>
              <w:rPr>
                <w:color w:val="auto"/>
              </w:rPr>
            </w:pPr>
            <w:r>
              <w:rPr>
                <w:color w:val="auto"/>
              </w:rPr>
              <w:t>主要污染源</w:t>
            </w:r>
          </w:p>
        </w:tc>
        <w:tc>
          <w:tcPr>
            <w:tcW w:w="1722" w:type="dxa"/>
            <w:vAlign w:val="center"/>
          </w:tcPr>
          <w:p>
            <w:pPr>
              <w:pStyle w:val="195"/>
              <w:bidi w:val="0"/>
              <w:rPr>
                <w:color w:val="auto"/>
              </w:rPr>
            </w:pPr>
            <w:r>
              <w:rPr>
                <w:color w:val="auto"/>
              </w:rPr>
              <w:t>产生工序</w:t>
            </w:r>
          </w:p>
        </w:tc>
        <w:tc>
          <w:tcPr>
            <w:tcW w:w="4594" w:type="dxa"/>
            <w:vAlign w:val="center"/>
          </w:tcPr>
          <w:p>
            <w:pPr>
              <w:pStyle w:val="195"/>
              <w:bidi w:val="0"/>
              <w:rPr>
                <w:color w:val="auto"/>
              </w:rPr>
            </w:pPr>
            <w:r>
              <w:rPr>
                <w:color w:val="auto"/>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9" w:type="dxa"/>
            <w:vMerge w:val="restart"/>
            <w:vAlign w:val="center"/>
          </w:tcPr>
          <w:p>
            <w:pPr>
              <w:pStyle w:val="195"/>
              <w:bidi w:val="0"/>
              <w:rPr>
                <w:color w:val="auto"/>
              </w:rPr>
            </w:pPr>
            <w:r>
              <w:rPr>
                <w:color w:val="auto"/>
              </w:rPr>
              <w:t>废气</w:t>
            </w:r>
          </w:p>
        </w:tc>
        <w:tc>
          <w:tcPr>
            <w:tcW w:w="1337" w:type="dxa"/>
            <w:vMerge w:val="restart"/>
            <w:vAlign w:val="center"/>
          </w:tcPr>
          <w:p>
            <w:pPr>
              <w:pStyle w:val="195"/>
              <w:bidi w:val="0"/>
              <w:rPr>
                <w:color w:val="auto"/>
              </w:rPr>
            </w:pPr>
            <w:r>
              <w:rPr>
                <w:color w:val="auto"/>
              </w:rPr>
              <w:t>生产区</w:t>
            </w:r>
          </w:p>
        </w:tc>
        <w:tc>
          <w:tcPr>
            <w:tcW w:w="1722" w:type="dxa"/>
            <w:vAlign w:val="center"/>
          </w:tcPr>
          <w:p>
            <w:pPr>
              <w:pStyle w:val="195"/>
              <w:bidi w:val="0"/>
              <w:rPr>
                <w:rFonts w:hint="eastAsia" w:eastAsiaTheme="minorEastAsia"/>
                <w:color w:val="auto"/>
                <w:lang w:eastAsia="zh-CN"/>
              </w:rPr>
            </w:pPr>
            <w:r>
              <w:rPr>
                <w:rFonts w:hint="eastAsia"/>
                <w:color w:val="auto"/>
                <w:lang w:val="en-US" w:eastAsia="zh-CN"/>
              </w:rPr>
              <w:t>粉料供应系统（</w:t>
            </w:r>
            <w:r>
              <w:rPr>
                <w:rFonts w:hint="eastAsia"/>
                <w:color w:val="auto"/>
              </w:rPr>
              <w:t>矿粉筒仓</w:t>
            </w:r>
            <w:r>
              <w:rPr>
                <w:rFonts w:hint="eastAsia"/>
                <w:color w:val="auto"/>
                <w:lang w:val="en-US" w:eastAsia="zh-CN"/>
              </w:rPr>
              <w:t>）</w:t>
            </w:r>
          </w:p>
        </w:tc>
        <w:tc>
          <w:tcPr>
            <w:tcW w:w="4594" w:type="dxa"/>
            <w:vAlign w:val="center"/>
          </w:tcPr>
          <w:p>
            <w:pPr>
              <w:pStyle w:val="195"/>
              <w:bidi w:val="0"/>
              <w:rPr>
                <w:color w:val="auto"/>
              </w:rPr>
            </w:pPr>
            <w:r>
              <w:rPr>
                <w:color w:val="auto"/>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9" w:type="dxa"/>
            <w:vMerge w:val="continue"/>
            <w:vAlign w:val="center"/>
          </w:tcPr>
          <w:p>
            <w:pPr>
              <w:pStyle w:val="195"/>
              <w:bidi w:val="0"/>
              <w:rPr>
                <w:color w:val="auto"/>
              </w:rPr>
            </w:pPr>
          </w:p>
        </w:tc>
        <w:tc>
          <w:tcPr>
            <w:tcW w:w="1337" w:type="dxa"/>
            <w:vMerge w:val="continue"/>
            <w:vAlign w:val="center"/>
          </w:tcPr>
          <w:p>
            <w:pPr>
              <w:pStyle w:val="195"/>
              <w:bidi w:val="0"/>
              <w:rPr>
                <w:color w:val="auto"/>
              </w:rPr>
            </w:pPr>
          </w:p>
        </w:tc>
        <w:tc>
          <w:tcPr>
            <w:tcW w:w="1722" w:type="dxa"/>
            <w:vAlign w:val="center"/>
          </w:tcPr>
          <w:p>
            <w:pPr>
              <w:pStyle w:val="195"/>
              <w:bidi w:val="0"/>
              <w:rPr>
                <w:rFonts w:hint="default" w:eastAsiaTheme="minorEastAsia"/>
                <w:color w:val="auto"/>
                <w:lang w:val="en-US" w:eastAsia="zh-CN"/>
              </w:rPr>
            </w:pPr>
            <w:r>
              <w:rPr>
                <w:rFonts w:eastAsiaTheme="minorEastAsia"/>
                <w:bCs/>
                <w:color w:val="auto"/>
                <w:szCs w:val="21"/>
              </w:rPr>
              <w:t>原料输送、堆场粉尘、</w:t>
            </w:r>
            <w:r>
              <w:rPr>
                <w:rFonts w:hint="eastAsia" w:eastAsiaTheme="minorEastAsia"/>
                <w:bCs/>
                <w:color w:val="auto"/>
                <w:szCs w:val="21"/>
              </w:rPr>
              <w:t>铲装集堆</w:t>
            </w:r>
            <w:r>
              <w:rPr>
                <w:rFonts w:hint="eastAsia" w:eastAsiaTheme="minorEastAsia"/>
                <w:bCs/>
                <w:color w:val="auto"/>
                <w:szCs w:val="21"/>
                <w:lang w:val="en-US" w:eastAsia="zh-CN"/>
              </w:rPr>
              <w:t>等无组织</w:t>
            </w:r>
          </w:p>
        </w:tc>
        <w:tc>
          <w:tcPr>
            <w:tcW w:w="4594" w:type="dxa"/>
            <w:vAlign w:val="center"/>
          </w:tcPr>
          <w:p>
            <w:pPr>
              <w:pStyle w:val="195"/>
              <w:bidi w:val="0"/>
              <w:rPr>
                <w:color w:val="auto"/>
              </w:rPr>
            </w:pPr>
            <w:r>
              <w:rPr>
                <w:color w:val="auto"/>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9" w:type="dxa"/>
            <w:vMerge w:val="continue"/>
            <w:vAlign w:val="center"/>
          </w:tcPr>
          <w:p>
            <w:pPr>
              <w:pStyle w:val="195"/>
              <w:bidi w:val="0"/>
              <w:rPr>
                <w:color w:val="auto"/>
              </w:rPr>
            </w:pPr>
          </w:p>
        </w:tc>
        <w:tc>
          <w:tcPr>
            <w:tcW w:w="1337" w:type="dxa"/>
            <w:vMerge w:val="continue"/>
            <w:vAlign w:val="center"/>
          </w:tcPr>
          <w:p>
            <w:pPr>
              <w:pStyle w:val="195"/>
              <w:bidi w:val="0"/>
              <w:rPr>
                <w:color w:val="auto"/>
              </w:rPr>
            </w:pPr>
          </w:p>
        </w:tc>
        <w:tc>
          <w:tcPr>
            <w:tcW w:w="1722" w:type="dxa"/>
            <w:vAlign w:val="center"/>
          </w:tcPr>
          <w:p>
            <w:pPr>
              <w:pStyle w:val="195"/>
              <w:bidi w:val="0"/>
              <w:rPr>
                <w:rFonts w:hint="default"/>
                <w:color w:val="auto"/>
                <w:lang w:val="en-US"/>
              </w:rPr>
            </w:pPr>
            <w:r>
              <w:rPr>
                <w:rFonts w:hint="eastAsia"/>
                <w:color w:val="auto"/>
                <w:highlight w:val="none"/>
                <w:lang w:val="en-US" w:eastAsia="zh-CN"/>
              </w:rPr>
              <w:t>骨料预处理系统（骨料干燥、筛分等）</w:t>
            </w:r>
          </w:p>
        </w:tc>
        <w:tc>
          <w:tcPr>
            <w:tcW w:w="4594" w:type="dxa"/>
            <w:vAlign w:val="center"/>
          </w:tcPr>
          <w:p>
            <w:pPr>
              <w:pStyle w:val="195"/>
              <w:bidi w:val="0"/>
              <w:rPr>
                <w:color w:val="auto"/>
              </w:rPr>
            </w:pPr>
            <w:r>
              <w:rPr>
                <w:rFonts w:hint="eastAsia"/>
                <w:color w:val="auto"/>
                <w:lang w:val="en-US" w:eastAsia="zh-CN"/>
              </w:rPr>
              <w:t>颗粒物、SO</w:t>
            </w:r>
            <w:r>
              <w:rPr>
                <w:rFonts w:hint="eastAsia"/>
                <w:color w:val="auto"/>
                <w:vertAlign w:val="subscript"/>
                <w:lang w:val="en-US" w:eastAsia="zh-CN"/>
              </w:rPr>
              <w:t>2</w:t>
            </w:r>
            <w:r>
              <w:rPr>
                <w:rFonts w:hint="eastAsia"/>
                <w:color w:val="auto"/>
                <w:lang w:val="en-US" w:eastAsia="zh-CN"/>
              </w:rPr>
              <w:t>、NOx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9" w:type="dxa"/>
            <w:vMerge w:val="continue"/>
            <w:vAlign w:val="center"/>
          </w:tcPr>
          <w:p>
            <w:pPr>
              <w:pStyle w:val="195"/>
              <w:bidi w:val="0"/>
              <w:rPr>
                <w:color w:val="auto"/>
              </w:rPr>
            </w:pPr>
          </w:p>
        </w:tc>
        <w:tc>
          <w:tcPr>
            <w:tcW w:w="1337" w:type="dxa"/>
            <w:vMerge w:val="continue"/>
            <w:vAlign w:val="center"/>
          </w:tcPr>
          <w:p>
            <w:pPr>
              <w:pStyle w:val="195"/>
              <w:bidi w:val="0"/>
              <w:rPr>
                <w:rFonts w:hint="eastAsia"/>
                <w:color w:val="auto"/>
                <w:lang w:val="en-US" w:eastAsia="zh-CN"/>
              </w:rPr>
            </w:pPr>
          </w:p>
        </w:tc>
        <w:tc>
          <w:tcPr>
            <w:tcW w:w="1722" w:type="dxa"/>
            <w:tcBorders>
              <w:bottom w:val="single" w:color="000000" w:sz="4" w:space="0"/>
            </w:tcBorders>
            <w:vAlign w:val="center"/>
          </w:tcPr>
          <w:p>
            <w:pPr>
              <w:pStyle w:val="195"/>
              <w:bidi w:val="0"/>
              <w:rPr>
                <w:rFonts w:hint="default"/>
                <w:color w:val="auto"/>
                <w:lang w:val="en-US" w:eastAsia="zh-CN"/>
              </w:rPr>
            </w:pPr>
            <w:r>
              <w:rPr>
                <w:rFonts w:hint="eastAsia"/>
                <w:color w:val="auto"/>
                <w:lang w:val="en-US" w:eastAsia="zh-CN"/>
              </w:rPr>
              <w:t>沥青预处理、拌合</w:t>
            </w:r>
          </w:p>
        </w:tc>
        <w:tc>
          <w:tcPr>
            <w:tcW w:w="4594" w:type="dxa"/>
            <w:tcBorders>
              <w:bottom w:val="single" w:color="000000" w:sz="4" w:space="0"/>
            </w:tcBorders>
            <w:vAlign w:val="center"/>
          </w:tcPr>
          <w:p>
            <w:pPr>
              <w:pStyle w:val="195"/>
              <w:bidi w:val="0"/>
              <w:rPr>
                <w:color w:val="auto"/>
              </w:rPr>
            </w:pPr>
            <w:r>
              <w:rPr>
                <w:rFonts w:eastAsiaTheme="minorEastAsia"/>
                <w:bCs/>
                <w:color w:val="auto"/>
                <w:szCs w:val="21"/>
              </w:rPr>
              <w:t>非甲烷总烃、</w:t>
            </w:r>
            <w:r>
              <w:rPr>
                <w:rFonts w:hint="eastAsia" w:eastAsiaTheme="minorEastAsia"/>
                <w:bCs/>
                <w:color w:val="auto"/>
                <w:szCs w:val="21"/>
              </w:rPr>
              <w:t>沥青烟</w:t>
            </w:r>
            <w:r>
              <w:rPr>
                <w:rFonts w:hint="eastAsia" w:eastAsiaTheme="minorEastAsia"/>
                <w:bCs/>
                <w:color w:val="auto"/>
                <w:szCs w:val="21"/>
                <w:lang w:eastAsia="zh-CN"/>
              </w:rPr>
              <w:t>、</w:t>
            </w:r>
            <w:r>
              <w:rPr>
                <w:rFonts w:hint="eastAsia" w:eastAsiaTheme="minorEastAsia"/>
                <w:bCs/>
                <w:color w:val="auto"/>
                <w:szCs w:val="21"/>
              </w:rPr>
              <w:t>苯并[a]芘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9" w:type="dxa"/>
            <w:vMerge w:val="continue"/>
            <w:vAlign w:val="center"/>
          </w:tcPr>
          <w:p>
            <w:pPr>
              <w:pStyle w:val="195"/>
              <w:bidi w:val="0"/>
              <w:rPr>
                <w:color w:val="auto"/>
              </w:rPr>
            </w:pPr>
          </w:p>
        </w:tc>
        <w:tc>
          <w:tcPr>
            <w:tcW w:w="1337" w:type="dxa"/>
            <w:vMerge w:val="continue"/>
            <w:vAlign w:val="center"/>
          </w:tcPr>
          <w:p>
            <w:pPr>
              <w:pStyle w:val="195"/>
              <w:bidi w:val="0"/>
              <w:rPr>
                <w:rFonts w:hint="eastAsia"/>
                <w:color w:val="auto"/>
                <w:lang w:val="en-US" w:eastAsia="zh-CN"/>
              </w:rPr>
            </w:pPr>
          </w:p>
        </w:tc>
        <w:tc>
          <w:tcPr>
            <w:tcW w:w="1722" w:type="dxa"/>
            <w:tcBorders>
              <w:top w:val="single" w:color="000000" w:sz="4" w:space="0"/>
            </w:tcBorders>
            <w:vAlign w:val="center"/>
          </w:tcPr>
          <w:p>
            <w:pPr>
              <w:pStyle w:val="195"/>
              <w:bidi w:val="0"/>
              <w:rPr>
                <w:rFonts w:hint="eastAsia"/>
                <w:color w:val="auto"/>
                <w:lang w:val="en-US" w:eastAsia="zh-CN"/>
              </w:rPr>
            </w:pPr>
            <w:r>
              <w:rPr>
                <w:rFonts w:hint="eastAsia"/>
                <w:color w:val="auto"/>
                <w:highlight w:val="none"/>
                <w:lang w:val="en-US" w:eastAsia="zh-CN"/>
              </w:rPr>
              <w:t>导热油炉</w:t>
            </w:r>
          </w:p>
        </w:tc>
        <w:tc>
          <w:tcPr>
            <w:tcW w:w="4594" w:type="dxa"/>
            <w:tcBorders>
              <w:top w:val="single" w:color="000000" w:sz="4" w:space="0"/>
            </w:tcBorders>
            <w:vAlign w:val="center"/>
          </w:tcPr>
          <w:p>
            <w:pPr>
              <w:pStyle w:val="195"/>
              <w:bidi w:val="0"/>
              <w:rPr>
                <w:rFonts w:hint="eastAsia"/>
                <w:color w:val="auto"/>
                <w:lang w:val="en-US" w:eastAsia="zh-CN"/>
              </w:rPr>
            </w:pPr>
            <w:r>
              <w:rPr>
                <w:rFonts w:hint="eastAsia" w:ascii="Times New Roman" w:hAnsi="Times New Roman" w:cs="Times New Roman"/>
                <w:color w:val="auto"/>
                <w:highlight w:val="none"/>
                <w:lang w:val="en-US" w:eastAsia="zh-CN"/>
              </w:rPr>
              <w:t>烟气黑度、</w:t>
            </w:r>
            <w:r>
              <w:rPr>
                <w:rFonts w:hint="default" w:ascii="Times New Roman" w:hAnsi="Times New Roman" w:cs="Times New Roman"/>
                <w:color w:val="auto"/>
                <w:highlight w:val="none"/>
              </w:rPr>
              <w:t>颗粒物、SO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X</w:t>
            </w:r>
          </w:p>
        </w:tc>
      </w:tr>
    </w:tbl>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157" w:name="_Toc14729"/>
      <w:bookmarkStart w:id="158" w:name="_Toc16157"/>
      <w:bookmarkStart w:id="159" w:name="_Toc13178"/>
      <w:bookmarkStart w:id="160" w:name="_Toc31093"/>
      <w:bookmarkStart w:id="161" w:name="_Toc29376"/>
      <w:r>
        <w:rPr>
          <w:rFonts w:ascii="Times New Roman" w:hAnsi="Times New Roman" w:eastAsia="宋体" w:cs="Times New Roman"/>
          <w:b w:val="0"/>
          <w:bCs/>
          <w:color w:val="auto"/>
          <w:sz w:val="24"/>
          <w:szCs w:val="24"/>
          <w:highlight w:val="none"/>
        </w:rPr>
        <w:t>2.</w:t>
      </w:r>
      <w:r>
        <w:rPr>
          <w:rFonts w:hint="eastAsia" w:ascii="Times New Roman" w:hAnsi="Times New Roman" w:eastAsia="宋体" w:cs="Times New Roman"/>
          <w:b w:val="0"/>
          <w:bCs/>
          <w:color w:val="auto"/>
          <w:sz w:val="24"/>
          <w:szCs w:val="24"/>
          <w:highlight w:val="none"/>
          <w:lang w:val="en-US" w:eastAsia="zh-CN"/>
        </w:rPr>
        <w:t>3</w:t>
      </w:r>
      <w:r>
        <w:rPr>
          <w:rFonts w:ascii="Times New Roman" w:hAnsi="Times New Roman" w:eastAsia="宋体" w:cs="Times New Roman"/>
          <w:b w:val="0"/>
          <w:bCs/>
          <w:color w:val="auto"/>
          <w:sz w:val="24"/>
          <w:szCs w:val="24"/>
          <w:highlight w:val="none"/>
        </w:rPr>
        <w:t>工程污染源强分析</w:t>
      </w:r>
      <w:bookmarkEnd w:id="157"/>
      <w:bookmarkEnd w:id="158"/>
      <w:bookmarkEnd w:id="159"/>
      <w:bookmarkEnd w:id="160"/>
      <w:bookmarkEnd w:id="161"/>
    </w:p>
    <w:p>
      <w:pPr>
        <w:pStyle w:val="86"/>
        <w:ind w:firstLine="0" w:firstLineChars="0"/>
        <w:outlineLvl w:val="2"/>
        <w:rPr>
          <w:snapToGrid w:val="0"/>
          <w:color w:val="auto"/>
          <w:kern w:val="0"/>
        </w:rPr>
      </w:pPr>
      <w:bookmarkStart w:id="162" w:name="_Toc21041"/>
      <w:bookmarkStart w:id="163" w:name="_Toc17086"/>
      <w:bookmarkStart w:id="164" w:name="_Toc15306"/>
      <w:bookmarkStart w:id="165" w:name="_Toc28002"/>
      <w:r>
        <w:rPr>
          <w:snapToGrid w:val="0"/>
          <w:color w:val="auto"/>
          <w:kern w:val="0"/>
        </w:rPr>
        <w:t>2.</w:t>
      </w:r>
      <w:r>
        <w:rPr>
          <w:rFonts w:hint="eastAsia"/>
          <w:snapToGrid w:val="0"/>
          <w:color w:val="auto"/>
          <w:kern w:val="0"/>
          <w:lang w:val="en-US" w:eastAsia="zh-CN"/>
        </w:rPr>
        <w:t>3</w:t>
      </w:r>
      <w:r>
        <w:rPr>
          <w:snapToGrid w:val="0"/>
          <w:color w:val="auto"/>
          <w:kern w:val="0"/>
        </w:rPr>
        <w:t>.</w:t>
      </w:r>
      <w:r>
        <w:rPr>
          <w:rFonts w:hint="eastAsia"/>
          <w:snapToGrid w:val="0"/>
          <w:color w:val="auto"/>
          <w:kern w:val="0"/>
          <w:lang w:val="en-US" w:eastAsia="zh-CN"/>
        </w:rPr>
        <w:t>1有</w:t>
      </w:r>
      <w:r>
        <w:rPr>
          <w:snapToGrid w:val="0"/>
          <w:color w:val="auto"/>
          <w:kern w:val="0"/>
        </w:rPr>
        <w:t>组织废气</w:t>
      </w:r>
      <w:bookmarkEnd w:id="162"/>
      <w:bookmarkEnd w:id="163"/>
      <w:bookmarkEnd w:id="164"/>
      <w:bookmarkEnd w:id="165"/>
    </w:p>
    <w:p>
      <w:pPr>
        <w:pStyle w:val="117"/>
        <w:bidi w:val="0"/>
        <w:rPr>
          <w:color w:val="auto"/>
          <w:highlight w:val="none"/>
        </w:rPr>
      </w:pPr>
      <w:r>
        <w:rPr>
          <w:rFonts w:hint="eastAsia"/>
          <w:color w:val="auto"/>
          <w:highlight w:val="none"/>
          <w:lang w:val="en-US" w:eastAsia="zh-CN"/>
        </w:rPr>
        <w:t>Ⅰ</w:t>
      </w:r>
      <w:r>
        <w:rPr>
          <w:rFonts w:hint="eastAsia"/>
          <w:color w:val="auto"/>
          <w:highlight w:val="none"/>
        </w:rPr>
        <w:t>正常工况</w:t>
      </w:r>
    </w:p>
    <w:p>
      <w:pPr>
        <w:pStyle w:val="117"/>
        <w:bidi w:val="0"/>
        <w:rPr>
          <w:rFonts w:hint="default"/>
          <w:color w:val="auto"/>
          <w:lang w:val="en-US" w:eastAsia="zh-CN"/>
        </w:rPr>
      </w:pPr>
      <w:r>
        <w:rPr>
          <w:color w:val="auto"/>
          <w:highlight w:val="none"/>
        </w:rPr>
        <w:t>项目在运营过程中所产生的废气主要有：</w:t>
      </w:r>
      <w:r>
        <w:rPr>
          <w:rFonts w:eastAsiaTheme="minorEastAsia"/>
          <w:bCs/>
          <w:color w:val="auto"/>
          <w:szCs w:val="21"/>
        </w:rPr>
        <w:t>筒仓</w:t>
      </w:r>
      <w:r>
        <w:rPr>
          <w:rFonts w:hint="eastAsia" w:eastAsiaTheme="minorEastAsia"/>
          <w:bCs/>
          <w:color w:val="auto"/>
          <w:szCs w:val="21"/>
        </w:rPr>
        <w:t>装卸</w:t>
      </w:r>
      <w:r>
        <w:rPr>
          <w:rFonts w:eastAsiaTheme="minorEastAsia"/>
          <w:bCs/>
          <w:color w:val="auto"/>
          <w:szCs w:val="21"/>
        </w:rPr>
        <w:t>粉尘</w:t>
      </w:r>
      <w:r>
        <w:rPr>
          <w:rFonts w:hint="eastAsia" w:eastAsiaTheme="minorEastAsia"/>
          <w:bCs/>
          <w:color w:val="auto"/>
          <w:szCs w:val="21"/>
          <w:lang w:eastAsia="zh-CN"/>
        </w:rPr>
        <w:t>、物料装卸、物料运输、物料堆存粉尘、</w:t>
      </w:r>
      <w:r>
        <w:rPr>
          <w:rFonts w:hint="eastAsia"/>
          <w:color w:val="auto"/>
          <w:lang w:val="en-US" w:eastAsia="zh-CN"/>
        </w:rPr>
        <w:t>骨料加热、拌合废气、热料筛分废气、</w:t>
      </w:r>
      <w:r>
        <w:rPr>
          <w:rFonts w:hint="eastAsia"/>
          <w:color w:val="auto"/>
          <w:highlight w:val="none"/>
          <w:lang w:val="en-US" w:eastAsia="zh-CN"/>
        </w:rPr>
        <w:t>导热油炉废气</w:t>
      </w:r>
      <w:r>
        <w:rPr>
          <w:rFonts w:hint="eastAsia"/>
          <w:color w:val="auto"/>
          <w:highlight w:val="none"/>
          <w:lang w:eastAsia="zh-CN"/>
        </w:rPr>
        <w:t>。</w:t>
      </w:r>
    </w:p>
    <w:p>
      <w:pPr>
        <w:spacing w:line="360" w:lineRule="auto"/>
        <w:ind w:firstLine="480" w:firstLineChars="200"/>
        <w:contextualSpacing/>
        <w:jc w:val="left"/>
        <w:rPr>
          <w:rFonts w:eastAsiaTheme="minorEastAsia"/>
          <w:color w:val="auto"/>
          <w:sz w:val="24"/>
        </w:rPr>
      </w:pPr>
      <w:r>
        <w:rPr>
          <w:rFonts w:eastAsiaTheme="minorEastAsia"/>
          <w:color w:val="auto"/>
          <w:sz w:val="24"/>
        </w:rPr>
        <w:t>（1）上料过程粉尘</w:t>
      </w:r>
    </w:p>
    <w:p>
      <w:pPr>
        <w:spacing w:line="360" w:lineRule="auto"/>
        <w:ind w:firstLine="480" w:firstLineChars="200"/>
        <w:contextualSpacing/>
        <w:jc w:val="left"/>
        <w:rPr>
          <w:rFonts w:eastAsiaTheme="minorEastAsia"/>
          <w:color w:val="auto"/>
          <w:sz w:val="24"/>
        </w:rPr>
      </w:pPr>
      <w:r>
        <w:rPr>
          <w:rFonts w:eastAsiaTheme="minorEastAsia"/>
          <w:color w:val="auto"/>
          <w:sz w:val="24"/>
        </w:rPr>
        <w:t>本项目上料过程会有大量粉尘产生，年运行</w:t>
      </w:r>
      <w:r>
        <w:rPr>
          <w:rFonts w:hint="eastAsia" w:eastAsiaTheme="minorEastAsia"/>
          <w:color w:val="auto"/>
          <w:sz w:val="24"/>
          <w:lang w:val="en-US" w:eastAsia="zh-CN"/>
        </w:rPr>
        <w:t>12</w:t>
      </w:r>
      <w:r>
        <w:rPr>
          <w:rFonts w:eastAsiaTheme="minorEastAsia"/>
          <w:color w:val="auto"/>
          <w:sz w:val="24"/>
        </w:rPr>
        <w:t>0天，每天运行10小时，参照《逸散性工业粉尘控制技术》粒料加工厂中送料上堆排放因子系数为0.0007kg/t（进料），</w:t>
      </w:r>
      <w:r>
        <w:rPr>
          <w:rFonts w:hint="eastAsia" w:eastAsiaTheme="minorEastAsia"/>
          <w:color w:val="auto"/>
          <w:sz w:val="24"/>
          <w:lang w:val="en-US" w:eastAsia="zh-CN"/>
        </w:rPr>
        <w:t>骨</w:t>
      </w:r>
      <w:r>
        <w:rPr>
          <w:rFonts w:eastAsiaTheme="minorEastAsia"/>
          <w:color w:val="auto"/>
          <w:sz w:val="24"/>
        </w:rPr>
        <w:t>料量为</w:t>
      </w:r>
      <w:r>
        <w:rPr>
          <w:rFonts w:hint="eastAsia" w:eastAsiaTheme="minorEastAsia"/>
          <w:color w:val="auto"/>
          <w:sz w:val="24"/>
          <w:lang w:val="en-US" w:eastAsia="zh-CN"/>
        </w:rPr>
        <w:t>45825</w:t>
      </w:r>
      <w:r>
        <w:rPr>
          <w:rFonts w:eastAsiaTheme="minorEastAsia"/>
          <w:color w:val="auto"/>
          <w:sz w:val="24"/>
        </w:rPr>
        <w:t>t/a，上料过程颗粒物最大产生量为0.</w:t>
      </w:r>
      <w:r>
        <w:rPr>
          <w:rFonts w:hint="eastAsia" w:eastAsiaTheme="minorEastAsia"/>
          <w:color w:val="auto"/>
          <w:sz w:val="24"/>
          <w:lang w:val="en-US" w:eastAsia="zh-CN"/>
        </w:rPr>
        <w:t>032</w:t>
      </w:r>
      <w:r>
        <w:rPr>
          <w:rFonts w:eastAsiaTheme="minorEastAsia"/>
          <w:color w:val="auto"/>
          <w:sz w:val="24"/>
        </w:rPr>
        <w:t>t/a、产生速率为0.0</w:t>
      </w:r>
      <w:r>
        <w:rPr>
          <w:rFonts w:hint="eastAsia" w:eastAsiaTheme="minorEastAsia"/>
          <w:color w:val="auto"/>
          <w:sz w:val="24"/>
          <w:lang w:val="en-US" w:eastAsia="zh-CN"/>
        </w:rPr>
        <w:t>27</w:t>
      </w:r>
      <w:r>
        <w:rPr>
          <w:rFonts w:eastAsiaTheme="minorEastAsia"/>
          <w:color w:val="auto"/>
          <w:sz w:val="24"/>
        </w:rPr>
        <w:t>kg/h，在冷料仓设置集气装置（集气效率90%），通过管道连接至除尘系统（</w:t>
      </w:r>
      <w:r>
        <w:rPr>
          <w:rFonts w:hint="eastAsia" w:eastAsiaTheme="minorEastAsia"/>
          <w:color w:val="auto"/>
          <w:sz w:val="24"/>
          <w:lang w:val="en-US" w:eastAsia="zh-CN"/>
        </w:rPr>
        <w:t>重力</w:t>
      </w:r>
      <w:r>
        <w:rPr>
          <w:rFonts w:hint="eastAsia" w:eastAsiaTheme="minorEastAsia"/>
          <w:color w:val="auto"/>
          <w:sz w:val="24"/>
          <w:lang w:eastAsia="zh-CN"/>
        </w:rPr>
        <w:t>+布袋</w:t>
      </w:r>
      <w:r>
        <w:rPr>
          <w:rFonts w:eastAsiaTheme="minorEastAsia"/>
          <w:color w:val="auto"/>
          <w:sz w:val="24"/>
        </w:rPr>
        <w:t>），处理后经除尘系统烟囱（DA001）排放，除尘效率为99%，处理后粉尘排放量为0.00</w:t>
      </w:r>
      <w:r>
        <w:rPr>
          <w:rFonts w:hint="eastAsia" w:eastAsiaTheme="minorEastAsia"/>
          <w:color w:val="auto"/>
          <w:sz w:val="24"/>
          <w:lang w:val="en-US" w:eastAsia="zh-CN"/>
        </w:rPr>
        <w:t>03</w:t>
      </w:r>
      <w:r>
        <w:rPr>
          <w:rFonts w:eastAsiaTheme="minorEastAsia"/>
          <w:color w:val="auto"/>
          <w:sz w:val="24"/>
        </w:rPr>
        <w:t>t/a、排放速率为0.000</w:t>
      </w:r>
      <w:r>
        <w:rPr>
          <w:rFonts w:hint="eastAsia" w:eastAsiaTheme="minorEastAsia"/>
          <w:color w:val="auto"/>
          <w:sz w:val="24"/>
          <w:lang w:val="en-US" w:eastAsia="zh-CN"/>
        </w:rPr>
        <w:t>24</w:t>
      </w:r>
      <w:r>
        <w:rPr>
          <w:rFonts w:eastAsiaTheme="minorEastAsia"/>
          <w:color w:val="auto"/>
          <w:sz w:val="24"/>
        </w:rPr>
        <w:t>kg/h。</w:t>
      </w:r>
    </w:p>
    <w:p>
      <w:pPr>
        <w:spacing w:line="360" w:lineRule="auto"/>
        <w:ind w:firstLine="480" w:firstLineChars="200"/>
        <w:contextualSpacing/>
        <w:rPr>
          <w:rFonts w:eastAsiaTheme="minorEastAsia"/>
          <w:bCs/>
          <w:color w:val="auto"/>
          <w:sz w:val="24"/>
        </w:rPr>
      </w:pPr>
      <w:r>
        <w:rPr>
          <w:rFonts w:eastAsiaTheme="minorEastAsia"/>
          <w:bCs/>
          <w:color w:val="auto"/>
          <w:sz w:val="24"/>
        </w:rPr>
        <w:t>（2）</w:t>
      </w:r>
      <w:r>
        <w:rPr>
          <w:rFonts w:hint="eastAsia"/>
          <w:bCs/>
          <w:color w:val="auto"/>
          <w:sz w:val="24"/>
          <w:lang w:val="en-US" w:eastAsia="zh-CN"/>
        </w:rPr>
        <w:t>骨料预处理系统废气（含骨料干燥、骨料振动筛等废气）</w:t>
      </w:r>
    </w:p>
    <w:p>
      <w:pPr>
        <w:spacing w:line="360" w:lineRule="auto"/>
        <w:ind w:firstLine="480" w:firstLineChars="200"/>
        <w:contextualSpacing/>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rFonts w:hAnsi="宋体"/>
          <w:bCs/>
          <w:color w:val="auto"/>
          <w:sz w:val="24"/>
        </w:rPr>
        <w:t>①</w:t>
      </w:r>
      <w:r>
        <w:rPr>
          <w:bCs/>
          <w:color w:val="auto"/>
          <w:sz w:val="24"/>
        </w:rPr>
        <w:fldChar w:fldCharType="end"/>
      </w:r>
      <w:r>
        <w:rPr>
          <w:rFonts w:hint="eastAsia"/>
          <w:bCs/>
          <w:color w:val="auto"/>
          <w:sz w:val="24"/>
          <w:lang w:val="en-US" w:eastAsia="zh-CN"/>
        </w:rPr>
        <w:t>冷</w:t>
      </w:r>
      <w:r>
        <w:rPr>
          <w:rFonts w:hint="eastAsia" w:eastAsiaTheme="minorEastAsia"/>
          <w:bCs/>
          <w:color w:val="auto"/>
          <w:sz w:val="24"/>
          <w:lang w:val="en-US" w:eastAsia="zh-CN"/>
        </w:rPr>
        <w:t>骨料</w:t>
      </w:r>
      <w:r>
        <w:rPr>
          <w:rFonts w:hint="eastAsia" w:hAnsi="宋体"/>
          <w:bCs/>
          <w:color w:val="auto"/>
          <w:sz w:val="24"/>
        </w:rPr>
        <w:t>烘干</w:t>
      </w:r>
      <w:r>
        <w:rPr>
          <w:rFonts w:hAnsi="宋体"/>
          <w:bCs/>
          <w:color w:val="auto"/>
          <w:sz w:val="24"/>
        </w:rPr>
        <w:t>产生的粉尘</w:t>
      </w:r>
    </w:p>
    <w:p>
      <w:pPr>
        <w:spacing w:line="360" w:lineRule="auto"/>
        <w:ind w:firstLine="480" w:firstLineChars="200"/>
        <w:contextualSpacing/>
        <w:rPr>
          <w:rFonts w:hAnsi="宋体"/>
          <w:color w:val="auto"/>
          <w:sz w:val="24"/>
        </w:rPr>
      </w:pPr>
      <w:r>
        <w:rPr>
          <w:rFonts w:hAnsi="宋体"/>
          <w:bCs/>
          <w:color w:val="auto"/>
          <w:sz w:val="24"/>
        </w:rPr>
        <w:t>项目为使沥青混凝土产品不至于因过快冷却而带来运输上的不便，</w:t>
      </w:r>
      <w:r>
        <w:rPr>
          <w:rFonts w:hint="eastAsia" w:eastAsiaTheme="minorEastAsia"/>
          <w:bCs/>
          <w:color w:val="auto"/>
          <w:sz w:val="24"/>
          <w:lang w:val="en-US" w:eastAsia="zh-CN"/>
        </w:rPr>
        <w:t>骨料</w:t>
      </w:r>
      <w:r>
        <w:rPr>
          <w:rFonts w:hAnsi="宋体"/>
          <w:bCs/>
          <w:color w:val="auto"/>
          <w:sz w:val="24"/>
        </w:rPr>
        <w:t>在上沥青前要经过加热处理，且通过密闭的干燥筒不停转动以使碎石料受热均匀，碎石料在干燥筒内加热时有粉尘产生。</w:t>
      </w:r>
      <w:r>
        <w:rPr>
          <w:rFonts w:hAnsi="宋体"/>
          <w:color w:val="auto"/>
          <w:sz w:val="24"/>
        </w:rPr>
        <w:t>年运行</w:t>
      </w:r>
      <w:r>
        <w:rPr>
          <w:rFonts w:hint="eastAsia"/>
          <w:color w:val="auto"/>
          <w:sz w:val="24"/>
          <w:lang w:val="en-US" w:eastAsia="zh-CN"/>
        </w:rPr>
        <w:t>12</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小时，根据《逸散性工业粉尘控制技术》，</w:t>
      </w:r>
      <w:r>
        <w:rPr>
          <w:rFonts w:hint="eastAsia" w:eastAsiaTheme="minorEastAsia"/>
          <w:color w:val="auto"/>
          <w:sz w:val="24"/>
          <w:lang w:val="en-US" w:eastAsia="zh-CN"/>
        </w:rPr>
        <w:t>骨</w:t>
      </w:r>
      <w:r>
        <w:rPr>
          <w:rFonts w:eastAsiaTheme="minorEastAsia"/>
          <w:color w:val="auto"/>
          <w:sz w:val="24"/>
        </w:rPr>
        <w:t>料量为</w:t>
      </w:r>
      <w:r>
        <w:rPr>
          <w:rFonts w:hint="eastAsia" w:eastAsiaTheme="minorEastAsia"/>
          <w:color w:val="auto"/>
          <w:sz w:val="24"/>
          <w:lang w:val="en-US" w:eastAsia="zh-CN"/>
        </w:rPr>
        <w:t>45825</w:t>
      </w:r>
      <w:r>
        <w:rPr>
          <w:rFonts w:eastAsiaTheme="minorEastAsia"/>
          <w:color w:val="auto"/>
          <w:sz w:val="24"/>
        </w:rPr>
        <w:t>t/a，</w:t>
      </w:r>
      <w:r>
        <w:rPr>
          <w:rFonts w:hAnsi="宋体"/>
          <w:color w:val="auto"/>
          <w:sz w:val="24"/>
        </w:rPr>
        <w:t>粉尘产生量为</w:t>
      </w:r>
      <w:r>
        <w:rPr>
          <w:color w:val="auto"/>
          <w:sz w:val="24"/>
        </w:rPr>
        <w:t>0.25kg/t</w:t>
      </w:r>
      <w:r>
        <w:rPr>
          <w:rFonts w:hAnsi="宋体"/>
          <w:color w:val="auto"/>
          <w:sz w:val="24"/>
        </w:rPr>
        <w:t>原料，</w:t>
      </w:r>
      <w:r>
        <w:rPr>
          <w:rFonts w:hAnsi="宋体"/>
          <w:bCs/>
          <w:color w:val="auto"/>
          <w:sz w:val="24"/>
        </w:rPr>
        <w:t>则粉尘产生量</w:t>
      </w:r>
      <w:r>
        <w:rPr>
          <w:rFonts w:hint="eastAsia"/>
          <w:bCs/>
          <w:color w:val="auto"/>
          <w:sz w:val="24"/>
          <w:lang w:val="en-US" w:eastAsia="zh-CN"/>
        </w:rPr>
        <w:t>11.46</w:t>
      </w:r>
      <w:r>
        <w:rPr>
          <w:bCs/>
          <w:color w:val="auto"/>
          <w:sz w:val="24"/>
        </w:rPr>
        <w:t>t/a</w:t>
      </w:r>
      <w:r>
        <w:rPr>
          <w:rFonts w:hAnsi="宋体"/>
          <w:bCs/>
          <w:color w:val="auto"/>
          <w:sz w:val="24"/>
        </w:rPr>
        <w:t>、</w:t>
      </w:r>
      <w:r>
        <w:rPr>
          <w:rFonts w:hint="eastAsia"/>
          <w:bCs/>
          <w:color w:val="auto"/>
          <w:sz w:val="24"/>
          <w:lang w:val="en-US" w:eastAsia="zh-CN"/>
        </w:rPr>
        <w:t>9.55</w:t>
      </w:r>
      <w:r>
        <w:rPr>
          <w:bCs/>
          <w:color w:val="auto"/>
          <w:sz w:val="24"/>
        </w:rPr>
        <w:t>kg/h</w:t>
      </w:r>
      <w:r>
        <w:rPr>
          <w:rFonts w:hAnsi="宋体"/>
          <w:bCs/>
          <w:color w:val="auto"/>
          <w:sz w:val="24"/>
        </w:rPr>
        <w:t>，</w:t>
      </w:r>
      <w:r>
        <w:rPr>
          <w:rFonts w:hint="eastAsia" w:hAnsi="宋体"/>
          <w:color w:val="auto"/>
          <w:sz w:val="24"/>
        </w:rPr>
        <w:t>经</w:t>
      </w:r>
      <w:r>
        <w:rPr>
          <w:rFonts w:hint="eastAsia"/>
          <w:color w:val="auto"/>
          <w:sz w:val="24"/>
        </w:rPr>
        <w:t>除尘</w:t>
      </w:r>
      <w:r>
        <w:rPr>
          <w:color w:val="auto"/>
          <w:sz w:val="24"/>
        </w:rPr>
        <w:t>系统</w:t>
      </w:r>
      <w:r>
        <w:rPr>
          <w:rFonts w:hAnsi="宋体"/>
          <w:color w:val="auto"/>
          <w:sz w:val="24"/>
        </w:rPr>
        <w:t>（</w:t>
      </w:r>
      <w:r>
        <w:rPr>
          <w:rFonts w:hint="eastAsia" w:eastAsiaTheme="minorEastAsia"/>
          <w:color w:val="auto"/>
          <w:sz w:val="24"/>
          <w:lang w:val="en-US" w:eastAsia="zh-CN"/>
        </w:rPr>
        <w:t>重力</w:t>
      </w:r>
      <w:r>
        <w:rPr>
          <w:rFonts w:hint="eastAsia" w:hAnsi="宋体"/>
          <w:color w:val="auto"/>
          <w:sz w:val="24"/>
          <w:lang w:eastAsia="zh-CN"/>
        </w:rPr>
        <w:t>+布袋</w:t>
      </w:r>
      <w:r>
        <w:rPr>
          <w:rFonts w:hint="eastAsia" w:hAnsi="宋体"/>
          <w:color w:val="auto"/>
          <w:sz w:val="24"/>
        </w:rPr>
        <w:t>，</w:t>
      </w:r>
      <w:r>
        <w:rPr>
          <w:rFonts w:hAnsi="宋体"/>
          <w:color w:val="auto"/>
          <w:sz w:val="24"/>
        </w:rPr>
        <w:t>除尘效率</w:t>
      </w:r>
      <w:r>
        <w:rPr>
          <w:color w:val="auto"/>
          <w:sz w:val="24"/>
        </w:rPr>
        <w:t>99%</w:t>
      </w:r>
      <w:r>
        <w:rPr>
          <w:rFonts w:hAnsi="宋体"/>
          <w:color w:val="auto"/>
          <w:sz w:val="24"/>
        </w:rPr>
        <w:t>）处理后，由</w:t>
      </w:r>
      <w:r>
        <w:rPr>
          <w:rFonts w:hint="eastAsia"/>
          <w:color w:val="auto"/>
          <w:sz w:val="24"/>
          <w:lang w:val="en-US" w:eastAsia="zh-CN"/>
        </w:rPr>
        <w:t>15</w:t>
      </w:r>
      <w:r>
        <w:rPr>
          <w:rFonts w:hint="eastAsia"/>
          <w:color w:val="auto"/>
          <w:sz w:val="24"/>
          <w:lang w:eastAsia="zh-CN"/>
        </w:rPr>
        <w:t>m</w:t>
      </w:r>
      <w:r>
        <w:rPr>
          <w:rFonts w:hAnsi="宋体"/>
          <w:color w:val="auto"/>
          <w:sz w:val="24"/>
        </w:rPr>
        <w:t>高</w:t>
      </w:r>
      <w:r>
        <w:rPr>
          <w:rFonts w:hint="eastAsia"/>
          <w:color w:val="auto"/>
          <w:sz w:val="24"/>
        </w:rPr>
        <w:t>除尘</w:t>
      </w:r>
      <w:r>
        <w:rPr>
          <w:color w:val="auto"/>
          <w:sz w:val="24"/>
        </w:rPr>
        <w:t>系统烟囱</w:t>
      </w:r>
      <w:r>
        <w:rPr>
          <w:rFonts w:hint="eastAsia"/>
          <w:color w:val="auto"/>
          <w:sz w:val="24"/>
        </w:rPr>
        <w:t>（DA001）</w:t>
      </w:r>
      <w:r>
        <w:rPr>
          <w:rFonts w:hAnsi="宋体"/>
          <w:color w:val="auto"/>
          <w:sz w:val="24"/>
        </w:rPr>
        <w:t>排放，处理后粉尘排放量为0.</w:t>
      </w:r>
      <w:r>
        <w:rPr>
          <w:rFonts w:hint="eastAsia" w:hAnsi="宋体"/>
          <w:color w:val="auto"/>
          <w:sz w:val="24"/>
          <w:lang w:val="en-US" w:eastAsia="zh-CN"/>
        </w:rPr>
        <w:t>115</w:t>
      </w:r>
      <w:r>
        <w:rPr>
          <w:rFonts w:hAnsi="宋体"/>
          <w:color w:val="auto"/>
          <w:sz w:val="24"/>
        </w:rPr>
        <w:t>t/a、排放速率为0.</w:t>
      </w:r>
      <w:r>
        <w:rPr>
          <w:rFonts w:hint="eastAsia" w:hAnsi="宋体"/>
          <w:color w:val="auto"/>
          <w:sz w:val="24"/>
          <w:lang w:val="en-US" w:eastAsia="zh-CN"/>
        </w:rPr>
        <w:t>095</w:t>
      </w:r>
      <w:r>
        <w:rPr>
          <w:rFonts w:hAnsi="宋体"/>
          <w:color w:val="auto"/>
          <w:sz w:val="24"/>
        </w:rPr>
        <w:t>kg/h。</w:t>
      </w:r>
    </w:p>
    <w:p>
      <w:pPr>
        <w:spacing w:line="360" w:lineRule="auto"/>
        <w:ind w:firstLine="480" w:firstLineChars="200"/>
        <w:contextualSpacing/>
        <w:rPr>
          <w:bCs/>
          <w:color w:val="auto"/>
          <w:sz w:val="24"/>
          <w:highlight w:val="none"/>
        </w:rPr>
      </w:pPr>
      <w:r>
        <w:rPr>
          <w:rFonts w:hAnsi="宋体"/>
          <w:bCs/>
          <w:color w:val="auto"/>
          <w:sz w:val="24"/>
          <w:highlight w:val="none"/>
        </w:rPr>
        <w:fldChar w:fldCharType="begin"/>
      </w:r>
      <w:r>
        <w:rPr>
          <w:rFonts w:hAnsi="宋体"/>
          <w:bCs/>
          <w:color w:val="auto"/>
          <w:sz w:val="24"/>
          <w:highlight w:val="none"/>
        </w:rPr>
        <w:instrText xml:space="preserve"> = 2 \* GB3 </w:instrText>
      </w:r>
      <w:r>
        <w:rPr>
          <w:rFonts w:hAnsi="宋体"/>
          <w:bCs/>
          <w:color w:val="auto"/>
          <w:sz w:val="24"/>
          <w:highlight w:val="none"/>
        </w:rPr>
        <w:fldChar w:fldCharType="separate"/>
      </w:r>
      <w:r>
        <w:rPr>
          <w:rFonts w:hint="eastAsia" w:hAnsi="宋体"/>
          <w:bCs/>
          <w:color w:val="auto"/>
          <w:sz w:val="24"/>
          <w:highlight w:val="none"/>
        </w:rPr>
        <w:t>②</w:t>
      </w:r>
      <w:r>
        <w:rPr>
          <w:rFonts w:hAnsi="宋体"/>
          <w:bCs/>
          <w:color w:val="auto"/>
          <w:sz w:val="24"/>
          <w:highlight w:val="none"/>
        </w:rPr>
        <w:fldChar w:fldCharType="end"/>
      </w:r>
      <w:r>
        <w:rPr>
          <w:color w:val="auto"/>
          <w:sz w:val="24"/>
          <w:highlight w:val="none"/>
        </w:rPr>
        <w:t>燃烧器</w:t>
      </w:r>
      <w:r>
        <w:rPr>
          <w:rFonts w:hAnsi="宋体"/>
          <w:bCs/>
          <w:color w:val="auto"/>
          <w:sz w:val="24"/>
          <w:highlight w:val="none"/>
        </w:rPr>
        <w:t>烟气</w:t>
      </w:r>
    </w:p>
    <w:p>
      <w:pPr>
        <w:pStyle w:val="117"/>
        <w:bidi w:val="0"/>
        <w:rPr>
          <w:rFonts w:hint="default"/>
          <w:color w:val="auto"/>
          <w:lang w:val="en-US" w:eastAsia="zh-CN"/>
        </w:rPr>
      </w:pPr>
      <w:r>
        <w:rPr>
          <w:rFonts w:hAnsi="宋体"/>
          <w:color w:val="auto"/>
          <w:sz w:val="24"/>
        </w:rPr>
        <w:t>本项目骨料热处理热源为</w:t>
      </w:r>
      <w:r>
        <w:rPr>
          <w:color w:val="auto"/>
          <w:sz w:val="24"/>
        </w:rPr>
        <w:t>1</w:t>
      </w:r>
      <w:r>
        <w:rPr>
          <w:rFonts w:hAnsi="宋体"/>
          <w:color w:val="auto"/>
          <w:sz w:val="24"/>
        </w:rPr>
        <w:t>台</w:t>
      </w:r>
      <w:r>
        <w:rPr>
          <w:color w:val="auto"/>
          <w:sz w:val="24"/>
        </w:rPr>
        <w:t>燃烧器</w:t>
      </w:r>
      <w:r>
        <w:rPr>
          <w:rFonts w:hAnsi="宋体"/>
          <w:color w:val="auto"/>
          <w:sz w:val="24"/>
        </w:rPr>
        <w:t>，</w:t>
      </w:r>
      <w:r>
        <w:rPr>
          <w:rFonts w:hint="eastAsia" w:cs="Times New Roman"/>
          <w:snapToGrid w:val="0"/>
          <w:color w:val="auto"/>
          <w:highlight w:val="none"/>
        </w:rPr>
        <w:t>用于加热碎石，年工作1</w:t>
      </w:r>
      <w:r>
        <w:rPr>
          <w:rFonts w:hint="eastAsia" w:cs="Times New Roman"/>
          <w:snapToGrid w:val="0"/>
          <w:color w:val="auto"/>
          <w:highlight w:val="none"/>
          <w:lang w:val="en-US" w:eastAsia="zh-CN"/>
        </w:rPr>
        <w:t>2</w:t>
      </w:r>
      <w:r>
        <w:rPr>
          <w:rFonts w:hint="eastAsia" w:cs="Times New Roman"/>
          <w:snapToGrid w:val="0"/>
          <w:color w:val="auto"/>
          <w:highlight w:val="none"/>
        </w:rPr>
        <w:t>0天，每天累计运行</w:t>
      </w:r>
      <w:r>
        <w:rPr>
          <w:rFonts w:hint="eastAsia" w:cs="Times New Roman"/>
          <w:snapToGrid w:val="0"/>
          <w:color w:val="auto"/>
          <w:highlight w:val="none"/>
          <w:lang w:val="en-US" w:eastAsia="zh-CN"/>
        </w:rPr>
        <w:t>10</w:t>
      </w:r>
      <w:r>
        <w:rPr>
          <w:rFonts w:hint="eastAsia" w:cs="Times New Roman"/>
          <w:snapToGrid w:val="0"/>
          <w:color w:val="auto"/>
          <w:highlight w:val="none"/>
        </w:rPr>
        <w:t>h。</w:t>
      </w:r>
      <w:r>
        <w:rPr>
          <w:rFonts w:eastAsiaTheme="minorEastAsia"/>
          <w:bCs/>
          <w:color w:val="auto"/>
          <w:kern w:val="0"/>
          <w:sz w:val="24"/>
        </w:rPr>
        <w:t>燃</w:t>
      </w:r>
      <w:r>
        <w:rPr>
          <w:rFonts w:hint="eastAsia" w:eastAsiaTheme="minorEastAsia"/>
          <w:bCs/>
          <w:color w:val="auto"/>
          <w:kern w:val="0"/>
          <w:sz w:val="24"/>
          <w:lang w:val="en-US" w:eastAsia="zh-CN"/>
        </w:rPr>
        <w:t>柴油</w:t>
      </w:r>
      <w:r>
        <w:rPr>
          <w:rFonts w:eastAsiaTheme="minorEastAsia"/>
          <w:bCs/>
          <w:color w:val="auto"/>
          <w:kern w:val="0"/>
          <w:sz w:val="24"/>
        </w:rPr>
        <w:t>燃烧器出厂设计</w:t>
      </w:r>
      <w:r>
        <w:rPr>
          <w:rFonts w:hint="eastAsia" w:eastAsiaTheme="minorEastAsia"/>
          <w:bCs/>
          <w:color w:val="auto"/>
          <w:kern w:val="0"/>
          <w:sz w:val="24"/>
          <w:lang w:val="en-US" w:eastAsia="zh-CN"/>
        </w:rPr>
        <w:t>柴油</w:t>
      </w:r>
      <w:r>
        <w:rPr>
          <w:rFonts w:eastAsiaTheme="minorEastAsia"/>
          <w:bCs/>
          <w:color w:val="auto"/>
          <w:kern w:val="0"/>
          <w:sz w:val="24"/>
        </w:rPr>
        <w:t>使用量为</w:t>
      </w:r>
      <w:r>
        <w:rPr>
          <w:rFonts w:hint="eastAsia" w:eastAsiaTheme="minorEastAsia"/>
          <w:bCs/>
          <w:color w:val="auto"/>
          <w:kern w:val="0"/>
          <w:sz w:val="24"/>
          <w:lang w:val="en-US" w:eastAsia="zh-CN"/>
        </w:rPr>
        <w:t>125kg</w:t>
      </w:r>
      <w:r>
        <w:rPr>
          <w:rFonts w:eastAsiaTheme="minorEastAsia"/>
          <w:bCs/>
          <w:color w:val="auto"/>
          <w:kern w:val="0"/>
          <w:sz w:val="24"/>
        </w:rPr>
        <w:t>/h，</w:t>
      </w:r>
      <w:r>
        <w:rPr>
          <w:rFonts w:hint="eastAsia" w:eastAsiaTheme="minorEastAsia"/>
          <w:bCs/>
          <w:color w:val="auto"/>
          <w:kern w:val="0"/>
          <w:sz w:val="24"/>
          <w:lang w:val="en-US" w:eastAsia="zh-CN"/>
        </w:rPr>
        <w:t>燃烧器年柴油消耗量150</w:t>
      </w:r>
      <w:r>
        <w:rPr>
          <w:rFonts w:hint="default" w:ascii="Times New Roman" w:hAnsi="Times New Roman" w:cs="Times New Roman"/>
          <w:snapToGrid w:val="0"/>
          <w:color w:val="auto"/>
          <w:sz w:val="24"/>
          <w:szCs w:val="24"/>
          <w:highlight w:val="none"/>
        </w:rPr>
        <w:t>t/a</w:t>
      </w:r>
      <w:r>
        <w:rPr>
          <w:bCs/>
          <w:color w:val="auto"/>
          <w:kern w:val="0"/>
          <w:sz w:val="24"/>
        </w:rPr>
        <w:t>。</w:t>
      </w:r>
      <w:r>
        <w:rPr>
          <w:rFonts w:hint="eastAsia"/>
          <w:color w:val="auto"/>
          <w:lang w:val="en-US" w:eastAsia="zh-CN"/>
        </w:rPr>
        <w:t>骨料加热废气主要为颗粒物、二氧化硫、氮氧化物。</w:t>
      </w:r>
    </w:p>
    <w:p>
      <w:pPr>
        <w:pStyle w:val="117"/>
        <w:bidi w:val="0"/>
        <w:rPr>
          <w:rFonts w:hint="eastAsia" w:eastAsia="宋体"/>
          <w:color w:val="auto"/>
          <w:lang w:val="en-US" w:eastAsia="zh-CN"/>
        </w:rPr>
      </w:pPr>
      <w:r>
        <w:rPr>
          <w:rFonts w:hint="eastAsia" w:cs="Times New Roman"/>
          <w:snapToGrid w:val="0"/>
          <w:color w:val="auto"/>
          <w:highlight w:val="none"/>
        </w:rPr>
        <w:t>燃油燃烧器</w:t>
      </w:r>
      <w:r>
        <w:rPr>
          <w:color w:val="auto"/>
          <w:kern w:val="0"/>
          <w:szCs w:val="21"/>
          <w:highlight w:val="none"/>
        </w:rPr>
        <w:t>废气污染物产生量计算参照</w:t>
      </w:r>
      <w:r>
        <w:rPr>
          <w:rFonts w:hint="eastAsia"/>
          <w:color w:val="auto"/>
          <w:kern w:val="0"/>
          <w:szCs w:val="21"/>
          <w:highlight w:val="none"/>
        </w:rPr>
        <w:t>《排放源统计调查产排污核算方法和系数手册》中“工业行业产排污系数手册”中4430工业锅炉（热力供应）行业系数手册计算。“4430工业锅炉（热力生产和供应行业）产排污系数表-燃油工业锅炉”中的数据</w:t>
      </w:r>
      <w:r>
        <w:rPr>
          <w:rFonts w:hint="eastAsia"/>
          <w:color w:val="auto"/>
          <w:kern w:val="0"/>
          <w:szCs w:val="21"/>
          <w:highlight w:val="none"/>
          <w:lang w:eastAsia="zh-CN"/>
        </w:rPr>
        <w:t>。</w:t>
      </w:r>
    </w:p>
    <w:p>
      <w:pPr>
        <w:pStyle w:val="135"/>
        <w:tabs>
          <w:tab w:val="clear" w:pos="5400"/>
        </w:tabs>
        <w:bidi w:val="0"/>
        <w:rPr>
          <w:color w:val="auto"/>
          <w:highlight w:val="none"/>
        </w:rPr>
      </w:pPr>
      <w:r>
        <w:rPr>
          <w:color w:val="auto"/>
          <w:highlight w:val="none"/>
        </w:rPr>
        <w:t>表</w:t>
      </w:r>
      <w:r>
        <w:rPr>
          <w:rFonts w:hint="eastAsia"/>
          <w:color w:val="auto"/>
          <w:highlight w:val="none"/>
          <w:lang w:val="en-US" w:eastAsia="zh-CN"/>
        </w:rPr>
        <w:t>2-2</w:t>
      </w:r>
      <w:r>
        <w:rPr>
          <w:color w:val="auto"/>
          <w:highlight w:val="none"/>
        </w:rPr>
        <w:t xml:space="preserve"> </w:t>
      </w:r>
      <w:r>
        <w:rPr>
          <w:rFonts w:hint="eastAsia"/>
          <w:color w:val="auto"/>
          <w:highlight w:val="none"/>
          <w:lang w:val="en-US" w:eastAsia="zh-CN"/>
        </w:rPr>
        <w:t>燃油</w:t>
      </w:r>
      <w:r>
        <w:rPr>
          <w:color w:val="auto"/>
          <w:highlight w:val="none"/>
        </w:rPr>
        <w:t>工业锅炉产污系数表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3"/>
        <w:gridCol w:w="1473"/>
        <w:gridCol w:w="1996"/>
        <w:gridCol w:w="1996"/>
        <w:gridCol w:w="20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noWrap w:val="0"/>
            <w:vAlign w:val="center"/>
          </w:tcPr>
          <w:p>
            <w:pPr>
              <w:pStyle w:val="195"/>
              <w:bidi w:val="0"/>
              <w:rPr>
                <w:color w:val="auto"/>
                <w:highlight w:val="none"/>
              </w:rPr>
            </w:pPr>
            <w:r>
              <w:rPr>
                <w:color w:val="auto"/>
                <w:highlight w:val="none"/>
              </w:rPr>
              <w:t>产品名称</w:t>
            </w:r>
          </w:p>
        </w:tc>
        <w:tc>
          <w:tcPr>
            <w:tcW w:w="864" w:type="pct"/>
            <w:noWrap w:val="0"/>
            <w:vAlign w:val="center"/>
          </w:tcPr>
          <w:p>
            <w:pPr>
              <w:pStyle w:val="195"/>
              <w:bidi w:val="0"/>
              <w:rPr>
                <w:color w:val="auto"/>
                <w:highlight w:val="none"/>
              </w:rPr>
            </w:pPr>
            <w:r>
              <w:rPr>
                <w:color w:val="auto"/>
                <w:highlight w:val="none"/>
              </w:rPr>
              <w:t>燃料名称</w:t>
            </w:r>
          </w:p>
        </w:tc>
        <w:tc>
          <w:tcPr>
            <w:tcW w:w="1171" w:type="pct"/>
            <w:noWrap w:val="0"/>
            <w:vAlign w:val="center"/>
          </w:tcPr>
          <w:p>
            <w:pPr>
              <w:pStyle w:val="195"/>
              <w:bidi w:val="0"/>
              <w:rPr>
                <w:color w:val="auto"/>
                <w:highlight w:val="none"/>
              </w:rPr>
            </w:pPr>
            <w:r>
              <w:rPr>
                <w:color w:val="auto"/>
                <w:highlight w:val="none"/>
              </w:rPr>
              <w:t>污染物指标</w:t>
            </w:r>
          </w:p>
        </w:tc>
        <w:tc>
          <w:tcPr>
            <w:tcW w:w="1171" w:type="pct"/>
            <w:noWrap w:val="0"/>
            <w:vAlign w:val="center"/>
          </w:tcPr>
          <w:p>
            <w:pPr>
              <w:pStyle w:val="195"/>
              <w:bidi w:val="0"/>
              <w:rPr>
                <w:color w:val="auto"/>
                <w:highlight w:val="none"/>
              </w:rPr>
            </w:pPr>
            <w:r>
              <w:rPr>
                <w:color w:val="auto"/>
                <w:highlight w:val="none"/>
              </w:rPr>
              <w:t>单位</w:t>
            </w:r>
          </w:p>
        </w:tc>
        <w:tc>
          <w:tcPr>
            <w:tcW w:w="1176" w:type="pct"/>
            <w:noWrap w:val="0"/>
            <w:vAlign w:val="center"/>
          </w:tcPr>
          <w:p>
            <w:pPr>
              <w:pStyle w:val="195"/>
              <w:bidi w:val="0"/>
              <w:rPr>
                <w:color w:val="auto"/>
                <w:highlight w:val="none"/>
              </w:rPr>
            </w:pPr>
            <w:r>
              <w:rPr>
                <w:rFonts w:hint="eastAsia"/>
                <w:color w:val="auto"/>
                <w:highlight w:val="none"/>
              </w:rPr>
              <w:t>产</w:t>
            </w:r>
            <w:r>
              <w:rPr>
                <w:color w:val="auto"/>
                <w:highlight w:val="none"/>
              </w:rPr>
              <w:t>污系数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restart"/>
            <w:noWrap w:val="0"/>
            <w:vAlign w:val="center"/>
          </w:tcPr>
          <w:p>
            <w:pPr>
              <w:pStyle w:val="195"/>
              <w:bidi w:val="0"/>
              <w:rPr>
                <w:color w:val="auto"/>
                <w:highlight w:val="none"/>
              </w:rPr>
            </w:pPr>
            <w:r>
              <w:rPr>
                <w:color w:val="auto"/>
                <w:highlight w:val="none"/>
              </w:rPr>
              <w:t>蒸汽/热水/其他</w:t>
            </w:r>
          </w:p>
        </w:tc>
        <w:tc>
          <w:tcPr>
            <w:tcW w:w="864" w:type="pct"/>
            <w:vMerge w:val="restart"/>
            <w:noWrap w:val="0"/>
            <w:vAlign w:val="center"/>
          </w:tcPr>
          <w:p>
            <w:pPr>
              <w:pStyle w:val="195"/>
              <w:bidi w:val="0"/>
              <w:rPr>
                <w:rFonts w:hint="default" w:eastAsia="宋体"/>
                <w:color w:val="auto"/>
                <w:highlight w:val="none"/>
                <w:lang w:val="en-US" w:eastAsia="zh-CN"/>
              </w:rPr>
            </w:pPr>
            <w:r>
              <w:rPr>
                <w:rFonts w:hint="eastAsia"/>
                <w:color w:val="auto"/>
                <w:highlight w:val="none"/>
                <w:lang w:val="en-US" w:eastAsia="zh-CN"/>
              </w:rPr>
              <w:t>柴油</w:t>
            </w:r>
          </w:p>
        </w:tc>
        <w:tc>
          <w:tcPr>
            <w:tcW w:w="1171" w:type="pct"/>
            <w:noWrap w:val="0"/>
            <w:vAlign w:val="center"/>
          </w:tcPr>
          <w:p>
            <w:pPr>
              <w:pStyle w:val="195"/>
              <w:bidi w:val="0"/>
              <w:rPr>
                <w:color w:val="auto"/>
                <w:highlight w:val="none"/>
              </w:rPr>
            </w:pPr>
            <w:r>
              <w:rPr>
                <w:color w:val="auto"/>
                <w:highlight w:val="none"/>
              </w:rPr>
              <w:t>工业废气量</w:t>
            </w:r>
          </w:p>
        </w:tc>
        <w:tc>
          <w:tcPr>
            <w:tcW w:w="1171" w:type="pct"/>
            <w:noWrap w:val="0"/>
            <w:vAlign w:val="center"/>
          </w:tcPr>
          <w:p>
            <w:pPr>
              <w:pStyle w:val="195"/>
              <w:bidi w:val="0"/>
              <w:rPr>
                <w:color w:val="auto"/>
                <w:highlight w:val="none"/>
              </w:rPr>
            </w:pPr>
            <w:r>
              <w:rPr>
                <w:rFonts w:hint="eastAsia"/>
                <w:color w:val="auto"/>
                <w:highlight w:val="none"/>
              </w:rPr>
              <w:t>标立方米/吨-原料</w:t>
            </w:r>
          </w:p>
        </w:tc>
        <w:tc>
          <w:tcPr>
            <w:tcW w:w="1176" w:type="pct"/>
            <w:noWrap w:val="0"/>
            <w:vAlign w:val="center"/>
          </w:tcPr>
          <w:p>
            <w:pPr>
              <w:pStyle w:val="195"/>
              <w:bidi w:val="0"/>
              <w:rPr>
                <w:rFonts w:hint="default" w:eastAsia="宋体"/>
                <w:color w:val="auto"/>
                <w:highlight w:val="none"/>
                <w:lang w:val="en-US" w:eastAsia="zh-CN"/>
              </w:rPr>
            </w:pPr>
            <w:r>
              <w:rPr>
                <w:rFonts w:hint="eastAsia"/>
                <w:color w:val="auto"/>
                <w:highlight w:val="none"/>
                <w:lang w:val="en-US" w:eastAsia="zh-CN"/>
              </w:rPr>
              <w:t>17804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continue"/>
            <w:noWrap w:val="0"/>
            <w:vAlign w:val="center"/>
          </w:tcPr>
          <w:p>
            <w:pPr>
              <w:pStyle w:val="195"/>
              <w:bidi w:val="0"/>
              <w:rPr>
                <w:color w:val="auto"/>
                <w:highlight w:val="none"/>
              </w:rPr>
            </w:pPr>
          </w:p>
        </w:tc>
        <w:tc>
          <w:tcPr>
            <w:tcW w:w="864" w:type="pct"/>
            <w:vMerge w:val="continue"/>
            <w:noWrap w:val="0"/>
            <w:vAlign w:val="center"/>
          </w:tcPr>
          <w:p>
            <w:pPr>
              <w:pStyle w:val="195"/>
              <w:bidi w:val="0"/>
              <w:rPr>
                <w:color w:val="auto"/>
                <w:highlight w:val="none"/>
              </w:rPr>
            </w:pPr>
          </w:p>
        </w:tc>
        <w:tc>
          <w:tcPr>
            <w:tcW w:w="1171" w:type="pct"/>
            <w:noWrap w:val="0"/>
            <w:vAlign w:val="center"/>
          </w:tcPr>
          <w:p>
            <w:pPr>
              <w:pStyle w:val="195"/>
              <w:bidi w:val="0"/>
              <w:rPr>
                <w:color w:val="auto"/>
                <w:highlight w:val="none"/>
              </w:rPr>
            </w:pPr>
            <w:r>
              <w:rPr>
                <w:color w:val="auto"/>
                <w:highlight w:val="none"/>
              </w:rPr>
              <w:t>颗粒物</w:t>
            </w:r>
          </w:p>
        </w:tc>
        <w:tc>
          <w:tcPr>
            <w:tcW w:w="1171" w:type="pct"/>
            <w:noWrap w:val="0"/>
            <w:vAlign w:val="center"/>
          </w:tcPr>
          <w:p>
            <w:pPr>
              <w:pStyle w:val="195"/>
              <w:bidi w:val="0"/>
              <w:rPr>
                <w:color w:val="auto"/>
                <w:highlight w:val="none"/>
              </w:rPr>
            </w:pPr>
            <w:r>
              <w:rPr>
                <w:color w:val="auto"/>
                <w:highlight w:val="none"/>
              </w:rPr>
              <w:t>kg/t-</w:t>
            </w:r>
            <w:r>
              <w:rPr>
                <w:rFonts w:hint="eastAsia"/>
                <w:color w:val="auto"/>
                <w:highlight w:val="none"/>
              </w:rPr>
              <w:t>原</w:t>
            </w:r>
            <w:r>
              <w:rPr>
                <w:color w:val="auto"/>
                <w:highlight w:val="none"/>
              </w:rPr>
              <w:t>料</w:t>
            </w:r>
          </w:p>
        </w:tc>
        <w:tc>
          <w:tcPr>
            <w:tcW w:w="1176" w:type="pct"/>
            <w:noWrap w:val="0"/>
            <w:vAlign w:val="center"/>
          </w:tcPr>
          <w:p>
            <w:pPr>
              <w:pStyle w:val="195"/>
              <w:bidi w:val="0"/>
              <w:rPr>
                <w:rFonts w:hint="default" w:eastAsia="宋体"/>
                <w:color w:val="auto"/>
                <w:highlight w:val="none"/>
                <w:lang w:val="en-US" w:eastAsia="zh-CN"/>
              </w:rPr>
            </w:pPr>
            <w:r>
              <w:rPr>
                <w:rFonts w:hint="eastAsia"/>
                <w:color w:val="auto"/>
                <w:highlight w:val="none"/>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618" w:type="pct"/>
            <w:vMerge w:val="continue"/>
            <w:noWrap w:val="0"/>
            <w:vAlign w:val="center"/>
          </w:tcPr>
          <w:p>
            <w:pPr>
              <w:pStyle w:val="195"/>
              <w:bidi w:val="0"/>
              <w:rPr>
                <w:color w:val="auto"/>
                <w:highlight w:val="none"/>
              </w:rPr>
            </w:pPr>
          </w:p>
        </w:tc>
        <w:tc>
          <w:tcPr>
            <w:tcW w:w="864" w:type="pct"/>
            <w:vMerge w:val="continue"/>
            <w:noWrap w:val="0"/>
            <w:vAlign w:val="center"/>
          </w:tcPr>
          <w:p>
            <w:pPr>
              <w:pStyle w:val="195"/>
              <w:bidi w:val="0"/>
              <w:rPr>
                <w:color w:val="auto"/>
                <w:highlight w:val="none"/>
              </w:rPr>
            </w:pPr>
          </w:p>
        </w:tc>
        <w:tc>
          <w:tcPr>
            <w:tcW w:w="1171" w:type="pct"/>
            <w:noWrap w:val="0"/>
            <w:vAlign w:val="center"/>
          </w:tcPr>
          <w:p>
            <w:pPr>
              <w:pStyle w:val="195"/>
              <w:bidi w:val="0"/>
              <w:rPr>
                <w:color w:val="auto"/>
                <w:highlight w:val="none"/>
              </w:rPr>
            </w:pPr>
            <w:r>
              <w:rPr>
                <w:color w:val="auto"/>
                <w:highlight w:val="none"/>
              </w:rPr>
              <w:t>二氧化硫</w:t>
            </w:r>
          </w:p>
        </w:tc>
        <w:tc>
          <w:tcPr>
            <w:tcW w:w="1171" w:type="pct"/>
            <w:noWrap w:val="0"/>
            <w:vAlign w:val="center"/>
          </w:tcPr>
          <w:p>
            <w:pPr>
              <w:pStyle w:val="195"/>
              <w:bidi w:val="0"/>
              <w:rPr>
                <w:color w:val="auto"/>
                <w:highlight w:val="none"/>
              </w:rPr>
            </w:pPr>
            <w:r>
              <w:rPr>
                <w:color w:val="auto"/>
                <w:highlight w:val="none"/>
              </w:rPr>
              <w:t>kg/t</w:t>
            </w:r>
            <w:r>
              <w:rPr>
                <w:rFonts w:hint="eastAsia"/>
                <w:color w:val="auto"/>
                <w:highlight w:val="none"/>
              </w:rPr>
              <w:t>原</w:t>
            </w:r>
            <w:r>
              <w:rPr>
                <w:color w:val="auto"/>
                <w:highlight w:val="none"/>
              </w:rPr>
              <w:t>料</w:t>
            </w:r>
          </w:p>
        </w:tc>
        <w:tc>
          <w:tcPr>
            <w:tcW w:w="1176" w:type="pct"/>
            <w:noWrap w:val="0"/>
            <w:vAlign w:val="center"/>
          </w:tcPr>
          <w:p>
            <w:pPr>
              <w:pStyle w:val="195"/>
              <w:bidi w:val="0"/>
              <w:rPr>
                <w:color w:val="auto"/>
                <w:highlight w:val="none"/>
              </w:rPr>
            </w:pPr>
            <w:r>
              <w:rPr>
                <w:rFonts w:hint="eastAsia"/>
                <w:color w:val="auto"/>
                <w:highlight w:val="none"/>
                <w:lang w:val="en-US" w:eastAsia="zh-CN"/>
              </w:rPr>
              <w:t>19</w:t>
            </w:r>
            <w:r>
              <w:rPr>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18" w:type="pct"/>
            <w:vMerge w:val="continue"/>
            <w:noWrap w:val="0"/>
            <w:vAlign w:val="center"/>
          </w:tcPr>
          <w:p>
            <w:pPr>
              <w:pStyle w:val="195"/>
              <w:bidi w:val="0"/>
              <w:rPr>
                <w:color w:val="auto"/>
                <w:highlight w:val="none"/>
              </w:rPr>
            </w:pPr>
          </w:p>
        </w:tc>
        <w:tc>
          <w:tcPr>
            <w:tcW w:w="864" w:type="pct"/>
            <w:vMerge w:val="continue"/>
            <w:noWrap w:val="0"/>
            <w:vAlign w:val="center"/>
          </w:tcPr>
          <w:p>
            <w:pPr>
              <w:pStyle w:val="195"/>
              <w:bidi w:val="0"/>
              <w:rPr>
                <w:color w:val="auto"/>
                <w:highlight w:val="none"/>
              </w:rPr>
            </w:pPr>
          </w:p>
        </w:tc>
        <w:tc>
          <w:tcPr>
            <w:tcW w:w="1171" w:type="pct"/>
            <w:noWrap w:val="0"/>
            <w:vAlign w:val="center"/>
          </w:tcPr>
          <w:p>
            <w:pPr>
              <w:pStyle w:val="195"/>
              <w:bidi w:val="0"/>
              <w:rPr>
                <w:color w:val="auto"/>
                <w:highlight w:val="none"/>
              </w:rPr>
            </w:pPr>
            <w:r>
              <w:rPr>
                <w:color w:val="auto"/>
                <w:highlight w:val="none"/>
              </w:rPr>
              <w:t>氮氧化物</w:t>
            </w:r>
          </w:p>
        </w:tc>
        <w:tc>
          <w:tcPr>
            <w:tcW w:w="1171" w:type="pct"/>
            <w:noWrap w:val="0"/>
            <w:vAlign w:val="center"/>
          </w:tcPr>
          <w:p>
            <w:pPr>
              <w:pStyle w:val="195"/>
              <w:bidi w:val="0"/>
              <w:rPr>
                <w:color w:val="auto"/>
                <w:highlight w:val="none"/>
              </w:rPr>
            </w:pPr>
            <w:r>
              <w:rPr>
                <w:color w:val="auto"/>
                <w:highlight w:val="none"/>
              </w:rPr>
              <w:t>kg/t</w:t>
            </w:r>
            <w:r>
              <w:rPr>
                <w:rFonts w:hint="eastAsia"/>
                <w:color w:val="auto"/>
                <w:highlight w:val="none"/>
              </w:rPr>
              <w:t>原</w:t>
            </w:r>
            <w:r>
              <w:rPr>
                <w:color w:val="auto"/>
                <w:highlight w:val="none"/>
              </w:rPr>
              <w:t>料</w:t>
            </w:r>
          </w:p>
        </w:tc>
        <w:tc>
          <w:tcPr>
            <w:tcW w:w="1176" w:type="pct"/>
            <w:noWrap w:val="0"/>
            <w:vAlign w:val="center"/>
          </w:tcPr>
          <w:p>
            <w:pPr>
              <w:pStyle w:val="195"/>
              <w:bidi w:val="0"/>
              <w:rPr>
                <w:rFonts w:hint="default" w:eastAsia="宋体"/>
                <w:color w:val="auto"/>
                <w:highlight w:val="none"/>
                <w:lang w:val="en-US" w:eastAsia="zh-CN"/>
              </w:rPr>
            </w:pPr>
            <w:r>
              <w:rPr>
                <w:rFonts w:hint="eastAsia"/>
                <w:color w:val="auto"/>
                <w:highlight w:val="none"/>
                <w:lang w:val="en-US" w:eastAsia="zh-CN"/>
              </w:rPr>
              <w:t>3.03</w:t>
            </w:r>
          </w:p>
        </w:tc>
      </w:tr>
    </w:tbl>
    <w:p>
      <w:pPr>
        <w:pStyle w:val="117"/>
        <w:bidi w:val="0"/>
        <w:ind w:left="0" w:leftChars="0" w:firstLine="0" w:firstLineChars="0"/>
        <w:rPr>
          <w:rFonts w:hint="default"/>
          <w:color w:val="auto"/>
          <w:sz w:val="18"/>
          <w:szCs w:val="18"/>
          <w:lang w:val="en-US" w:eastAsia="zh-CN"/>
        </w:rPr>
      </w:pPr>
      <w:r>
        <w:rPr>
          <w:rFonts w:hint="eastAsia"/>
          <w:color w:val="auto"/>
          <w:sz w:val="18"/>
          <w:szCs w:val="18"/>
          <w:lang w:val="en-US" w:eastAsia="zh-CN"/>
        </w:rPr>
        <w:t>注：S=0.005</w:t>
      </w:r>
    </w:p>
    <w:p>
      <w:pPr>
        <w:spacing w:line="360" w:lineRule="auto"/>
        <w:ind w:firstLine="480" w:firstLineChars="200"/>
        <w:rPr>
          <w:color w:val="auto"/>
          <w:sz w:val="24"/>
          <w:szCs w:val="24"/>
          <w:highlight w:val="none"/>
        </w:rPr>
      </w:pPr>
      <w:r>
        <w:rPr>
          <w:color w:val="auto"/>
          <w:sz w:val="24"/>
          <w:szCs w:val="24"/>
          <w:highlight w:val="none"/>
        </w:rPr>
        <w:t>经计算：</w:t>
      </w:r>
    </w:p>
    <w:p>
      <w:pPr>
        <w:spacing w:line="360" w:lineRule="auto"/>
        <w:ind w:firstLine="480" w:firstLineChars="200"/>
        <w:rPr>
          <w:rFonts w:hint="eastAsia" w:eastAsia="宋体"/>
          <w:color w:val="auto"/>
          <w:sz w:val="24"/>
          <w:szCs w:val="24"/>
          <w:highlight w:val="none"/>
          <w:lang w:val="en-US" w:eastAsia="zh-CN"/>
        </w:rPr>
      </w:pPr>
      <w:r>
        <w:rPr>
          <w:color w:val="auto"/>
          <w:sz w:val="24"/>
          <w:szCs w:val="24"/>
          <w:highlight w:val="none"/>
        </w:rPr>
        <w:t>工业废气量=</w:t>
      </w:r>
      <w:r>
        <w:rPr>
          <w:rFonts w:hint="eastAsia"/>
          <w:color w:val="auto"/>
          <w:sz w:val="24"/>
          <w:szCs w:val="24"/>
          <w:highlight w:val="none"/>
          <w:lang w:val="en-US" w:eastAsia="zh-CN"/>
        </w:rPr>
        <w:t>17804</w:t>
      </w:r>
      <w:r>
        <w:rPr>
          <w:color w:val="auto"/>
          <w:sz w:val="24"/>
          <w:szCs w:val="24"/>
          <w:highlight w:val="none"/>
        </w:rPr>
        <w:t>Nm</w:t>
      </w:r>
      <w:r>
        <w:rPr>
          <w:color w:val="auto"/>
          <w:sz w:val="24"/>
          <w:szCs w:val="24"/>
          <w:highlight w:val="none"/>
          <w:vertAlign w:val="superscript"/>
        </w:rPr>
        <w:t>3</w:t>
      </w:r>
      <w:r>
        <w:rPr>
          <w:color w:val="auto"/>
          <w:sz w:val="24"/>
          <w:szCs w:val="24"/>
          <w:highlight w:val="none"/>
        </w:rPr>
        <w:t>/t×</w:t>
      </w:r>
      <w:r>
        <w:rPr>
          <w:rFonts w:hint="eastAsia"/>
          <w:color w:val="auto"/>
          <w:sz w:val="24"/>
          <w:szCs w:val="24"/>
          <w:highlight w:val="none"/>
          <w:lang w:val="en-US" w:eastAsia="zh-CN"/>
        </w:rPr>
        <w:t>150</w:t>
      </w:r>
      <w:r>
        <w:rPr>
          <w:color w:val="auto"/>
          <w:sz w:val="24"/>
          <w:szCs w:val="24"/>
          <w:highlight w:val="none"/>
        </w:rPr>
        <w:t>t/a=</w:t>
      </w:r>
      <w:r>
        <w:rPr>
          <w:rFonts w:hint="eastAsia"/>
          <w:color w:val="auto"/>
          <w:sz w:val="24"/>
          <w:szCs w:val="24"/>
          <w:highlight w:val="none"/>
          <w:lang w:val="en-US" w:eastAsia="zh-CN"/>
        </w:rPr>
        <w:t>2670600</w:t>
      </w:r>
      <w:r>
        <w:rPr>
          <w:color w:val="auto"/>
          <w:sz w:val="24"/>
          <w:szCs w:val="24"/>
          <w:highlight w:val="none"/>
        </w:rPr>
        <w:t>Nm</w:t>
      </w:r>
      <w:r>
        <w:rPr>
          <w:color w:val="auto"/>
          <w:sz w:val="24"/>
          <w:szCs w:val="24"/>
          <w:highlight w:val="none"/>
          <w:vertAlign w:val="superscript"/>
        </w:rPr>
        <w:t>3</w:t>
      </w:r>
      <w:r>
        <w:rPr>
          <w:color w:val="auto"/>
          <w:sz w:val="24"/>
          <w:szCs w:val="24"/>
          <w:highlight w:val="none"/>
        </w:rPr>
        <w:t>/a</w:t>
      </w:r>
      <w:r>
        <w:rPr>
          <w:rFonts w:hint="eastAsia"/>
          <w:color w:val="auto"/>
          <w:sz w:val="24"/>
          <w:szCs w:val="24"/>
          <w:highlight w:val="none"/>
          <w:lang w:eastAsia="zh-CN"/>
        </w:rPr>
        <w:t>，2225.5</w:t>
      </w:r>
      <w:r>
        <w:rPr>
          <w:color w:val="auto"/>
          <w:sz w:val="24"/>
          <w:szCs w:val="24"/>
          <w:highlight w:val="none"/>
        </w:rPr>
        <w:t>Nm</w:t>
      </w:r>
      <w:r>
        <w:rPr>
          <w:color w:val="auto"/>
          <w:sz w:val="24"/>
          <w:szCs w:val="24"/>
          <w:highlight w:val="none"/>
          <w:vertAlign w:val="superscript"/>
        </w:rPr>
        <w:t>3</w:t>
      </w:r>
      <w:r>
        <w:rPr>
          <w:rFonts w:hint="eastAsia"/>
          <w:color w:val="auto"/>
          <w:sz w:val="24"/>
          <w:szCs w:val="24"/>
          <w:highlight w:val="none"/>
          <w:vertAlign w:val="baseline"/>
          <w:lang w:val="en-US" w:eastAsia="zh-CN"/>
        </w:rPr>
        <w:t>/h</w:t>
      </w:r>
    </w:p>
    <w:p>
      <w:pPr>
        <w:pStyle w:val="135"/>
        <w:tabs>
          <w:tab w:val="clear" w:pos="5400"/>
        </w:tabs>
        <w:bidi w:val="0"/>
        <w:rPr>
          <w:color w:val="auto"/>
        </w:rPr>
      </w:pPr>
      <w:r>
        <w:rPr>
          <w:rFonts w:hint="eastAsia"/>
          <w:color w:val="auto"/>
        </w:rPr>
        <w:t>表</w:t>
      </w:r>
      <w:r>
        <w:rPr>
          <w:rFonts w:hint="eastAsia"/>
          <w:color w:val="auto"/>
          <w:lang w:val="en-US" w:eastAsia="zh-CN"/>
        </w:rPr>
        <w:t>2-3</w:t>
      </w:r>
      <w:r>
        <w:rPr>
          <w:rFonts w:hint="eastAsia"/>
          <w:color w:val="auto"/>
        </w:rPr>
        <w:t xml:space="preserve"> 污染物排放情况</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68"/>
        <w:gridCol w:w="711"/>
        <w:gridCol w:w="814"/>
        <w:gridCol w:w="774"/>
        <w:gridCol w:w="711"/>
        <w:gridCol w:w="600"/>
        <w:gridCol w:w="727"/>
        <w:gridCol w:w="816"/>
        <w:gridCol w:w="819"/>
        <w:gridCol w:w="891"/>
        <w:gridCol w:w="8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8" w:type="dxa"/>
            <w:vMerge w:val="restart"/>
            <w:tcBorders>
              <w:tl2br w:val="nil"/>
              <w:tr2bl w:val="nil"/>
            </w:tcBorders>
            <w:vAlign w:val="center"/>
          </w:tcPr>
          <w:p>
            <w:pPr>
              <w:pStyle w:val="195"/>
              <w:rPr>
                <w:color w:val="auto"/>
                <w:highlight w:val="none"/>
              </w:rPr>
            </w:pPr>
            <w:r>
              <w:rPr>
                <w:color w:val="auto"/>
                <w:highlight w:val="none"/>
              </w:rPr>
              <w:t>污染物</w:t>
            </w:r>
          </w:p>
        </w:tc>
        <w:tc>
          <w:tcPr>
            <w:tcW w:w="3010" w:type="dxa"/>
            <w:gridSpan w:val="4"/>
            <w:tcBorders>
              <w:tl2br w:val="nil"/>
              <w:tr2bl w:val="nil"/>
            </w:tcBorders>
            <w:vAlign w:val="center"/>
          </w:tcPr>
          <w:p>
            <w:pPr>
              <w:pStyle w:val="195"/>
              <w:rPr>
                <w:color w:val="auto"/>
                <w:highlight w:val="none"/>
              </w:rPr>
            </w:pPr>
            <w:r>
              <w:rPr>
                <w:color w:val="auto"/>
                <w:highlight w:val="none"/>
              </w:rPr>
              <w:t>污染物产生</w:t>
            </w:r>
          </w:p>
        </w:tc>
        <w:tc>
          <w:tcPr>
            <w:tcW w:w="1327" w:type="dxa"/>
            <w:gridSpan w:val="2"/>
            <w:tcBorders>
              <w:tl2br w:val="nil"/>
              <w:tr2bl w:val="nil"/>
            </w:tcBorders>
            <w:vAlign w:val="center"/>
          </w:tcPr>
          <w:p>
            <w:pPr>
              <w:pStyle w:val="195"/>
              <w:rPr>
                <w:color w:val="auto"/>
                <w:highlight w:val="none"/>
              </w:rPr>
            </w:pPr>
            <w:r>
              <w:rPr>
                <w:color w:val="auto"/>
                <w:highlight w:val="none"/>
              </w:rPr>
              <w:t>治理措施</w:t>
            </w:r>
          </w:p>
        </w:tc>
        <w:tc>
          <w:tcPr>
            <w:tcW w:w="3417" w:type="dxa"/>
            <w:gridSpan w:val="4"/>
            <w:tcBorders>
              <w:tl2br w:val="nil"/>
              <w:tr2bl w:val="nil"/>
            </w:tcBorders>
            <w:vAlign w:val="center"/>
          </w:tcPr>
          <w:p>
            <w:pPr>
              <w:pStyle w:val="195"/>
              <w:rPr>
                <w:color w:val="auto"/>
                <w:highlight w:val="none"/>
              </w:rPr>
            </w:pPr>
            <w:r>
              <w:rPr>
                <w:color w:val="auto"/>
                <w:highlight w:val="none"/>
              </w:rPr>
              <w:t>污染物排放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8" w:type="dxa"/>
            <w:vMerge w:val="continue"/>
            <w:tcBorders>
              <w:tl2br w:val="nil"/>
              <w:tr2bl w:val="nil"/>
            </w:tcBorders>
            <w:vAlign w:val="center"/>
          </w:tcPr>
          <w:p>
            <w:pPr>
              <w:pStyle w:val="195"/>
              <w:rPr>
                <w:color w:val="auto"/>
                <w:highlight w:val="none"/>
              </w:rPr>
            </w:pPr>
          </w:p>
        </w:tc>
        <w:tc>
          <w:tcPr>
            <w:tcW w:w="711" w:type="dxa"/>
            <w:tcBorders>
              <w:tl2br w:val="nil"/>
              <w:tr2bl w:val="nil"/>
            </w:tcBorders>
            <w:vAlign w:val="center"/>
          </w:tcPr>
          <w:p>
            <w:pPr>
              <w:pStyle w:val="195"/>
              <w:rPr>
                <w:color w:val="auto"/>
                <w:highlight w:val="none"/>
              </w:rPr>
            </w:pPr>
            <w:r>
              <w:rPr>
                <w:color w:val="auto"/>
                <w:highlight w:val="none"/>
              </w:rPr>
              <w:t>废气产生量(m</w:t>
            </w:r>
            <w:r>
              <w:rPr>
                <w:color w:val="auto"/>
                <w:highlight w:val="none"/>
                <w:vertAlign w:val="superscript"/>
              </w:rPr>
              <w:t>3</w:t>
            </w:r>
            <w:r>
              <w:rPr>
                <w:color w:val="auto"/>
                <w:highlight w:val="none"/>
              </w:rPr>
              <w:t>/h)</w:t>
            </w:r>
          </w:p>
        </w:tc>
        <w:tc>
          <w:tcPr>
            <w:tcW w:w="814" w:type="dxa"/>
            <w:tcBorders>
              <w:tl2br w:val="nil"/>
              <w:tr2bl w:val="nil"/>
            </w:tcBorders>
            <w:vAlign w:val="center"/>
          </w:tcPr>
          <w:p>
            <w:pPr>
              <w:pStyle w:val="195"/>
              <w:rPr>
                <w:color w:val="auto"/>
                <w:highlight w:val="none"/>
              </w:rPr>
            </w:pPr>
            <w:r>
              <w:rPr>
                <w:color w:val="auto"/>
                <w:highlight w:val="none"/>
              </w:rPr>
              <w:t>产生浓度(mg/m</w:t>
            </w:r>
            <w:r>
              <w:rPr>
                <w:color w:val="auto"/>
                <w:highlight w:val="none"/>
                <w:vertAlign w:val="superscript"/>
              </w:rPr>
              <w:t>3</w:t>
            </w:r>
            <w:r>
              <w:rPr>
                <w:color w:val="auto"/>
                <w:highlight w:val="none"/>
              </w:rPr>
              <w:t>)</w:t>
            </w:r>
          </w:p>
        </w:tc>
        <w:tc>
          <w:tcPr>
            <w:tcW w:w="774" w:type="dxa"/>
            <w:tcBorders>
              <w:tl2br w:val="nil"/>
              <w:tr2bl w:val="nil"/>
            </w:tcBorders>
            <w:vAlign w:val="center"/>
          </w:tcPr>
          <w:p>
            <w:pPr>
              <w:pStyle w:val="195"/>
              <w:rPr>
                <w:color w:val="auto"/>
                <w:highlight w:val="none"/>
              </w:rPr>
            </w:pPr>
            <w:r>
              <w:rPr>
                <w:color w:val="auto"/>
                <w:highlight w:val="none"/>
              </w:rPr>
              <w:t>产生量</w:t>
            </w:r>
          </w:p>
          <w:p>
            <w:pPr>
              <w:pStyle w:val="195"/>
              <w:rPr>
                <w:color w:val="auto"/>
                <w:highlight w:val="none"/>
              </w:rPr>
            </w:pPr>
            <w:r>
              <w:rPr>
                <w:color w:val="auto"/>
                <w:highlight w:val="none"/>
              </w:rPr>
              <w:t>(t/a)</w:t>
            </w:r>
          </w:p>
        </w:tc>
        <w:tc>
          <w:tcPr>
            <w:tcW w:w="711" w:type="dxa"/>
            <w:tcBorders>
              <w:tl2br w:val="nil"/>
              <w:tr2bl w:val="nil"/>
            </w:tcBorders>
            <w:vAlign w:val="center"/>
          </w:tcPr>
          <w:p>
            <w:pPr>
              <w:pStyle w:val="195"/>
              <w:rPr>
                <w:color w:val="auto"/>
                <w:highlight w:val="none"/>
              </w:rPr>
            </w:pPr>
            <w:r>
              <w:rPr>
                <w:color w:val="auto"/>
                <w:highlight w:val="none"/>
              </w:rPr>
              <w:t>产生速率</w:t>
            </w:r>
          </w:p>
          <w:p>
            <w:pPr>
              <w:pStyle w:val="195"/>
              <w:rPr>
                <w:color w:val="auto"/>
                <w:highlight w:val="none"/>
              </w:rPr>
            </w:pPr>
            <w:r>
              <w:rPr>
                <w:color w:val="auto"/>
                <w:highlight w:val="none"/>
              </w:rPr>
              <w:t>(kg/h)</w:t>
            </w:r>
          </w:p>
        </w:tc>
        <w:tc>
          <w:tcPr>
            <w:tcW w:w="600" w:type="dxa"/>
            <w:tcBorders>
              <w:tl2br w:val="nil"/>
              <w:tr2bl w:val="nil"/>
            </w:tcBorders>
            <w:vAlign w:val="center"/>
          </w:tcPr>
          <w:p>
            <w:pPr>
              <w:pStyle w:val="195"/>
              <w:rPr>
                <w:color w:val="auto"/>
                <w:highlight w:val="none"/>
              </w:rPr>
            </w:pPr>
            <w:r>
              <w:rPr>
                <w:color w:val="auto"/>
                <w:highlight w:val="none"/>
              </w:rPr>
              <w:t>工艺</w:t>
            </w:r>
          </w:p>
        </w:tc>
        <w:tc>
          <w:tcPr>
            <w:tcW w:w="727" w:type="dxa"/>
            <w:tcBorders>
              <w:tl2br w:val="nil"/>
              <w:tr2bl w:val="nil"/>
            </w:tcBorders>
            <w:vAlign w:val="center"/>
          </w:tcPr>
          <w:p>
            <w:pPr>
              <w:pStyle w:val="195"/>
              <w:rPr>
                <w:color w:val="auto"/>
                <w:highlight w:val="none"/>
              </w:rPr>
            </w:pPr>
            <w:r>
              <w:rPr>
                <w:color w:val="auto"/>
                <w:highlight w:val="none"/>
              </w:rPr>
              <w:t>综合处理效率%</w:t>
            </w:r>
          </w:p>
        </w:tc>
        <w:tc>
          <w:tcPr>
            <w:tcW w:w="816" w:type="dxa"/>
            <w:tcBorders>
              <w:tl2br w:val="nil"/>
              <w:tr2bl w:val="nil"/>
            </w:tcBorders>
            <w:vAlign w:val="center"/>
          </w:tcPr>
          <w:p>
            <w:pPr>
              <w:pStyle w:val="195"/>
              <w:rPr>
                <w:color w:val="auto"/>
                <w:highlight w:val="none"/>
              </w:rPr>
            </w:pPr>
            <w:r>
              <w:rPr>
                <w:color w:val="auto"/>
                <w:highlight w:val="none"/>
              </w:rPr>
              <w:t>废气排放量(m</w:t>
            </w:r>
            <w:r>
              <w:rPr>
                <w:color w:val="auto"/>
                <w:highlight w:val="none"/>
                <w:vertAlign w:val="superscript"/>
              </w:rPr>
              <w:t>3</w:t>
            </w:r>
            <w:r>
              <w:rPr>
                <w:color w:val="auto"/>
                <w:highlight w:val="none"/>
              </w:rPr>
              <w:t>/h)</w:t>
            </w:r>
          </w:p>
        </w:tc>
        <w:tc>
          <w:tcPr>
            <w:tcW w:w="819" w:type="dxa"/>
            <w:tcBorders>
              <w:tl2br w:val="nil"/>
              <w:tr2bl w:val="nil"/>
            </w:tcBorders>
            <w:vAlign w:val="center"/>
          </w:tcPr>
          <w:p>
            <w:pPr>
              <w:pStyle w:val="195"/>
              <w:rPr>
                <w:color w:val="auto"/>
                <w:highlight w:val="none"/>
              </w:rPr>
            </w:pPr>
            <w:r>
              <w:rPr>
                <w:color w:val="auto"/>
                <w:highlight w:val="none"/>
              </w:rPr>
              <w:t>排放</w:t>
            </w:r>
          </w:p>
          <w:p>
            <w:pPr>
              <w:pStyle w:val="195"/>
              <w:rPr>
                <w:color w:val="auto"/>
                <w:highlight w:val="none"/>
              </w:rPr>
            </w:pPr>
            <w:r>
              <w:rPr>
                <w:color w:val="auto"/>
                <w:highlight w:val="none"/>
              </w:rPr>
              <w:t>浓度(mg/m</w:t>
            </w:r>
            <w:r>
              <w:rPr>
                <w:color w:val="auto"/>
                <w:highlight w:val="none"/>
                <w:vertAlign w:val="superscript"/>
              </w:rPr>
              <w:t>3</w:t>
            </w:r>
            <w:r>
              <w:rPr>
                <w:color w:val="auto"/>
                <w:highlight w:val="none"/>
              </w:rPr>
              <w:t>)</w:t>
            </w:r>
          </w:p>
        </w:tc>
        <w:tc>
          <w:tcPr>
            <w:tcW w:w="891" w:type="dxa"/>
            <w:tcBorders>
              <w:tl2br w:val="nil"/>
              <w:tr2bl w:val="nil"/>
            </w:tcBorders>
            <w:vAlign w:val="center"/>
          </w:tcPr>
          <w:p>
            <w:pPr>
              <w:pStyle w:val="195"/>
              <w:rPr>
                <w:color w:val="auto"/>
                <w:highlight w:val="none"/>
              </w:rPr>
            </w:pPr>
            <w:r>
              <w:rPr>
                <w:color w:val="auto"/>
                <w:highlight w:val="none"/>
              </w:rPr>
              <w:t>排放量</w:t>
            </w:r>
          </w:p>
          <w:p>
            <w:pPr>
              <w:pStyle w:val="195"/>
              <w:rPr>
                <w:color w:val="auto"/>
                <w:highlight w:val="none"/>
              </w:rPr>
            </w:pPr>
            <w:r>
              <w:rPr>
                <w:color w:val="auto"/>
                <w:highlight w:val="none"/>
              </w:rPr>
              <w:t>(t/a)</w:t>
            </w:r>
          </w:p>
        </w:tc>
        <w:tc>
          <w:tcPr>
            <w:tcW w:w="891" w:type="dxa"/>
            <w:tcBorders>
              <w:tl2br w:val="nil"/>
              <w:tr2bl w:val="nil"/>
            </w:tcBorders>
            <w:vAlign w:val="center"/>
          </w:tcPr>
          <w:p>
            <w:pPr>
              <w:pStyle w:val="195"/>
              <w:rPr>
                <w:color w:val="auto"/>
                <w:highlight w:val="none"/>
              </w:rPr>
            </w:pPr>
            <w:r>
              <w:rPr>
                <w:color w:val="auto"/>
                <w:highlight w:val="none"/>
              </w:rPr>
              <w:t>排放速率</w:t>
            </w:r>
          </w:p>
          <w:p>
            <w:pPr>
              <w:pStyle w:val="195"/>
              <w:rPr>
                <w:color w:val="auto"/>
                <w:highlight w:val="none"/>
              </w:rPr>
            </w:pPr>
            <w:r>
              <w:rPr>
                <w:color w:val="auto"/>
                <w:highlight w:val="none"/>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8" w:type="dxa"/>
            <w:tcBorders>
              <w:tl2br w:val="nil"/>
              <w:tr2bl w:val="nil"/>
            </w:tcBorders>
            <w:vAlign w:val="center"/>
          </w:tcPr>
          <w:p>
            <w:pPr>
              <w:pStyle w:val="195"/>
              <w:rPr>
                <w:color w:val="auto"/>
                <w:highlight w:val="none"/>
              </w:rPr>
            </w:pPr>
            <w:r>
              <w:rPr>
                <w:color w:val="auto"/>
                <w:highlight w:val="none"/>
              </w:rPr>
              <w:t>颗粒物</w:t>
            </w:r>
          </w:p>
        </w:tc>
        <w:tc>
          <w:tcPr>
            <w:tcW w:w="711" w:type="dxa"/>
            <w:vMerge w:val="restart"/>
            <w:tcBorders>
              <w:tl2br w:val="nil"/>
              <w:tr2bl w:val="nil"/>
            </w:tcBorders>
            <w:vAlign w:val="center"/>
          </w:tcPr>
          <w:p>
            <w:pPr>
              <w:pStyle w:val="195"/>
              <w:rPr>
                <w:rFonts w:hint="eastAsia" w:eastAsia="宋体"/>
                <w:color w:val="auto"/>
                <w:highlight w:val="none"/>
                <w:lang w:eastAsia="zh-CN"/>
              </w:rPr>
            </w:pPr>
            <w:r>
              <w:rPr>
                <w:rFonts w:hint="eastAsia" w:eastAsia="宋体"/>
                <w:color w:val="auto"/>
                <w:highlight w:val="none"/>
                <w:lang w:eastAsia="zh-CN"/>
              </w:rPr>
              <w:t>2225.5</w:t>
            </w:r>
          </w:p>
        </w:tc>
        <w:tc>
          <w:tcPr>
            <w:tcW w:w="814" w:type="dxa"/>
            <w:tcBorders>
              <w:tl2br w:val="nil"/>
              <w:tr2bl w:val="nil"/>
            </w:tcBorders>
            <w:vAlign w:val="center"/>
          </w:tcPr>
          <w:p>
            <w:pPr>
              <w:pStyle w:val="195"/>
              <w:rPr>
                <w:color w:val="auto"/>
                <w:highlight w:val="none"/>
              </w:rPr>
            </w:pPr>
            <w:r>
              <w:rPr>
                <w:rFonts w:hint="eastAsia"/>
                <w:color w:val="auto"/>
                <w:highlight w:val="none"/>
              </w:rPr>
              <w:t>14.603</w:t>
            </w:r>
          </w:p>
        </w:tc>
        <w:tc>
          <w:tcPr>
            <w:tcW w:w="774" w:type="dxa"/>
            <w:tcBorders>
              <w:tl2br w:val="nil"/>
              <w:tr2bl w:val="nil"/>
            </w:tcBorders>
            <w:vAlign w:val="center"/>
          </w:tcPr>
          <w:p>
            <w:pPr>
              <w:pStyle w:val="195"/>
              <w:rPr>
                <w:rFonts w:hint="default" w:eastAsia="宋体"/>
                <w:color w:val="auto"/>
                <w:highlight w:val="none"/>
                <w:lang w:val="en-US" w:eastAsia="zh-CN"/>
              </w:rPr>
            </w:pPr>
            <w:r>
              <w:rPr>
                <w:rFonts w:hint="eastAsia" w:eastAsia="宋体"/>
                <w:color w:val="auto"/>
                <w:highlight w:val="none"/>
                <w:lang w:eastAsia="zh-CN"/>
              </w:rPr>
              <w:t>0.0</w:t>
            </w:r>
            <w:r>
              <w:rPr>
                <w:rFonts w:hint="eastAsia"/>
                <w:color w:val="auto"/>
                <w:highlight w:val="none"/>
                <w:lang w:val="en-US" w:eastAsia="zh-CN"/>
              </w:rPr>
              <w:t>39</w:t>
            </w:r>
          </w:p>
        </w:tc>
        <w:tc>
          <w:tcPr>
            <w:tcW w:w="711" w:type="dxa"/>
            <w:tcBorders>
              <w:tl2br w:val="nil"/>
              <w:tr2bl w:val="nil"/>
            </w:tcBorders>
            <w:vAlign w:val="center"/>
          </w:tcPr>
          <w:p>
            <w:pPr>
              <w:pStyle w:val="195"/>
              <w:rPr>
                <w:rFonts w:hint="eastAsia" w:eastAsia="宋体"/>
                <w:color w:val="auto"/>
                <w:highlight w:val="none"/>
                <w:lang w:eastAsia="zh-CN"/>
              </w:rPr>
            </w:pPr>
            <w:r>
              <w:rPr>
                <w:rFonts w:hint="eastAsia" w:eastAsia="宋体"/>
                <w:color w:val="auto"/>
                <w:highlight w:val="none"/>
                <w:lang w:eastAsia="zh-CN"/>
              </w:rPr>
              <w:t>0.0325</w:t>
            </w:r>
          </w:p>
        </w:tc>
        <w:tc>
          <w:tcPr>
            <w:tcW w:w="600" w:type="dxa"/>
            <w:tcBorders>
              <w:tl2br w:val="nil"/>
              <w:tr2bl w:val="nil"/>
            </w:tcBorders>
            <w:vAlign w:val="center"/>
          </w:tcPr>
          <w:p>
            <w:pPr>
              <w:pStyle w:val="195"/>
              <w:rPr>
                <w:color w:val="auto"/>
                <w:highlight w:val="none"/>
              </w:rPr>
            </w:pPr>
            <w:r>
              <w:rPr>
                <w:rFonts w:hint="eastAsia"/>
                <w:color w:val="auto"/>
                <w:lang w:val="en-US" w:eastAsia="zh-CN"/>
              </w:rPr>
              <w:t>重力+布袋除尘器</w:t>
            </w:r>
          </w:p>
        </w:tc>
        <w:tc>
          <w:tcPr>
            <w:tcW w:w="727" w:type="dxa"/>
            <w:tcBorders>
              <w:tl2br w:val="nil"/>
              <w:tr2bl w:val="nil"/>
            </w:tcBorders>
            <w:vAlign w:val="center"/>
          </w:tcPr>
          <w:p>
            <w:pPr>
              <w:pStyle w:val="195"/>
              <w:rPr>
                <w:color w:val="auto"/>
                <w:highlight w:val="none"/>
              </w:rPr>
            </w:pPr>
            <w:r>
              <w:rPr>
                <w:color w:val="auto"/>
                <w:highlight w:val="none"/>
              </w:rPr>
              <w:t>99</w:t>
            </w:r>
          </w:p>
        </w:tc>
        <w:tc>
          <w:tcPr>
            <w:tcW w:w="816" w:type="dxa"/>
            <w:vMerge w:val="restart"/>
            <w:tcBorders>
              <w:tl2br w:val="nil"/>
              <w:tr2bl w:val="nil"/>
            </w:tcBorders>
            <w:vAlign w:val="center"/>
          </w:tcPr>
          <w:p>
            <w:pPr>
              <w:pStyle w:val="195"/>
              <w:rPr>
                <w:rFonts w:hint="eastAsia" w:eastAsia="宋体"/>
                <w:color w:val="auto"/>
                <w:highlight w:val="none"/>
                <w:lang w:eastAsia="zh-CN"/>
              </w:rPr>
            </w:pPr>
            <w:r>
              <w:rPr>
                <w:rFonts w:hint="eastAsia" w:eastAsia="宋体"/>
                <w:color w:val="auto"/>
                <w:highlight w:val="none"/>
                <w:lang w:eastAsia="zh-CN"/>
              </w:rPr>
              <w:t>2225.5</w:t>
            </w:r>
          </w:p>
        </w:tc>
        <w:tc>
          <w:tcPr>
            <w:tcW w:w="819" w:type="dxa"/>
            <w:tcBorders>
              <w:tl2br w:val="nil"/>
              <w:tr2bl w:val="nil"/>
            </w:tcBorders>
            <w:vAlign w:val="center"/>
          </w:tcPr>
          <w:p>
            <w:pPr>
              <w:pStyle w:val="195"/>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15</w:t>
            </w:r>
          </w:p>
        </w:tc>
        <w:tc>
          <w:tcPr>
            <w:tcW w:w="891" w:type="dxa"/>
            <w:tcBorders>
              <w:tl2br w:val="nil"/>
              <w:tr2bl w:val="nil"/>
            </w:tcBorders>
            <w:vAlign w:val="center"/>
          </w:tcPr>
          <w:p>
            <w:pPr>
              <w:pStyle w:val="195"/>
              <w:rPr>
                <w:rFonts w:hint="default" w:eastAsia="宋体"/>
                <w:color w:val="auto"/>
                <w:highlight w:val="none"/>
                <w:lang w:val="en-US" w:eastAsia="zh-CN"/>
              </w:rPr>
            </w:pPr>
            <w:r>
              <w:rPr>
                <w:rFonts w:hint="eastAsia" w:eastAsia="宋体"/>
                <w:color w:val="auto"/>
                <w:highlight w:val="none"/>
                <w:lang w:val="en-US" w:eastAsia="zh-CN"/>
              </w:rPr>
              <w:t>0.000</w:t>
            </w:r>
            <w:r>
              <w:rPr>
                <w:rFonts w:hint="eastAsia"/>
                <w:color w:val="auto"/>
                <w:highlight w:val="none"/>
                <w:lang w:val="en-US" w:eastAsia="zh-CN"/>
              </w:rPr>
              <w:t>4</w:t>
            </w:r>
          </w:p>
        </w:tc>
        <w:tc>
          <w:tcPr>
            <w:tcW w:w="891" w:type="dxa"/>
            <w:tcBorders>
              <w:tl2br w:val="nil"/>
              <w:tr2bl w:val="nil"/>
            </w:tcBorders>
            <w:vAlign w:val="center"/>
          </w:tcPr>
          <w:p>
            <w:pPr>
              <w:pStyle w:val="195"/>
              <w:rPr>
                <w:rFonts w:hint="default" w:eastAsia="宋体"/>
                <w:color w:val="auto"/>
                <w:highlight w:val="none"/>
                <w:lang w:val="en-US" w:eastAsia="zh-CN"/>
              </w:rPr>
            </w:pPr>
            <w:r>
              <w:rPr>
                <w:rFonts w:hint="eastAsia"/>
                <w:color w:val="auto"/>
                <w:highlight w:val="none"/>
                <w:lang w:val="en-US" w:eastAsia="zh-CN"/>
              </w:rPr>
              <w:t>0.000325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8" w:type="dxa"/>
            <w:tcBorders>
              <w:tl2br w:val="nil"/>
              <w:tr2bl w:val="nil"/>
            </w:tcBorders>
            <w:vAlign w:val="center"/>
          </w:tcPr>
          <w:p>
            <w:pPr>
              <w:pStyle w:val="195"/>
              <w:rPr>
                <w:color w:val="auto"/>
                <w:highlight w:val="none"/>
                <w:vertAlign w:val="subscript"/>
              </w:rPr>
            </w:pPr>
            <w:r>
              <w:rPr>
                <w:color w:val="auto"/>
                <w:highlight w:val="none"/>
              </w:rPr>
              <w:t>SO</w:t>
            </w:r>
            <w:r>
              <w:rPr>
                <w:color w:val="auto"/>
                <w:highlight w:val="none"/>
                <w:vertAlign w:val="subscript"/>
              </w:rPr>
              <w:t>2</w:t>
            </w:r>
          </w:p>
        </w:tc>
        <w:tc>
          <w:tcPr>
            <w:tcW w:w="711" w:type="dxa"/>
            <w:vMerge w:val="continue"/>
            <w:tcBorders>
              <w:tl2br w:val="nil"/>
              <w:tr2bl w:val="nil"/>
            </w:tcBorders>
            <w:vAlign w:val="center"/>
          </w:tcPr>
          <w:p>
            <w:pPr>
              <w:pStyle w:val="195"/>
              <w:rPr>
                <w:color w:val="auto"/>
                <w:highlight w:val="none"/>
              </w:rPr>
            </w:pPr>
          </w:p>
        </w:tc>
        <w:tc>
          <w:tcPr>
            <w:tcW w:w="814" w:type="dxa"/>
            <w:tcBorders>
              <w:tl2br w:val="nil"/>
              <w:tr2bl w:val="nil"/>
            </w:tcBorders>
            <w:vAlign w:val="center"/>
          </w:tcPr>
          <w:p>
            <w:pPr>
              <w:pStyle w:val="195"/>
              <w:rPr>
                <w:rFonts w:hint="eastAsia" w:eastAsia="宋体"/>
                <w:color w:val="auto"/>
                <w:highlight w:val="none"/>
                <w:lang w:eastAsia="zh-CN"/>
              </w:rPr>
            </w:pPr>
            <w:r>
              <w:rPr>
                <w:rFonts w:hint="eastAsia"/>
                <w:color w:val="auto"/>
                <w:highlight w:val="none"/>
              </w:rPr>
              <w:t>5.3</w:t>
            </w:r>
            <w:r>
              <w:rPr>
                <w:rFonts w:hint="eastAsia"/>
                <w:color w:val="auto"/>
                <w:highlight w:val="none"/>
                <w:lang w:val="en-US" w:eastAsia="zh-CN"/>
              </w:rPr>
              <w:t>3</w:t>
            </w:r>
          </w:p>
        </w:tc>
        <w:tc>
          <w:tcPr>
            <w:tcW w:w="774" w:type="dxa"/>
            <w:tcBorders>
              <w:tl2br w:val="nil"/>
              <w:tr2bl w:val="nil"/>
            </w:tcBorders>
            <w:vAlign w:val="center"/>
          </w:tcPr>
          <w:p>
            <w:pPr>
              <w:pStyle w:val="195"/>
              <w:rPr>
                <w:rFonts w:hint="default" w:eastAsia="宋体"/>
                <w:color w:val="auto"/>
                <w:highlight w:val="none"/>
                <w:lang w:val="en-US" w:eastAsia="zh-CN"/>
              </w:rPr>
            </w:pPr>
            <w:r>
              <w:rPr>
                <w:rFonts w:hint="eastAsia" w:eastAsia="宋体"/>
                <w:color w:val="auto"/>
                <w:highlight w:val="none"/>
                <w:lang w:eastAsia="zh-CN"/>
              </w:rPr>
              <w:t>0.0</w:t>
            </w:r>
            <w:r>
              <w:rPr>
                <w:rFonts w:hint="eastAsia"/>
                <w:color w:val="auto"/>
                <w:highlight w:val="none"/>
                <w:lang w:val="en-US" w:eastAsia="zh-CN"/>
              </w:rPr>
              <w:t>14</w:t>
            </w:r>
          </w:p>
        </w:tc>
        <w:tc>
          <w:tcPr>
            <w:tcW w:w="711" w:type="dxa"/>
            <w:tcBorders>
              <w:tl2br w:val="nil"/>
              <w:tr2bl w:val="nil"/>
            </w:tcBorders>
            <w:vAlign w:val="center"/>
          </w:tcPr>
          <w:p>
            <w:pPr>
              <w:pStyle w:val="195"/>
              <w:rPr>
                <w:rFonts w:hint="eastAsia" w:eastAsia="宋体"/>
                <w:color w:val="auto"/>
                <w:highlight w:val="none"/>
                <w:lang w:val="en-US" w:eastAsia="zh-CN"/>
              </w:rPr>
            </w:pPr>
            <w:r>
              <w:rPr>
                <w:rFonts w:hint="eastAsia"/>
                <w:color w:val="auto"/>
                <w:highlight w:val="none"/>
              </w:rPr>
              <w:t>0.01</w:t>
            </w:r>
            <w:r>
              <w:rPr>
                <w:rFonts w:hint="eastAsia"/>
                <w:color w:val="auto"/>
                <w:highlight w:val="none"/>
                <w:lang w:val="en-US" w:eastAsia="zh-CN"/>
              </w:rPr>
              <w:t>2</w:t>
            </w:r>
          </w:p>
        </w:tc>
        <w:tc>
          <w:tcPr>
            <w:tcW w:w="600" w:type="dxa"/>
            <w:tcBorders>
              <w:tl2br w:val="nil"/>
              <w:tr2bl w:val="nil"/>
            </w:tcBorders>
            <w:vAlign w:val="center"/>
          </w:tcPr>
          <w:p>
            <w:pPr>
              <w:pStyle w:val="195"/>
              <w:rPr>
                <w:color w:val="auto"/>
                <w:highlight w:val="none"/>
              </w:rPr>
            </w:pPr>
            <w:r>
              <w:rPr>
                <w:rFonts w:hint="eastAsia"/>
                <w:bCs/>
                <w:color w:val="auto"/>
                <w:highlight w:val="none"/>
              </w:rPr>
              <w:t>/</w:t>
            </w:r>
          </w:p>
        </w:tc>
        <w:tc>
          <w:tcPr>
            <w:tcW w:w="727" w:type="dxa"/>
            <w:tcBorders>
              <w:tl2br w:val="nil"/>
              <w:tr2bl w:val="nil"/>
            </w:tcBorders>
            <w:vAlign w:val="center"/>
          </w:tcPr>
          <w:p>
            <w:pPr>
              <w:pStyle w:val="195"/>
              <w:rPr>
                <w:color w:val="auto"/>
                <w:highlight w:val="none"/>
              </w:rPr>
            </w:pPr>
            <w:r>
              <w:rPr>
                <w:rFonts w:hint="eastAsia"/>
                <w:color w:val="auto"/>
                <w:highlight w:val="none"/>
              </w:rPr>
              <w:t>0</w:t>
            </w:r>
          </w:p>
        </w:tc>
        <w:tc>
          <w:tcPr>
            <w:tcW w:w="816" w:type="dxa"/>
            <w:vMerge w:val="continue"/>
            <w:tcBorders>
              <w:tl2br w:val="nil"/>
              <w:tr2bl w:val="nil"/>
            </w:tcBorders>
            <w:vAlign w:val="center"/>
          </w:tcPr>
          <w:p>
            <w:pPr>
              <w:pStyle w:val="195"/>
              <w:rPr>
                <w:color w:val="auto"/>
                <w:highlight w:val="none"/>
              </w:rPr>
            </w:pPr>
          </w:p>
        </w:tc>
        <w:tc>
          <w:tcPr>
            <w:tcW w:w="819" w:type="dxa"/>
            <w:tcBorders>
              <w:tl2br w:val="nil"/>
              <w:tr2bl w:val="nil"/>
            </w:tcBorders>
            <w:vAlign w:val="center"/>
          </w:tcPr>
          <w:p>
            <w:pPr>
              <w:pStyle w:val="195"/>
              <w:ind w:left="0" w:leftChars="0" w:firstLine="0" w:firstLineChars="0"/>
              <w:rPr>
                <w:color w:val="auto"/>
                <w:highlight w:val="none"/>
              </w:rPr>
            </w:pPr>
            <w:r>
              <w:rPr>
                <w:rFonts w:hint="eastAsia"/>
                <w:color w:val="auto"/>
                <w:highlight w:val="none"/>
              </w:rPr>
              <w:t>5.3</w:t>
            </w:r>
            <w:r>
              <w:rPr>
                <w:rFonts w:hint="eastAsia"/>
                <w:color w:val="auto"/>
                <w:highlight w:val="none"/>
                <w:lang w:val="en-US" w:eastAsia="zh-CN"/>
              </w:rPr>
              <w:t>3</w:t>
            </w:r>
          </w:p>
        </w:tc>
        <w:tc>
          <w:tcPr>
            <w:tcW w:w="891" w:type="dxa"/>
            <w:tcBorders>
              <w:tl2br w:val="nil"/>
              <w:tr2bl w:val="nil"/>
            </w:tcBorders>
            <w:vAlign w:val="center"/>
          </w:tcPr>
          <w:p>
            <w:pPr>
              <w:pStyle w:val="195"/>
              <w:ind w:left="0" w:leftChars="0" w:firstLine="0" w:firstLineChars="0"/>
              <w:rPr>
                <w:rFonts w:hint="eastAsia" w:eastAsia="宋体"/>
                <w:color w:val="auto"/>
                <w:highlight w:val="none"/>
                <w:lang w:eastAsia="zh-CN"/>
              </w:rPr>
            </w:pPr>
            <w:r>
              <w:rPr>
                <w:rFonts w:hint="eastAsia" w:eastAsia="宋体"/>
                <w:color w:val="auto"/>
                <w:highlight w:val="none"/>
                <w:lang w:eastAsia="zh-CN"/>
              </w:rPr>
              <w:t>0.0</w:t>
            </w:r>
            <w:r>
              <w:rPr>
                <w:rFonts w:hint="eastAsia"/>
                <w:color w:val="auto"/>
                <w:highlight w:val="none"/>
                <w:lang w:val="en-US" w:eastAsia="zh-CN"/>
              </w:rPr>
              <w:t>14</w:t>
            </w:r>
          </w:p>
        </w:tc>
        <w:tc>
          <w:tcPr>
            <w:tcW w:w="891" w:type="dxa"/>
            <w:tcBorders>
              <w:tl2br w:val="nil"/>
              <w:tr2bl w:val="nil"/>
            </w:tcBorders>
            <w:vAlign w:val="center"/>
          </w:tcPr>
          <w:p>
            <w:pPr>
              <w:pStyle w:val="195"/>
              <w:ind w:left="0" w:leftChars="0" w:firstLine="0" w:firstLineChars="0"/>
              <w:rPr>
                <w:color w:val="auto"/>
                <w:highlight w:val="none"/>
              </w:rPr>
            </w:pPr>
            <w:r>
              <w:rPr>
                <w:rFonts w:hint="eastAsia"/>
                <w:color w:val="auto"/>
                <w:highlight w:val="none"/>
              </w:rPr>
              <w:t>0.01</w:t>
            </w:r>
            <w:r>
              <w:rPr>
                <w:rFonts w:hint="eastAsia"/>
                <w:color w:val="auto"/>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8" w:type="dxa"/>
            <w:tcBorders>
              <w:tl2br w:val="nil"/>
              <w:tr2bl w:val="nil"/>
            </w:tcBorders>
            <w:vAlign w:val="center"/>
          </w:tcPr>
          <w:p>
            <w:pPr>
              <w:pStyle w:val="195"/>
              <w:rPr>
                <w:color w:val="auto"/>
                <w:highlight w:val="none"/>
              </w:rPr>
            </w:pPr>
            <w:r>
              <w:rPr>
                <w:color w:val="auto"/>
                <w:highlight w:val="none"/>
              </w:rPr>
              <w:t>NOx</w:t>
            </w:r>
          </w:p>
        </w:tc>
        <w:tc>
          <w:tcPr>
            <w:tcW w:w="711" w:type="dxa"/>
            <w:vMerge w:val="continue"/>
            <w:tcBorders>
              <w:tl2br w:val="nil"/>
              <w:tr2bl w:val="nil"/>
            </w:tcBorders>
            <w:vAlign w:val="center"/>
          </w:tcPr>
          <w:p>
            <w:pPr>
              <w:pStyle w:val="195"/>
              <w:rPr>
                <w:color w:val="auto"/>
                <w:highlight w:val="none"/>
              </w:rPr>
            </w:pPr>
          </w:p>
        </w:tc>
        <w:tc>
          <w:tcPr>
            <w:tcW w:w="814" w:type="dxa"/>
            <w:tcBorders>
              <w:tl2br w:val="nil"/>
              <w:tr2bl w:val="nil"/>
            </w:tcBorders>
            <w:vAlign w:val="center"/>
          </w:tcPr>
          <w:p>
            <w:pPr>
              <w:pStyle w:val="195"/>
              <w:rPr>
                <w:rFonts w:hint="eastAsia" w:eastAsia="宋体"/>
                <w:color w:val="auto"/>
                <w:highlight w:val="none"/>
                <w:lang w:val="en-US" w:eastAsia="zh-CN"/>
              </w:rPr>
            </w:pPr>
            <w:r>
              <w:rPr>
                <w:rFonts w:hint="eastAsia"/>
                <w:color w:val="auto"/>
                <w:highlight w:val="none"/>
              </w:rPr>
              <w:t>170.</w:t>
            </w:r>
            <w:r>
              <w:rPr>
                <w:rFonts w:hint="eastAsia"/>
                <w:color w:val="auto"/>
                <w:highlight w:val="none"/>
                <w:lang w:val="en-US" w:eastAsia="zh-CN"/>
              </w:rPr>
              <w:t>2</w:t>
            </w:r>
          </w:p>
        </w:tc>
        <w:tc>
          <w:tcPr>
            <w:tcW w:w="774" w:type="dxa"/>
            <w:tcBorders>
              <w:tl2br w:val="nil"/>
              <w:tr2bl w:val="nil"/>
            </w:tcBorders>
            <w:vAlign w:val="center"/>
          </w:tcPr>
          <w:p>
            <w:pPr>
              <w:pStyle w:val="195"/>
              <w:rPr>
                <w:rFonts w:hint="default" w:eastAsia="宋体"/>
                <w:color w:val="auto"/>
                <w:highlight w:val="none"/>
                <w:lang w:val="en-US" w:eastAsia="zh-CN"/>
              </w:rPr>
            </w:pPr>
            <w:r>
              <w:rPr>
                <w:rFonts w:hint="eastAsia" w:eastAsia="宋体"/>
                <w:color w:val="auto"/>
                <w:highlight w:val="none"/>
                <w:lang w:eastAsia="zh-CN"/>
              </w:rPr>
              <w:t>0.</w:t>
            </w:r>
            <w:r>
              <w:rPr>
                <w:rFonts w:hint="eastAsia"/>
                <w:color w:val="auto"/>
                <w:highlight w:val="none"/>
                <w:lang w:val="en-US" w:eastAsia="zh-CN"/>
              </w:rPr>
              <w:t>455</w:t>
            </w:r>
          </w:p>
        </w:tc>
        <w:tc>
          <w:tcPr>
            <w:tcW w:w="711" w:type="dxa"/>
            <w:tcBorders>
              <w:tl2br w:val="nil"/>
              <w:tr2bl w:val="nil"/>
            </w:tcBorders>
            <w:vAlign w:val="center"/>
          </w:tcPr>
          <w:p>
            <w:pPr>
              <w:pStyle w:val="195"/>
              <w:rPr>
                <w:color w:val="auto"/>
                <w:highlight w:val="none"/>
              </w:rPr>
            </w:pPr>
            <w:r>
              <w:rPr>
                <w:rFonts w:hint="eastAsia"/>
                <w:color w:val="auto"/>
                <w:highlight w:val="none"/>
              </w:rPr>
              <w:t>0.379</w:t>
            </w:r>
          </w:p>
        </w:tc>
        <w:tc>
          <w:tcPr>
            <w:tcW w:w="600" w:type="dxa"/>
            <w:tcBorders>
              <w:tl2br w:val="nil"/>
              <w:tr2bl w:val="nil"/>
            </w:tcBorders>
            <w:vAlign w:val="center"/>
          </w:tcPr>
          <w:p>
            <w:pPr>
              <w:pStyle w:val="195"/>
              <w:rPr>
                <w:color w:val="auto"/>
                <w:highlight w:val="none"/>
              </w:rPr>
            </w:pPr>
            <w:r>
              <w:rPr>
                <w:rFonts w:hint="eastAsia"/>
                <w:bCs/>
                <w:color w:val="auto"/>
                <w:highlight w:val="none"/>
              </w:rPr>
              <w:t>/</w:t>
            </w:r>
          </w:p>
        </w:tc>
        <w:tc>
          <w:tcPr>
            <w:tcW w:w="727" w:type="dxa"/>
            <w:tcBorders>
              <w:tl2br w:val="nil"/>
              <w:tr2bl w:val="nil"/>
            </w:tcBorders>
            <w:vAlign w:val="center"/>
          </w:tcPr>
          <w:p>
            <w:pPr>
              <w:pStyle w:val="195"/>
              <w:rPr>
                <w:color w:val="auto"/>
                <w:highlight w:val="none"/>
              </w:rPr>
            </w:pPr>
            <w:r>
              <w:rPr>
                <w:rFonts w:hint="eastAsia"/>
                <w:color w:val="auto"/>
                <w:highlight w:val="none"/>
              </w:rPr>
              <w:t>0</w:t>
            </w:r>
          </w:p>
        </w:tc>
        <w:tc>
          <w:tcPr>
            <w:tcW w:w="816" w:type="dxa"/>
            <w:vMerge w:val="continue"/>
            <w:tcBorders>
              <w:tl2br w:val="nil"/>
              <w:tr2bl w:val="nil"/>
            </w:tcBorders>
            <w:vAlign w:val="center"/>
          </w:tcPr>
          <w:p>
            <w:pPr>
              <w:pStyle w:val="195"/>
              <w:rPr>
                <w:color w:val="auto"/>
                <w:highlight w:val="none"/>
              </w:rPr>
            </w:pPr>
          </w:p>
        </w:tc>
        <w:tc>
          <w:tcPr>
            <w:tcW w:w="819" w:type="dxa"/>
            <w:tcBorders>
              <w:tl2br w:val="nil"/>
              <w:tr2bl w:val="nil"/>
            </w:tcBorders>
            <w:vAlign w:val="center"/>
          </w:tcPr>
          <w:p>
            <w:pPr>
              <w:pStyle w:val="195"/>
              <w:ind w:left="0" w:leftChars="0" w:firstLine="0" w:firstLineChars="0"/>
              <w:rPr>
                <w:color w:val="auto"/>
                <w:highlight w:val="none"/>
              </w:rPr>
            </w:pPr>
            <w:r>
              <w:rPr>
                <w:rFonts w:hint="eastAsia"/>
                <w:color w:val="auto"/>
                <w:highlight w:val="none"/>
              </w:rPr>
              <w:t>170.</w:t>
            </w:r>
            <w:r>
              <w:rPr>
                <w:rFonts w:hint="eastAsia"/>
                <w:color w:val="auto"/>
                <w:highlight w:val="none"/>
                <w:lang w:val="en-US" w:eastAsia="zh-CN"/>
              </w:rPr>
              <w:t>2</w:t>
            </w:r>
          </w:p>
        </w:tc>
        <w:tc>
          <w:tcPr>
            <w:tcW w:w="891" w:type="dxa"/>
            <w:tcBorders>
              <w:tl2br w:val="nil"/>
              <w:tr2bl w:val="nil"/>
            </w:tcBorders>
            <w:vAlign w:val="center"/>
          </w:tcPr>
          <w:p>
            <w:pPr>
              <w:pStyle w:val="195"/>
              <w:ind w:left="0" w:leftChars="0" w:firstLine="0" w:firstLineChars="0"/>
              <w:rPr>
                <w:rFonts w:hint="eastAsia" w:eastAsia="宋体"/>
                <w:color w:val="auto"/>
                <w:highlight w:val="none"/>
                <w:lang w:eastAsia="zh-CN"/>
              </w:rPr>
            </w:pPr>
            <w:r>
              <w:rPr>
                <w:rFonts w:hint="eastAsia" w:eastAsia="宋体"/>
                <w:color w:val="auto"/>
                <w:highlight w:val="none"/>
                <w:lang w:eastAsia="zh-CN"/>
              </w:rPr>
              <w:t>0.</w:t>
            </w:r>
            <w:r>
              <w:rPr>
                <w:rFonts w:hint="eastAsia"/>
                <w:color w:val="auto"/>
                <w:highlight w:val="none"/>
                <w:lang w:val="en-US" w:eastAsia="zh-CN"/>
              </w:rPr>
              <w:t>455</w:t>
            </w:r>
          </w:p>
        </w:tc>
        <w:tc>
          <w:tcPr>
            <w:tcW w:w="891" w:type="dxa"/>
            <w:tcBorders>
              <w:tl2br w:val="nil"/>
              <w:tr2bl w:val="nil"/>
            </w:tcBorders>
            <w:vAlign w:val="center"/>
          </w:tcPr>
          <w:p>
            <w:pPr>
              <w:pStyle w:val="195"/>
              <w:ind w:left="0" w:leftChars="0" w:firstLine="0" w:firstLineChars="0"/>
              <w:rPr>
                <w:color w:val="auto"/>
                <w:highlight w:val="none"/>
              </w:rPr>
            </w:pPr>
            <w:r>
              <w:rPr>
                <w:rFonts w:hint="eastAsia"/>
                <w:color w:val="auto"/>
                <w:highlight w:val="none"/>
              </w:rPr>
              <w:t>0.379</w:t>
            </w:r>
          </w:p>
        </w:tc>
      </w:tr>
    </w:tbl>
    <w:p>
      <w:pPr>
        <w:spacing w:line="360" w:lineRule="auto"/>
        <w:ind w:firstLine="480" w:firstLineChars="200"/>
        <w:contextualSpacing/>
        <w:rPr>
          <w:bCs/>
          <w:color w:val="auto"/>
          <w:sz w:val="24"/>
        </w:rPr>
      </w:pPr>
      <w:r>
        <w:rPr>
          <w:rFonts w:hAnsi="宋体"/>
          <w:bCs/>
          <w:color w:val="auto"/>
          <w:sz w:val="24"/>
        </w:rPr>
        <w:t>③</w:t>
      </w:r>
      <w:r>
        <w:rPr>
          <w:rFonts w:hint="eastAsia" w:hAnsi="宋体"/>
          <w:bCs/>
          <w:color w:val="auto"/>
          <w:sz w:val="24"/>
          <w:lang w:val="en-US" w:eastAsia="zh-CN"/>
        </w:rPr>
        <w:t>热骨料</w:t>
      </w:r>
      <w:r>
        <w:rPr>
          <w:rFonts w:hAnsi="宋体"/>
          <w:bCs/>
          <w:color w:val="auto"/>
          <w:sz w:val="24"/>
        </w:rPr>
        <w:t>筛分粉尘</w:t>
      </w:r>
    </w:p>
    <w:p>
      <w:pPr>
        <w:spacing w:line="360" w:lineRule="auto"/>
        <w:ind w:firstLine="480" w:firstLineChars="200"/>
        <w:contextualSpacing/>
        <w:rPr>
          <w:bCs/>
          <w:color w:val="auto"/>
          <w:sz w:val="24"/>
        </w:rPr>
      </w:pPr>
      <w:r>
        <w:rPr>
          <w:rFonts w:hAnsi="宋体"/>
          <w:color w:val="auto"/>
          <w:sz w:val="24"/>
        </w:rPr>
        <w:t>颗粒物产生量</w:t>
      </w:r>
      <w:r>
        <w:rPr>
          <w:rFonts w:hint="eastAsia" w:hAnsi="宋体"/>
          <w:color w:val="auto"/>
          <w:sz w:val="24"/>
        </w:rPr>
        <w:t>根据</w:t>
      </w:r>
      <w:r>
        <w:rPr>
          <w:rFonts w:hAnsi="宋体"/>
          <w:color w:val="auto"/>
          <w:sz w:val="24"/>
        </w:rPr>
        <w:t>《逸散性工业粉尘控制技术》</w:t>
      </w:r>
      <w:r>
        <w:rPr>
          <w:rFonts w:hint="eastAsia" w:hAnsi="宋体"/>
          <w:color w:val="auto"/>
          <w:sz w:val="24"/>
        </w:rPr>
        <w:t>粒料加工厂中筛选排放因子系数为1.0kg/t（贮料），</w:t>
      </w:r>
      <w:r>
        <w:rPr>
          <w:rFonts w:hAnsi="宋体"/>
          <w:color w:val="auto"/>
          <w:sz w:val="24"/>
        </w:rPr>
        <w:t>年运行</w:t>
      </w:r>
      <w:r>
        <w:rPr>
          <w:rFonts w:hint="eastAsia"/>
          <w:color w:val="auto"/>
          <w:sz w:val="24"/>
          <w:lang w:val="en-US" w:eastAsia="zh-CN"/>
        </w:rPr>
        <w:t>12</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w:t>
      </w:r>
      <w:r>
        <w:rPr>
          <w:rFonts w:hint="eastAsia" w:eastAsiaTheme="minorEastAsia"/>
          <w:color w:val="auto"/>
          <w:sz w:val="24"/>
          <w:lang w:val="en-US" w:eastAsia="zh-CN"/>
        </w:rPr>
        <w:t>骨</w:t>
      </w:r>
      <w:r>
        <w:rPr>
          <w:rFonts w:eastAsiaTheme="minorEastAsia"/>
          <w:color w:val="auto"/>
          <w:sz w:val="24"/>
        </w:rPr>
        <w:t>料量为</w:t>
      </w:r>
      <w:r>
        <w:rPr>
          <w:rFonts w:hint="eastAsia" w:eastAsiaTheme="minorEastAsia"/>
          <w:color w:val="auto"/>
          <w:sz w:val="24"/>
          <w:lang w:val="en-US" w:eastAsia="zh-CN"/>
        </w:rPr>
        <w:t>45825</w:t>
      </w:r>
      <w:r>
        <w:rPr>
          <w:rFonts w:eastAsiaTheme="minorEastAsia"/>
          <w:color w:val="auto"/>
          <w:sz w:val="24"/>
        </w:rPr>
        <w:t>t/a，</w:t>
      </w:r>
      <w:r>
        <w:rPr>
          <w:rFonts w:hAnsi="宋体"/>
          <w:bCs/>
          <w:color w:val="auto"/>
          <w:sz w:val="24"/>
        </w:rPr>
        <w:t>则粉尘产生量为</w:t>
      </w:r>
      <w:r>
        <w:rPr>
          <w:rFonts w:hint="eastAsia"/>
          <w:bCs/>
          <w:color w:val="auto"/>
          <w:sz w:val="24"/>
          <w:lang w:val="en-US" w:eastAsia="zh-CN"/>
        </w:rPr>
        <w:t>45.825</w:t>
      </w:r>
      <w:r>
        <w:rPr>
          <w:bCs/>
          <w:color w:val="auto"/>
          <w:sz w:val="24"/>
        </w:rPr>
        <w:t>t/a</w:t>
      </w:r>
      <w:r>
        <w:rPr>
          <w:rFonts w:hAnsi="宋体"/>
          <w:bCs/>
          <w:color w:val="auto"/>
          <w:sz w:val="24"/>
        </w:rPr>
        <w:t>、</w:t>
      </w:r>
      <w:r>
        <w:rPr>
          <w:rFonts w:hint="eastAsia"/>
          <w:bCs/>
          <w:color w:val="auto"/>
          <w:sz w:val="24"/>
          <w:lang w:val="en-US" w:eastAsia="zh-CN"/>
        </w:rPr>
        <w:t>38.19</w:t>
      </w:r>
      <w:r>
        <w:rPr>
          <w:bCs/>
          <w:color w:val="auto"/>
          <w:sz w:val="24"/>
        </w:rPr>
        <w:t>kg/h</w:t>
      </w:r>
      <w:r>
        <w:rPr>
          <w:rFonts w:hAnsi="宋体"/>
          <w:bCs/>
          <w:color w:val="auto"/>
          <w:sz w:val="24"/>
        </w:rPr>
        <w:t>，</w:t>
      </w:r>
      <w:r>
        <w:rPr>
          <w:rFonts w:hAnsi="宋体"/>
          <w:color w:val="auto"/>
          <w:sz w:val="24"/>
        </w:rPr>
        <w:t>产生的粉尘经集气管道收集，</w:t>
      </w:r>
      <w:r>
        <w:rPr>
          <w:rFonts w:hint="eastAsia" w:hAnsi="宋体"/>
          <w:color w:val="auto"/>
          <w:sz w:val="24"/>
        </w:rPr>
        <w:t>经</w:t>
      </w:r>
      <w:r>
        <w:rPr>
          <w:rFonts w:hint="eastAsia"/>
          <w:color w:val="auto"/>
          <w:sz w:val="24"/>
        </w:rPr>
        <w:t>除尘</w:t>
      </w:r>
      <w:r>
        <w:rPr>
          <w:color w:val="auto"/>
          <w:sz w:val="24"/>
        </w:rPr>
        <w:t>系统</w:t>
      </w:r>
      <w:r>
        <w:rPr>
          <w:rFonts w:hAnsi="宋体"/>
          <w:color w:val="auto"/>
          <w:sz w:val="24"/>
        </w:rPr>
        <w:t>（</w:t>
      </w:r>
      <w:r>
        <w:rPr>
          <w:rFonts w:hint="eastAsia" w:hAnsi="宋体"/>
          <w:color w:val="auto"/>
          <w:sz w:val="24"/>
          <w:lang w:val="en-US" w:eastAsia="zh-CN"/>
        </w:rPr>
        <w:t>重力</w:t>
      </w:r>
      <w:r>
        <w:rPr>
          <w:rFonts w:hint="eastAsia" w:hAnsi="宋体"/>
          <w:color w:val="auto"/>
          <w:sz w:val="24"/>
          <w:lang w:eastAsia="zh-CN"/>
        </w:rPr>
        <w:t>+布袋</w:t>
      </w:r>
      <w:r>
        <w:rPr>
          <w:rFonts w:hint="eastAsia" w:hAnsi="宋体"/>
          <w:color w:val="auto"/>
          <w:sz w:val="24"/>
        </w:rPr>
        <w:t>，</w:t>
      </w:r>
      <w:r>
        <w:rPr>
          <w:rFonts w:hAnsi="宋体"/>
          <w:color w:val="auto"/>
          <w:sz w:val="24"/>
        </w:rPr>
        <w:t>除尘效率</w:t>
      </w:r>
      <w:r>
        <w:rPr>
          <w:color w:val="auto"/>
          <w:sz w:val="24"/>
        </w:rPr>
        <w:t>99%</w:t>
      </w:r>
      <w:r>
        <w:rPr>
          <w:rFonts w:hAnsi="宋体"/>
          <w:color w:val="auto"/>
          <w:sz w:val="24"/>
        </w:rPr>
        <w:t>）处理后由</w:t>
      </w:r>
      <w:r>
        <w:rPr>
          <w:rFonts w:hint="eastAsia"/>
          <w:color w:val="auto"/>
          <w:sz w:val="24"/>
          <w:lang w:val="en-US" w:eastAsia="zh-CN"/>
        </w:rPr>
        <w:t>15</w:t>
      </w:r>
      <w:r>
        <w:rPr>
          <w:rFonts w:hint="eastAsia"/>
          <w:color w:val="auto"/>
          <w:sz w:val="24"/>
          <w:lang w:eastAsia="zh-CN"/>
        </w:rPr>
        <w:t>m</w:t>
      </w:r>
      <w:r>
        <w:rPr>
          <w:rFonts w:hAnsi="宋体"/>
          <w:color w:val="auto"/>
          <w:sz w:val="24"/>
        </w:rPr>
        <w:t>高</w:t>
      </w:r>
      <w:r>
        <w:rPr>
          <w:rFonts w:hint="eastAsia"/>
          <w:color w:val="auto"/>
          <w:sz w:val="24"/>
        </w:rPr>
        <w:t>除尘</w:t>
      </w:r>
      <w:r>
        <w:rPr>
          <w:color w:val="auto"/>
          <w:sz w:val="24"/>
        </w:rPr>
        <w:t>系统烟囱</w:t>
      </w:r>
      <w:r>
        <w:rPr>
          <w:rFonts w:hint="eastAsia"/>
          <w:color w:val="auto"/>
          <w:sz w:val="24"/>
        </w:rPr>
        <w:t>（DA001）</w:t>
      </w:r>
      <w:r>
        <w:rPr>
          <w:rFonts w:hAnsi="宋体"/>
          <w:color w:val="auto"/>
          <w:sz w:val="24"/>
        </w:rPr>
        <w:t>排放，排放量为</w:t>
      </w:r>
      <w:r>
        <w:rPr>
          <w:rFonts w:hint="eastAsia" w:hAnsi="宋体"/>
          <w:color w:val="auto"/>
          <w:sz w:val="24"/>
          <w:lang w:val="en-US" w:eastAsia="zh-CN"/>
        </w:rPr>
        <w:t>0.46</w:t>
      </w:r>
      <w:r>
        <w:rPr>
          <w:bCs/>
          <w:color w:val="auto"/>
          <w:sz w:val="24"/>
        </w:rPr>
        <w:t>t/a</w:t>
      </w:r>
      <w:r>
        <w:rPr>
          <w:rFonts w:hAnsi="宋体"/>
          <w:bCs/>
          <w:color w:val="auto"/>
          <w:sz w:val="24"/>
        </w:rPr>
        <w:t>、</w:t>
      </w:r>
      <w:r>
        <w:rPr>
          <w:rFonts w:hint="eastAsia" w:hAnsi="宋体"/>
          <w:bCs/>
          <w:color w:val="auto"/>
          <w:sz w:val="24"/>
          <w:lang w:val="en-US" w:eastAsia="zh-CN"/>
        </w:rPr>
        <w:t>0.38</w:t>
      </w:r>
      <w:r>
        <w:rPr>
          <w:bCs/>
          <w:color w:val="auto"/>
          <w:sz w:val="24"/>
        </w:rPr>
        <w:t>kg/h</w:t>
      </w:r>
      <w:r>
        <w:rPr>
          <w:rFonts w:hAnsi="宋体"/>
          <w:color w:val="auto"/>
          <w:sz w:val="24"/>
        </w:rPr>
        <w:t>。</w:t>
      </w:r>
    </w:p>
    <w:p>
      <w:pPr>
        <w:spacing w:line="360" w:lineRule="auto"/>
        <w:ind w:firstLine="480" w:firstLineChars="200"/>
        <w:contextualSpacing/>
        <w:rPr>
          <w:rFonts w:hAnsi="宋体"/>
          <w:bCs/>
          <w:color w:val="auto"/>
          <w:sz w:val="24"/>
        </w:rPr>
      </w:pPr>
      <w:r>
        <w:rPr>
          <w:rFonts w:hAnsi="宋体"/>
          <w:bCs/>
          <w:color w:val="auto"/>
          <w:sz w:val="24"/>
        </w:rPr>
        <w:fldChar w:fldCharType="begin"/>
      </w:r>
      <w:r>
        <w:rPr>
          <w:rFonts w:hAnsi="宋体"/>
          <w:bCs/>
          <w:color w:val="auto"/>
          <w:sz w:val="24"/>
        </w:rPr>
        <w:instrText xml:space="preserve"> </w:instrText>
      </w:r>
      <w:r>
        <w:rPr>
          <w:rFonts w:hint="eastAsia" w:hAnsi="宋体"/>
          <w:bCs/>
          <w:color w:val="auto"/>
          <w:sz w:val="24"/>
        </w:rPr>
        <w:instrText xml:space="preserve">= 4 \* GB3</w:instrText>
      </w:r>
      <w:r>
        <w:rPr>
          <w:rFonts w:hAnsi="宋体"/>
          <w:bCs/>
          <w:color w:val="auto"/>
          <w:sz w:val="24"/>
        </w:rPr>
        <w:instrText xml:space="preserve"> </w:instrText>
      </w:r>
      <w:r>
        <w:rPr>
          <w:rFonts w:hAnsi="宋体"/>
          <w:bCs/>
          <w:color w:val="auto"/>
          <w:sz w:val="24"/>
        </w:rPr>
        <w:fldChar w:fldCharType="separate"/>
      </w:r>
      <w:r>
        <w:rPr>
          <w:rFonts w:hint="eastAsia" w:hAnsi="宋体"/>
          <w:bCs/>
          <w:color w:val="auto"/>
          <w:sz w:val="24"/>
        </w:rPr>
        <w:t>④</w:t>
      </w:r>
      <w:r>
        <w:rPr>
          <w:rFonts w:hAnsi="宋体"/>
          <w:bCs/>
          <w:color w:val="auto"/>
          <w:sz w:val="24"/>
        </w:rPr>
        <w:fldChar w:fldCharType="end"/>
      </w:r>
      <w:r>
        <w:rPr>
          <w:rFonts w:hAnsi="宋体"/>
          <w:bCs/>
          <w:color w:val="auto"/>
          <w:sz w:val="24"/>
        </w:rPr>
        <w:t>热料仓落料粉尘</w:t>
      </w:r>
    </w:p>
    <w:p>
      <w:pPr>
        <w:spacing w:line="360" w:lineRule="auto"/>
        <w:ind w:firstLine="480" w:firstLineChars="200"/>
        <w:contextualSpacing/>
        <w:rPr>
          <w:rFonts w:hAnsi="宋体"/>
          <w:color w:val="auto"/>
          <w:sz w:val="24"/>
        </w:rPr>
      </w:pPr>
      <w:r>
        <w:rPr>
          <w:rFonts w:hAnsi="宋体"/>
          <w:bCs/>
          <w:color w:val="auto"/>
          <w:sz w:val="24"/>
        </w:rPr>
        <w:t>加热的骨料通过提升机输送至热骨料仓暂存，落料过程中会产生粉尘，</w:t>
      </w:r>
      <w:r>
        <w:rPr>
          <w:rFonts w:hint="eastAsia" w:hAnsi="宋体"/>
          <w:color w:val="auto"/>
          <w:sz w:val="24"/>
        </w:rPr>
        <w:t>根据</w:t>
      </w:r>
      <w:r>
        <w:rPr>
          <w:rFonts w:hAnsi="宋体"/>
          <w:color w:val="auto"/>
          <w:sz w:val="24"/>
        </w:rPr>
        <w:t>《逸散性工业粉尘控制技术》</w:t>
      </w:r>
      <w:r>
        <w:rPr>
          <w:rFonts w:hint="eastAsia" w:hAnsi="宋体"/>
          <w:color w:val="auto"/>
          <w:sz w:val="24"/>
        </w:rPr>
        <w:t>卸粗、细粒料到贮箱排放因子系数为0.05kg/t（贮料），</w:t>
      </w:r>
      <w:r>
        <w:rPr>
          <w:rFonts w:hAnsi="宋体"/>
          <w:color w:val="auto"/>
          <w:sz w:val="24"/>
        </w:rPr>
        <w:t>年运行</w:t>
      </w:r>
      <w:r>
        <w:rPr>
          <w:rFonts w:hint="eastAsia"/>
          <w:color w:val="auto"/>
          <w:sz w:val="24"/>
          <w:lang w:val="en-US" w:eastAsia="zh-CN"/>
        </w:rPr>
        <w:t>12</w:t>
      </w:r>
      <w:r>
        <w:rPr>
          <w:rFonts w:hint="eastAsia"/>
          <w:color w:val="auto"/>
          <w:sz w:val="24"/>
        </w:rPr>
        <w:t>0</w:t>
      </w:r>
      <w:r>
        <w:rPr>
          <w:rFonts w:hAnsi="宋体"/>
          <w:color w:val="auto"/>
          <w:sz w:val="24"/>
        </w:rPr>
        <w:t>天，每天运行</w:t>
      </w:r>
      <w:r>
        <w:rPr>
          <w:rFonts w:hint="eastAsia"/>
          <w:color w:val="auto"/>
          <w:sz w:val="24"/>
        </w:rPr>
        <w:t>10</w:t>
      </w:r>
      <w:r>
        <w:rPr>
          <w:rFonts w:hAnsi="宋体"/>
          <w:color w:val="auto"/>
          <w:sz w:val="24"/>
        </w:rPr>
        <w:t>小时，</w:t>
      </w:r>
      <w:r>
        <w:rPr>
          <w:rFonts w:hint="eastAsia" w:eastAsiaTheme="minorEastAsia"/>
          <w:color w:val="auto"/>
          <w:sz w:val="24"/>
          <w:lang w:val="en-US" w:eastAsia="zh-CN"/>
        </w:rPr>
        <w:t>骨</w:t>
      </w:r>
      <w:r>
        <w:rPr>
          <w:rFonts w:eastAsiaTheme="minorEastAsia"/>
          <w:color w:val="auto"/>
          <w:sz w:val="24"/>
        </w:rPr>
        <w:t>料量为</w:t>
      </w:r>
      <w:r>
        <w:rPr>
          <w:rFonts w:hint="eastAsia" w:eastAsiaTheme="minorEastAsia"/>
          <w:color w:val="auto"/>
          <w:sz w:val="24"/>
          <w:lang w:val="en-US" w:eastAsia="zh-CN"/>
        </w:rPr>
        <w:t>45825</w:t>
      </w:r>
      <w:r>
        <w:rPr>
          <w:rFonts w:eastAsiaTheme="minorEastAsia"/>
          <w:color w:val="auto"/>
          <w:sz w:val="24"/>
        </w:rPr>
        <w:t>t/a，</w:t>
      </w:r>
      <w:r>
        <w:rPr>
          <w:rFonts w:hAnsi="宋体"/>
          <w:bCs/>
          <w:color w:val="auto"/>
          <w:sz w:val="24"/>
        </w:rPr>
        <w:t>则粉尘产生量为</w:t>
      </w:r>
      <w:r>
        <w:rPr>
          <w:rFonts w:hint="eastAsia"/>
          <w:bCs/>
          <w:color w:val="auto"/>
          <w:sz w:val="24"/>
          <w:lang w:val="en-US" w:eastAsia="zh-CN"/>
        </w:rPr>
        <w:t>2.29</w:t>
      </w:r>
      <w:r>
        <w:rPr>
          <w:bCs/>
          <w:color w:val="auto"/>
          <w:sz w:val="24"/>
        </w:rPr>
        <w:t>t/a</w:t>
      </w:r>
      <w:r>
        <w:rPr>
          <w:rFonts w:hAnsi="宋体"/>
          <w:bCs/>
          <w:color w:val="auto"/>
          <w:sz w:val="24"/>
        </w:rPr>
        <w:t>、</w:t>
      </w:r>
      <w:r>
        <w:rPr>
          <w:rFonts w:hint="eastAsia"/>
          <w:bCs/>
          <w:color w:val="auto"/>
          <w:sz w:val="24"/>
          <w:lang w:val="en-US" w:eastAsia="zh-CN"/>
        </w:rPr>
        <w:t>1.91</w:t>
      </w:r>
      <w:r>
        <w:rPr>
          <w:bCs/>
          <w:color w:val="auto"/>
          <w:sz w:val="24"/>
        </w:rPr>
        <w:t>kg/h</w:t>
      </w:r>
      <w:r>
        <w:rPr>
          <w:rFonts w:hAnsi="宋体"/>
          <w:bCs/>
          <w:color w:val="auto"/>
          <w:sz w:val="24"/>
        </w:rPr>
        <w:t>，</w:t>
      </w:r>
      <w:r>
        <w:rPr>
          <w:rFonts w:hAnsi="宋体"/>
          <w:color w:val="auto"/>
          <w:sz w:val="24"/>
        </w:rPr>
        <w:t>产生的粉尘经集气管道收集，</w:t>
      </w:r>
      <w:r>
        <w:rPr>
          <w:rFonts w:hint="eastAsia" w:hAnsi="宋体"/>
          <w:color w:val="auto"/>
          <w:sz w:val="24"/>
        </w:rPr>
        <w:t>经</w:t>
      </w:r>
      <w:r>
        <w:rPr>
          <w:rFonts w:hint="eastAsia"/>
          <w:color w:val="auto"/>
          <w:sz w:val="24"/>
        </w:rPr>
        <w:t>除尘</w:t>
      </w:r>
      <w:r>
        <w:rPr>
          <w:color w:val="auto"/>
          <w:sz w:val="24"/>
        </w:rPr>
        <w:t>系统</w:t>
      </w:r>
      <w:r>
        <w:rPr>
          <w:rFonts w:hAnsi="宋体"/>
          <w:color w:val="auto"/>
          <w:sz w:val="24"/>
        </w:rPr>
        <w:t>（</w:t>
      </w:r>
      <w:r>
        <w:rPr>
          <w:rFonts w:hint="eastAsia" w:hAnsi="宋体"/>
          <w:color w:val="auto"/>
          <w:sz w:val="24"/>
          <w:lang w:val="en-US" w:eastAsia="zh-CN"/>
        </w:rPr>
        <w:t>重力</w:t>
      </w:r>
      <w:r>
        <w:rPr>
          <w:rFonts w:hint="eastAsia" w:hAnsi="宋体"/>
          <w:color w:val="auto"/>
          <w:sz w:val="24"/>
          <w:lang w:eastAsia="zh-CN"/>
        </w:rPr>
        <w:t>+布袋</w:t>
      </w:r>
      <w:r>
        <w:rPr>
          <w:rFonts w:hint="eastAsia" w:hAnsi="宋体"/>
          <w:color w:val="auto"/>
          <w:sz w:val="24"/>
        </w:rPr>
        <w:t>，</w:t>
      </w:r>
      <w:r>
        <w:rPr>
          <w:rFonts w:hAnsi="宋体"/>
          <w:color w:val="auto"/>
          <w:sz w:val="24"/>
        </w:rPr>
        <w:t>除尘效率</w:t>
      </w:r>
      <w:r>
        <w:rPr>
          <w:color w:val="auto"/>
          <w:sz w:val="24"/>
        </w:rPr>
        <w:t>99%</w:t>
      </w:r>
      <w:r>
        <w:rPr>
          <w:rFonts w:hAnsi="宋体"/>
          <w:color w:val="auto"/>
          <w:sz w:val="24"/>
        </w:rPr>
        <w:t>）处理后由</w:t>
      </w:r>
      <w:r>
        <w:rPr>
          <w:rFonts w:hint="eastAsia"/>
          <w:color w:val="auto"/>
          <w:sz w:val="24"/>
          <w:lang w:val="en-US" w:eastAsia="zh-CN"/>
        </w:rPr>
        <w:t>15</w:t>
      </w:r>
      <w:r>
        <w:rPr>
          <w:rFonts w:hint="eastAsia"/>
          <w:color w:val="auto"/>
          <w:sz w:val="24"/>
          <w:lang w:eastAsia="zh-CN"/>
        </w:rPr>
        <w:t>m</w:t>
      </w:r>
      <w:r>
        <w:rPr>
          <w:rFonts w:hAnsi="宋体"/>
          <w:color w:val="auto"/>
          <w:sz w:val="24"/>
        </w:rPr>
        <w:t>高</w:t>
      </w:r>
      <w:r>
        <w:rPr>
          <w:rFonts w:hint="eastAsia"/>
          <w:color w:val="auto"/>
          <w:sz w:val="24"/>
        </w:rPr>
        <w:t>除尘</w:t>
      </w:r>
      <w:r>
        <w:rPr>
          <w:color w:val="auto"/>
          <w:sz w:val="24"/>
        </w:rPr>
        <w:t>系统烟囱</w:t>
      </w:r>
      <w:r>
        <w:rPr>
          <w:rFonts w:hint="eastAsia"/>
          <w:color w:val="auto"/>
          <w:sz w:val="24"/>
        </w:rPr>
        <w:t>（DA001）</w:t>
      </w:r>
      <w:r>
        <w:rPr>
          <w:rFonts w:hAnsi="宋体"/>
          <w:color w:val="auto"/>
          <w:sz w:val="24"/>
        </w:rPr>
        <w:t>排放，排放量为</w:t>
      </w:r>
      <w:r>
        <w:rPr>
          <w:rFonts w:hint="eastAsia" w:hAnsi="宋体"/>
          <w:color w:val="auto"/>
          <w:sz w:val="24"/>
        </w:rPr>
        <w:t>0.</w:t>
      </w:r>
      <w:r>
        <w:rPr>
          <w:rFonts w:hint="eastAsia" w:hAnsi="宋体"/>
          <w:color w:val="auto"/>
          <w:sz w:val="24"/>
          <w:lang w:val="en-US" w:eastAsia="zh-CN"/>
        </w:rPr>
        <w:t>0229</w:t>
      </w:r>
      <w:r>
        <w:rPr>
          <w:bCs/>
          <w:color w:val="auto"/>
          <w:sz w:val="24"/>
        </w:rPr>
        <w:t>t/a</w:t>
      </w:r>
      <w:r>
        <w:rPr>
          <w:rFonts w:hAnsi="宋体"/>
          <w:bCs/>
          <w:color w:val="auto"/>
          <w:sz w:val="24"/>
        </w:rPr>
        <w:t>、</w:t>
      </w:r>
      <w:r>
        <w:rPr>
          <w:rFonts w:hint="eastAsia"/>
          <w:bCs/>
          <w:color w:val="auto"/>
          <w:sz w:val="24"/>
        </w:rPr>
        <w:t>0.0</w:t>
      </w:r>
      <w:r>
        <w:rPr>
          <w:rFonts w:hint="eastAsia"/>
          <w:bCs/>
          <w:color w:val="auto"/>
          <w:sz w:val="24"/>
          <w:lang w:val="en-US" w:eastAsia="zh-CN"/>
        </w:rPr>
        <w:t>19</w:t>
      </w:r>
      <w:r>
        <w:rPr>
          <w:bCs/>
          <w:color w:val="auto"/>
          <w:sz w:val="24"/>
        </w:rPr>
        <w:t>kg/h</w:t>
      </w:r>
      <w:r>
        <w:rPr>
          <w:rFonts w:hAnsi="宋体"/>
          <w:color w:val="auto"/>
          <w:sz w:val="24"/>
        </w:rPr>
        <w:t>。</w:t>
      </w:r>
    </w:p>
    <w:p>
      <w:pPr>
        <w:spacing w:line="360" w:lineRule="auto"/>
        <w:ind w:firstLine="480" w:firstLineChars="200"/>
        <w:contextualSpacing/>
        <w:rPr>
          <w:color w:val="auto"/>
          <w:kern w:val="0"/>
          <w:sz w:val="24"/>
        </w:rPr>
      </w:pPr>
      <w:r>
        <w:rPr>
          <w:rFonts w:hint="eastAsia"/>
          <w:color w:val="auto"/>
          <w:sz w:val="24"/>
        </w:rPr>
        <w:t>（3）</w:t>
      </w:r>
      <w:r>
        <w:rPr>
          <w:rFonts w:hAnsi="宋体"/>
          <w:color w:val="auto"/>
          <w:kern w:val="0"/>
          <w:sz w:val="24"/>
        </w:rPr>
        <w:t>加热沥青导热油炉烟气</w:t>
      </w:r>
    </w:p>
    <w:p>
      <w:pPr>
        <w:spacing w:line="360" w:lineRule="auto"/>
        <w:ind w:firstLine="480" w:firstLineChars="200"/>
        <w:rPr>
          <w:color w:val="auto"/>
          <w:sz w:val="24"/>
        </w:rPr>
      </w:pPr>
      <w:r>
        <w:rPr>
          <w:rFonts w:hAnsi="宋体"/>
          <w:color w:val="auto"/>
          <w:sz w:val="24"/>
        </w:rPr>
        <w:t>本项目</w:t>
      </w:r>
      <w:r>
        <w:rPr>
          <w:rFonts w:hAnsi="宋体"/>
          <w:color w:val="auto"/>
          <w:kern w:val="0"/>
          <w:sz w:val="24"/>
        </w:rPr>
        <w:t>加热沥青热源</w:t>
      </w:r>
      <w:r>
        <w:rPr>
          <w:rFonts w:hAnsi="宋体"/>
          <w:color w:val="auto"/>
          <w:sz w:val="24"/>
        </w:rPr>
        <w:t>为</w:t>
      </w:r>
      <w:r>
        <w:rPr>
          <w:rFonts w:eastAsiaTheme="minorEastAsia"/>
          <w:bCs/>
          <w:color w:val="auto"/>
          <w:sz w:val="24"/>
        </w:rPr>
        <w:t>1台</w:t>
      </w:r>
      <w:r>
        <w:rPr>
          <w:rFonts w:hint="eastAsia"/>
          <w:color w:val="auto"/>
          <w:sz w:val="24"/>
          <w:szCs w:val="24"/>
          <w:lang w:val="en-US" w:eastAsia="zh-CN"/>
        </w:rPr>
        <w:t>2</w:t>
      </w:r>
      <w:r>
        <w:rPr>
          <w:rFonts w:hint="eastAsia"/>
          <w:color w:val="auto"/>
          <w:sz w:val="24"/>
          <w:szCs w:val="24"/>
        </w:rPr>
        <w:t>t/h</w:t>
      </w:r>
      <w:r>
        <w:rPr>
          <w:rFonts w:eastAsiaTheme="minorEastAsia"/>
          <w:bCs/>
          <w:color w:val="auto"/>
          <w:sz w:val="24"/>
        </w:rPr>
        <w:t>导热油炉</w:t>
      </w:r>
      <w:r>
        <w:rPr>
          <w:rFonts w:hAnsi="宋体"/>
          <w:color w:val="auto"/>
          <w:sz w:val="24"/>
        </w:rPr>
        <w:t>，</w:t>
      </w:r>
      <w:r>
        <w:rPr>
          <w:rFonts w:hint="eastAsia" w:cs="Times New Roman"/>
          <w:snapToGrid w:val="0"/>
          <w:color w:val="auto"/>
          <w:sz w:val="24"/>
          <w:szCs w:val="24"/>
          <w:highlight w:val="none"/>
          <w:lang w:val="en-US" w:eastAsia="zh-CN"/>
        </w:rPr>
        <w:t>2</w:t>
      </w:r>
      <w:r>
        <w:rPr>
          <w:rFonts w:hint="default" w:ascii="Times New Roman" w:hAnsi="Times New Roman" w:cs="Times New Roman"/>
          <w:snapToGrid w:val="0"/>
          <w:color w:val="auto"/>
          <w:sz w:val="24"/>
          <w:szCs w:val="24"/>
          <w:highlight w:val="none"/>
        </w:rPr>
        <w:t>t约等于</w:t>
      </w:r>
      <w:r>
        <w:rPr>
          <w:rFonts w:hint="eastAsia" w:cs="Times New Roman"/>
          <w:snapToGrid w:val="0"/>
          <w:color w:val="auto"/>
          <w:sz w:val="24"/>
          <w:szCs w:val="24"/>
          <w:highlight w:val="none"/>
          <w:lang w:val="en-US" w:eastAsia="zh-CN"/>
        </w:rPr>
        <w:t>12</w:t>
      </w:r>
      <w:r>
        <w:rPr>
          <w:rFonts w:hint="default" w:ascii="Times New Roman" w:hAnsi="Times New Roman" w:cs="Times New Roman"/>
          <w:snapToGrid w:val="0"/>
          <w:color w:val="auto"/>
          <w:sz w:val="24"/>
          <w:szCs w:val="24"/>
          <w:highlight w:val="none"/>
        </w:rPr>
        <w:t>0万kcal，0号柴油发热量为9600kcal/kg，加热能耗为E=</w:t>
      </w:r>
      <w:r>
        <w:rPr>
          <w:rFonts w:hint="eastAsia" w:cs="Times New Roman"/>
          <w:snapToGrid w:val="0"/>
          <w:color w:val="auto"/>
          <w:sz w:val="24"/>
          <w:szCs w:val="24"/>
          <w:highlight w:val="none"/>
          <w:lang w:val="en-US" w:eastAsia="zh-CN"/>
        </w:rPr>
        <w:t>12</w:t>
      </w:r>
      <w:r>
        <w:rPr>
          <w:rFonts w:hint="default" w:ascii="Times New Roman" w:hAnsi="Times New Roman" w:cs="Times New Roman"/>
          <w:snapToGrid w:val="0"/>
          <w:color w:val="auto"/>
          <w:sz w:val="24"/>
          <w:szCs w:val="24"/>
          <w:highlight w:val="none"/>
        </w:rPr>
        <w:t>00000kcal×（1</w:t>
      </w:r>
      <w:r>
        <w:rPr>
          <w:rFonts w:hint="eastAsia" w:cs="Times New Roman"/>
          <w:snapToGrid w:val="0"/>
          <w:color w:val="auto"/>
          <w:sz w:val="24"/>
          <w:szCs w:val="24"/>
          <w:highlight w:val="none"/>
          <w:lang w:val="en-US" w:eastAsia="zh-CN"/>
        </w:rPr>
        <w:t>2</w:t>
      </w:r>
      <w:r>
        <w:rPr>
          <w:rFonts w:hint="default" w:ascii="Times New Roman" w:hAnsi="Times New Roman" w:cs="Times New Roman"/>
          <w:snapToGrid w:val="0"/>
          <w:color w:val="auto"/>
          <w:sz w:val="24"/>
          <w:szCs w:val="24"/>
          <w:highlight w:val="none"/>
        </w:rPr>
        <w:t>0×</w:t>
      </w:r>
      <w:r>
        <w:rPr>
          <w:rFonts w:hint="eastAsia" w:cs="Times New Roman"/>
          <w:snapToGrid w:val="0"/>
          <w:color w:val="auto"/>
          <w:sz w:val="24"/>
          <w:szCs w:val="24"/>
          <w:highlight w:val="none"/>
          <w:lang w:val="en-US" w:eastAsia="zh-CN"/>
        </w:rPr>
        <w:t>10</w:t>
      </w:r>
      <w:r>
        <w:rPr>
          <w:rFonts w:hint="default" w:ascii="Times New Roman" w:hAnsi="Times New Roman" w:cs="Times New Roman"/>
          <w:snapToGrid w:val="0"/>
          <w:color w:val="auto"/>
          <w:sz w:val="24"/>
          <w:szCs w:val="24"/>
          <w:highlight w:val="none"/>
        </w:rPr>
        <w:t>h）=</w:t>
      </w:r>
      <w:r>
        <w:rPr>
          <w:rFonts w:hint="eastAsia" w:cs="Times New Roman"/>
          <w:snapToGrid w:val="0"/>
          <w:color w:val="auto"/>
          <w:sz w:val="24"/>
          <w:szCs w:val="24"/>
          <w:highlight w:val="none"/>
          <w:lang w:val="en-US" w:eastAsia="zh-CN"/>
        </w:rPr>
        <w:t>144</w:t>
      </w:r>
      <w:r>
        <w:rPr>
          <w:rFonts w:hint="default" w:ascii="Times New Roman" w:hAnsi="Times New Roman" w:cs="Times New Roman"/>
          <w:snapToGrid w:val="0"/>
          <w:color w:val="auto"/>
          <w:sz w:val="24"/>
          <w:szCs w:val="24"/>
          <w:highlight w:val="none"/>
        </w:rPr>
        <w:t>000000</w:t>
      </w:r>
      <w:r>
        <w:rPr>
          <w:rFonts w:hint="eastAsia" w:cs="Times New Roman"/>
          <w:snapToGrid w:val="0"/>
          <w:color w:val="auto"/>
          <w:sz w:val="24"/>
          <w:szCs w:val="24"/>
          <w:highlight w:val="none"/>
          <w:lang w:val="en-US" w:eastAsia="zh-CN"/>
        </w:rPr>
        <w:t>0</w:t>
      </w:r>
      <w:r>
        <w:rPr>
          <w:rFonts w:hint="default" w:ascii="Times New Roman" w:hAnsi="Times New Roman" w:cs="Times New Roman"/>
          <w:snapToGrid w:val="0"/>
          <w:color w:val="auto"/>
          <w:sz w:val="24"/>
          <w:szCs w:val="24"/>
          <w:highlight w:val="none"/>
        </w:rPr>
        <w:t>kcal/a，则导热油炉燃油量为</w:t>
      </w:r>
      <w:r>
        <w:rPr>
          <w:rFonts w:hint="eastAsia" w:cs="Times New Roman"/>
          <w:snapToGrid w:val="0"/>
          <w:color w:val="auto"/>
          <w:sz w:val="24"/>
          <w:szCs w:val="24"/>
          <w:highlight w:val="none"/>
          <w:lang w:val="en-US" w:eastAsia="zh-CN"/>
        </w:rPr>
        <w:t>144</w:t>
      </w:r>
      <w:r>
        <w:rPr>
          <w:rFonts w:hint="default" w:ascii="Times New Roman" w:hAnsi="Times New Roman" w:cs="Times New Roman"/>
          <w:snapToGrid w:val="0"/>
          <w:color w:val="auto"/>
          <w:sz w:val="24"/>
          <w:szCs w:val="24"/>
          <w:highlight w:val="none"/>
        </w:rPr>
        <w:t>000000</w:t>
      </w:r>
      <w:r>
        <w:rPr>
          <w:rFonts w:hint="eastAsia" w:cs="Times New Roman"/>
          <w:snapToGrid w:val="0"/>
          <w:color w:val="auto"/>
          <w:sz w:val="24"/>
          <w:szCs w:val="24"/>
          <w:highlight w:val="none"/>
          <w:lang w:val="en-US" w:eastAsia="zh-CN"/>
        </w:rPr>
        <w:t>0</w:t>
      </w:r>
      <w:r>
        <w:rPr>
          <w:rFonts w:hint="default" w:ascii="Times New Roman" w:hAnsi="Times New Roman" w:cs="Times New Roman"/>
          <w:snapToGrid w:val="0"/>
          <w:color w:val="auto"/>
          <w:sz w:val="24"/>
          <w:szCs w:val="24"/>
          <w:highlight w:val="none"/>
        </w:rPr>
        <w:t>kcal/a÷9600kcal/kg×10</w:t>
      </w:r>
      <w:r>
        <w:rPr>
          <w:rFonts w:hint="default" w:ascii="Times New Roman" w:hAnsi="Times New Roman" w:cs="Times New Roman"/>
          <w:snapToGrid w:val="0"/>
          <w:color w:val="auto"/>
          <w:sz w:val="24"/>
          <w:szCs w:val="24"/>
          <w:highlight w:val="none"/>
          <w:vertAlign w:val="superscript"/>
        </w:rPr>
        <w:t>-3</w:t>
      </w:r>
      <w:r>
        <w:rPr>
          <w:rFonts w:hint="eastAsia" w:cs="Times New Roman"/>
          <w:snapToGrid w:val="0"/>
          <w:color w:val="auto"/>
          <w:sz w:val="24"/>
          <w:szCs w:val="24"/>
          <w:highlight w:val="none"/>
          <w:lang w:val="en-US" w:eastAsia="zh-CN"/>
        </w:rPr>
        <w:t>=150</w:t>
      </w:r>
      <w:r>
        <w:rPr>
          <w:rFonts w:hint="default" w:ascii="Times New Roman" w:hAnsi="Times New Roman" w:cs="Times New Roman"/>
          <w:snapToGrid w:val="0"/>
          <w:color w:val="auto"/>
          <w:sz w:val="24"/>
          <w:szCs w:val="24"/>
          <w:highlight w:val="none"/>
        </w:rPr>
        <w:t>t/a</w:t>
      </w:r>
      <w:r>
        <w:rPr>
          <w:rFonts w:hint="eastAsia" w:hAnsi="宋体"/>
          <w:color w:val="auto"/>
          <w:sz w:val="24"/>
          <w:lang w:val="en-US" w:eastAsia="zh-CN"/>
        </w:rPr>
        <w:t>年燃柴油量</w:t>
      </w:r>
      <w:r>
        <w:rPr>
          <w:rFonts w:hint="eastAsia" w:cs="Times New Roman"/>
          <w:snapToGrid w:val="0"/>
          <w:color w:val="auto"/>
          <w:sz w:val="24"/>
          <w:szCs w:val="24"/>
          <w:highlight w:val="none"/>
          <w:lang w:val="en-US" w:eastAsia="zh-CN"/>
        </w:rPr>
        <w:t>150</w:t>
      </w:r>
      <w:r>
        <w:rPr>
          <w:rFonts w:hint="default" w:ascii="Times New Roman" w:hAnsi="Times New Roman" w:cs="Times New Roman"/>
          <w:snapToGrid w:val="0"/>
          <w:color w:val="auto"/>
          <w:sz w:val="24"/>
          <w:szCs w:val="24"/>
          <w:highlight w:val="none"/>
        </w:rPr>
        <w:t>t/a</w:t>
      </w:r>
      <w:r>
        <w:rPr>
          <w:rFonts w:hint="eastAsia" w:cs="Times New Roman"/>
          <w:snapToGrid w:val="0"/>
          <w:color w:val="auto"/>
          <w:sz w:val="24"/>
          <w:szCs w:val="24"/>
          <w:highlight w:val="none"/>
          <w:lang w:eastAsia="zh-CN"/>
        </w:rPr>
        <w:t>，</w:t>
      </w:r>
      <w:r>
        <w:rPr>
          <w:color w:val="auto"/>
          <w:sz w:val="24"/>
        </w:rPr>
        <w:t>导热油炉</w:t>
      </w:r>
      <w:r>
        <w:rPr>
          <w:rFonts w:hint="eastAsia" w:eastAsiaTheme="minorEastAsia"/>
          <w:bCs/>
          <w:color w:val="auto"/>
          <w:sz w:val="24"/>
          <w:szCs w:val="24"/>
          <w:lang w:val="en-US" w:eastAsia="zh-CN"/>
        </w:rPr>
        <w:t>燃料</w:t>
      </w:r>
      <w:r>
        <w:rPr>
          <w:rFonts w:hint="eastAsia"/>
          <w:snapToGrid w:val="0"/>
          <w:color w:val="auto"/>
          <w:spacing w:val="0"/>
          <w:kern w:val="0"/>
          <w:sz w:val="24"/>
          <w:szCs w:val="24"/>
          <w:lang w:val="en-US" w:eastAsia="zh-CN"/>
        </w:rPr>
        <w:t>为低硫油、设置低氮燃烧器和布袋除尘器</w:t>
      </w:r>
      <w:r>
        <w:rPr>
          <w:rFonts w:hint="eastAsia"/>
          <w:snapToGrid w:val="0"/>
          <w:color w:val="auto"/>
          <w:spacing w:val="0"/>
          <w:kern w:val="0"/>
          <w:sz w:val="21"/>
          <w:szCs w:val="21"/>
          <w:lang w:val="en-US" w:eastAsia="zh-CN"/>
        </w:rPr>
        <w:t>，</w:t>
      </w:r>
      <w:r>
        <w:rPr>
          <w:bCs/>
          <w:color w:val="auto"/>
          <w:sz w:val="24"/>
        </w:rPr>
        <w:t>烟气由1根</w:t>
      </w:r>
      <w:r>
        <w:rPr>
          <w:rFonts w:hint="eastAsia"/>
          <w:bCs/>
          <w:color w:val="auto"/>
          <w:sz w:val="24"/>
          <w:lang w:val="en-US" w:eastAsia="zh-CN"/>
        </w:rPr>
        <w:t>15</w:t>
      </w:r>
      <w:r>
        <w:rPr>
          <w:rFonts w:hint="eastAsia"/>
          <w:bCs/>
          <w:color w:val="auto"/>
          <w:sz w:val="24"/>
          <w:lang w:eastAsia="zh-CN"/>
        </w:rPr>
        <w:t>m</w:t>
      </w:r>
      <w:r>
        <w:rPr>
          <w:bCs/>
          <w:color w:val="auto"/>
          <w:sz w:val="24"/>
        </w:rPr>
        <w:t>高</w:t>
      </w:r>
      <w:r>
        <w:rPr>
          <w:color w:val="auto"/>
          <w:sz w:val="24"/>
        </w:rPr>
        <w:t>导热油炉烟囱</w:t>
      </w:r>
      <w:r>
        <w:rPr>
          <w:rFonts w:hint="eastAsia"/>
          <w:color w:val="auto"/>
          <w:sz w:val="24"/>
        </w:rPr>
        <w:t>（DA002）</w:t>
      </w:r>
      <w:r>
        <w:rPr>
          <w:bCs/>
          <w:color w:val="auto"/>
          <w:sz w:val="24"/>
        </w:rPr>
        <w:t>排放</w:t>
      </w:r>
      <w:r>
        <w:rPr>
          <w:rFonts w:hAnsi="宋体"/>
          <w:color w:val="auto"/>
          <w:sz w:val="24"/>
        </w:rPr>
        <w:t>。</w:t>
      </w:r>
    </w:p>
    <w:p>
      <w:pPr>
        <w:pStyle w:val="117"/>
        <w:bidi w:val="0"/>
        <w:rPr>
          <w:rFonts w:hint="default" w:ascii="Times New Roman" w:hAnsi="Times New Roman" w:eastAsia="宋体"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根据《污染源源强核算技术指南 锅炉》（HJ991-2018）5.1.2 燃油、燃气锅炉，燃油锅炉颗粒物排放量按照5.2（类比法）、5.4（产污系数法）核算，项目无类比数据，故颗粒物采用产污系数法；氮氧化物、二氧化硫采用物料恒算法。</w:t>
      </w:r>
    </w:p>
    <w:p>
      <w:pPr>
        <w:pStyle w:val="117"/>
        <w:bidi w:val="0"/>
        <w:rPr>
          <w:rFonts w:hint="default" w:ascii="Times New Roman" w:hAnsi="Times New Roman" w:eastAsia="宋体"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基准烟气量：</w:t>
      </w:r>
    </w:p>
    <w:p>
      <w:pPr>
        <w:pStyle w:val="117"/>
        <w:bidi w:val="0"/>
        <w:rPr>
          <w:rFonts w:hint="default" w:ascii="Times New Roman" w:hAnsi="Times New Roman" w:eastAsia="宋体"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根据</w:t>
      </w:r>
      <w:r>
        <w:rPr>
          <w:rFonts w:hint="default" w:ascii="Times New Roman" w:hAnsi="Times New Roman" w:cs="Times New Roman"/>
          <w:snapToGrid w:val="0"/>
          <w:color w:val="auto"/>
          <w:highlight w:val="none"/>
          <w:lang w:eastAsia="zh-CN"/>
        </w:rPr>
        <w:t>《排污许可证申请与核发技术规范锅炉》（HJ953-2018）</w:t>
      </w:r>
      <w:r>
        <w:rPr>
          <w:rFonts w:hint="default" w:ascii="Times New Roman" w:hAnsi="Times New Roman" w:cs="Times New Roman"/>
          <w:snapToGrid w:val="0"/>
          <w:color w:val="auto"/>
          <w:highlight w:val="none"/>
          <w:lang w:val="en-US" w:eastAsia="zh-CN"/>
        </w:rPr>
        <w:t>表5计算项目基准烟气量。</w:t>
      </w:r>
    </w:p>
    <w:p>
      <w:pPr>
        <w:pStyle w:val="135"/>
        <w:tabs>
          <w:tab w:val="clear" w:pos="5400"/>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eastAsia" w:asci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基准烟气量取值表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3473"/>
        <w:gridCol w:w="2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18" w:type="dxa"/>
            <w:tcBorders>
              <w:tl2br w:val="nil"/>
              <w:tr2bl w:val="nil"/>
            </w:tcBorders>
          </w:tcPr>
          <w:p>
            <w:pPr>
              <w:pStyle w:val="19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锅炉</w:t>
            </w:r>
          </w:p>
        </w:tc>
        <w:tc>
          <w:tcPr>
            <w:tcW w:w="3473" w:type="dxa"/>
            <w:tcBorders>
              <w:tl2br w:val="nil"/>
              <w:tr2bl w:val="nil"/>
            </w:tcBorders>
          </w:tcPr>
          <w:p>
            <w:pPr>
              <w:pStyle w:val="195"/>
              <w:bidi w:val="0"/>
              <w:rPr>
                <w:rFonts w:hint="default" w:ascii="Times New Roman" w:hAnsi="Times New Roman" w:cs="Times New Roman"/>
                <w:color w:val="auto"/>
                <w:highlight w:val="none"/>
              </w:rPr>
            </w:pPr>
            <w:r>
              <w:rPr>
                <w:rFonts w:hint="default" w:ascii="Times New Roman" w:hAnsi="Times New Roman" w:cs="Times New Roman"/>
                <w:snapToGrid w:val="0"/>
                <w:color w:val="auto"/>
                <w:highlight w:val="none"/>
                <w:lang w:val="en-US" w:eastAsia="zh-CN"/>
              </w:rPr>
              <w:t>基准烟气量</w:t>
            </w:r>
          </w:p>
        </w:tc>
        <w:tc>
          <w:tcPr>
            <w:tcW w:w="2131" w:type="dxa"/>
            <w:tcBorders>
              <w:tl2br w:val="nil"/>
              <w:tr2bl w:val="nil"/>
            </w:tcBorders>
          </w:tcPr>
          <w:p>
            <w:pPr>
              <w:pStyle w:val="19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18" w:type="dxa"/>
            <w:tcBorders>
              <w:tl2br w:val="nil"/>
              <w:tr2bl w:val="nil"/>
            </w:tcBorders>
          </w:tcPr>
          <w:p>
            <w:pPr>
              <w:pStyle w:val="19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燃油锅炉</w:t>
            </w:r>
          </w:p>
        </w:tc>
        <w:tc>
          <w:tcPr>
            <w:tcW w:w="3473" w:type="dxa"/>
            <w:tcBorders>
              <w:tl2br w:val="nil"/>
              <w:tr2bl w:val="nil"/>
            </w:tcBorders>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Vgy</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0.29Qnet,ar+0.379</w:t>
            </w:r>
          </w:p>
        </w:tc>
        <w:tc>
          <w:tcPr>
            <w:tcW w:w="2131" w:type="dxa"/>
            <w:tcBorders>
              <w:tl2br w:val="nil"/>
              <w:tr2bl w:val="nil"/>
            </w:tcBorders>
          </w:tcPr>
          <w:p>
            <w:pPr>
              <w:pStyle w:val="195"/>
              <w:bidi w:val="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Nm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/kg</w:t>
            </w:r>
          </w:p>
        </w:tc>
      </w:tr>
    </w:tbl>
    <w:p>
      <w:pPr>
        <w:pStyle w:val="117"/>
        <w:bidi w:val="0"/>
        <w:rPr>
          <w:rFonts w:hint="default" w:ascii="Times New Roman" w:hAnsi="Times New Roman" w:cs="Times New Roman"/>
          <w:snapToGrid w:val="0"/>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综合能耗计算通则</w:t>
      </w:r>
      <w:r>
        <w:rPr>
          <w:rFonts w:hint="default" w:ascii="Times New Roman" w:hAnsi="Times New Roman" w:cs="Times New Roman"/>
          <w:color w:val="auto"/>
          <w:highlight w:val="none"/>
          <w:lang w:eastAsia="zh-CN"/>
        </w:rPr>
        <w:t>》（GB/T 2589-2020）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柴油</w:t>
      </w:r>
      <w:r>
        <w:rPr>
          <w:rFonts w:hint="default" w:ascii="Times New Roman" w:hAnsi="Times New Roman" w:cs="Times New Roman"/>
          <w:color w:val="auto"/>
          <w:highlight w:val="none"/>
        </w:rPr>
        <w:t>的低位发热量为</w:t>
      </w:r>
      <w:r>
        <w:rPr>
          <w:rFonts w:hint="default" w:ascii="Times New Roman" w:hAnsi="Times New Roman" w:cs="Times New Roman"/>
          <w:color w:val="auto"/>
          <w:highlight w:val="none"/>
          <w:lang w:val="en-US" w:eastAsia="zh-CN"/>
        </w:rPr>
        <w:t>42.705</w:t>
      </w:r>
      <w:r>
        <w:rPr>
          <w:rFonts w:hint="default" w:ascii="Times New Roman" w:hAnsi="Times New Roman" w:cs="Times New Roman"/>
          <w:color w:val="auto"/>
          <w:highlight w:val="none"/>
        </w:rPr>
        <w:t>MJ/</w:t>
      </w:r>
      <w:r>
        <w:rPr>
          <w:rFonts w:hint="default" w:ascii="Times New Roman" w:hAnsi="Times New Roman" w:cs="Times New Roman"/>
          <w:color w:val="auto"/>
          <w:highlight w:val="none"/>
          <w:lang w:val="en-US" w:eastAsia="zh-CN"/>
        </w:rPr>
        <w:t>kg</w:t>
      </w:r>
      <w:r>
        <w:rPr>
          <w:rFonts w:hint="default" w:ascii="Times New Roman" w:hAnsi="Times New Roman" w:cs="Times New Roman"/>
          <w:color w:val="auto"/>
          <w:highlight w:val="none"/>
        </w:rPr>
        <w:t>。</w:t>
      </w:r>
    </w:p>
    <w:p>
      <w:pPr>
        <w:pStyle w:val="117"/>
        <w:bidi w:val="0"/>
        <w:rPr>
          <w:rFonts w:hint="default" w:ascii="Times New Roman" w:hAnsi="Times New Roman" w:cs="Times New Roman"/>
          <w:snapToGrid w:val="0"/>
          <w:color w:val="auto"/>
          <w:highlight w:val="none"/>
          <w:lang w:val="en-US"/>
        </w:rPr>
      </w:pPr>
      <w:r>
        <w:rPr>
          <w:rFonts w:hint="default" w:ascii="Times New Roman" w:hAnsi="Times New Roman" w:cs="Times New Roman"/>
          <w:snapToGrid w:val="0"/>
          <w:color w:val="auto"/>
          <w:highlight w:val="none"/>
          <w:lang w:val="en-US" w:eastAsia="zh-CN"/>
        </w:rPr>
        <w:t>基准烟气量=（0.29*42.705+0.379）*</w:t>
      </w:r>
      <w:r>
        <w:rPr>
          <w:rFonts w:hint="eastAsia" w:cs="Times New Roman"/>
          <w:snapToGrid w:val="0"/>
          <w:color w:val="auto"/>
          <w:highlight w:val="none"/>
          <w:lang w:val="en-US" w:eastAsia="zh-CN"/>
        </w:rPr>
        <w:t>150</w:t>
      </w:r>
      <w:r>
        <w:rPr>
          <w:rFonts w:hint="default" w:ascii="Times New Roman" w:hAnsi="Times New Roman" w:cs="Times New Roman"/>
          <w:snapToGrid w:val="0"/>
          <w:color w:val="auto"/>
          <w:highlight w:val="none"/>
          <w:lang w:val="en-US" w:eastAsia="zh-CN"/>
        </w:rPr>
        <w:t>*1000=</w:t>
      </w:r>
      <w:r>
        <w:rPr>
          <w:rFonts w:hint="eastAsia" w:cs="Times New Roman"/>
          <w:snapToGrid w:val="0"/>
          <w:color w:val="auto"/>
          <w:highlight w:val="none"/>
          <w:lang w:val="en-US" w:eastAsia="zh-CN"/>
        </w:rPr>
        <w:t>1914517.5</w:t>
      </w:r>
      <w:r>
        <w:rPr>
          <w:rFonts w:hint="default" w:ascii="Times New Roman" w:hAnsi="Times New Roman" w:cs="Times New Roman"/>
          <w:color w:val="auto"/>
          <w:szCs w:val="24"/>
          <w:highlight w:val="none"/>
        </w:rPr>
        <w:t>Nm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w:t>
      </w:r>
      <w:r>
        <w:rPr>
          <w:rFonts w:hint="eastAsia" w:cs="Times New Roman"/>
          <w:color w:val="auto"/>
          <w:szCs w:val="24"/>
          <w:highlight w:val="none"/>
          <w:lang w:val="en-US" w:eastAsia="zh-CN"/>
        </w:rPr>
        <w:t>1595.4</w:t>
      </w:r>
      <w:r>
        <w:rPr>
          <w:rFonts w:hint="default" w:ascii="Times New Roman" w:hAnsi="Times New Roman" w:cs="Times New Roman"/>
          <w:color w:val="auto"/>
          <w:szCs w:val="24"/>
          <w:highlight w:val="none"/>
        </w:rPr>
        <w:t>Nm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w:t>
      </w:r>
    </w:p>
    <w:p>
      <w:pPr>
        <w:pStyle w:val="117"/>
        <w:ind w:firstLine="480"/>
        <w:rPr>
          <w:rFonts w:hint="default" w:ascii="Times New Roman" w:hAnsi="Times New Roman" w:cs="Times New Roman"/>
          <w:color w:val="auto"/>
          <w:szCs w:val="24"/>
          <w:highlight w:val="none"/>
        </w:rPr>
      </w:pPr>
      <w:r>
        <w:rPr>
          <w:rFonts w:hint="default" w:ascii="Times New Roman" w:hAnsi="Times New Roman" w:cs="Times New Roman"/>
          <w:snapToGrid w:val="0"/>
          <w:color w:val="auto"/>
          <w:highlight w:val="none"/>
          <w:lang w:val="en-US" w:eastAsia="zh-CN"/>
        </w:rPr>
        <w:t>A.</w:t>
      </w:r>
      <w:r>
        <w:rPr>
          <w:rFonts w:hint="default" w:ascii="Times New Roman" w:hAnsi="Times New Roman" w:cs="Times New Roman"/>
          <w:color w:val="auto"/>
          <w:szCs w:val="24"/>
          <w:highlight w:val="none"/>
        </w:rPr>
        <w:t>颗粒物</w:t>
      </w:r>
    </w:p>
    <w:p>
      <w:pPr>
        <w:spacing w:line="360" w:lineRule="auto"/>
        <w:ind w:firstLine="1050" w:firstLineChars="500"/>
        <w:jc w:val="center"/>
        <w:rPr>
          <w:rFonts w:hint="default" w:ascii="Times New Roman" w:hAnsi="Times New Roman" w:cs="Times New Roman"/>
          <w:color w:val="auto"/>
          <w:highlight w:val="none"/>
        </w:rPr>
      </w:pPr>
      <w:r>
        <w:rPr>
          <w:rFonts w:hint="default" w:ascii="Times New Roman" w:hAnsi="Times New Roman" w:cs="Times New Roman"/>
          <w:color w:val="auto"/>
          <w:position w:val="-28"/>
          <w:highlight w:val="none"/>
        </w:rPr>
        <w:object>
          <v:shape id="_x0000_i1027" o:spt="75" type="#_x0000_t75" style="height:34pt;width:139.95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式中：</w:t>
      </w:r>
      <w:r>
        <w:rPr>
          <w:rFonts w:hint="default" w:ascii="Times New Roman" w:hAnsi="Times New Roman" w:cs="Times New Roman"/>
          <w:color w:val="auto"/>
          <w:position w:val="-14"/>
          <w:szCs w:val="24"/>
          <w:highlight w:val="none"/>
        </w:rPr>
        <w:object>
          <v:shape id="_x0000_i1028" o:spt="75" type="#_x0000_t75" style="height:19pt;width:15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28" r:id="rId27">
            <o:LockedField>false</o:LockedField>
          </o:OLEObject>
        </w:objec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核算时段内第j种污染物排放量，t；</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R--核算时段内燃料耗量，t或万m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position w:val="-14"/>
          <w:szCs w:val="24"/>
          <w:highlight w:val="none"/>
        </w:rPr>
        <w:object>
          <v:shape id="_x0000_i1029" o:spt="75" type="#_x0000_t75" style="height:19pt;width:15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r>
        <w:rPr>
          <w:rFonts w:hint="default" w:ascii="Times New Roman" w:hAnsi="Times New Roman" w:cs="Times New Roman"/>
          <w:color w:val="auto"/>
          <w:highlight w:val="none"/>
        </w:rPr>
        <w:t>--产污系数，kg/t或kg/万m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；本次参照</w:t>
      </w:r>
      <w:r>
        <w:rPr>
          <w:rFonts w:hint="default" w:ascii="Times New Roman" w:hAnsi="Times New Roman" w:cs="Times New Roman"/>
          <w:snapToGrid w:val="0"/>
          <w:color w:val="auto"/>
          <w:highlight w:val="none"/>
          <w:lang w:eastAsia="zh-CN"/>
        </w:rPr>
        <w:t>《排污许可证申请与核发技术规范锅炉》（HJ953-2018）</w:t>
      </w:r>
      <w:r>
        <w:rPr>
          <w:rFonts w:hint="default" w:ascii="Times New Roman" w:hAnsi="Times New Roman" w:cs="Times New Roman"/>
          <w:color w:val="auto"/>
          <w:highlight w:val="none"/>
        </w:rPr>
        <w:t>表 F.2 燃油工业锅炉的废气产排污系数，本项目取</w:t>
      </w:r>
      <w:r>
        <w:rPr>
          <w:rFonts w:hint="default" w:ascii="Times New Roman" w:hAnsi="Times New Roman" w:cs="Times New Roman"/>
          <w:color w:val="auto"/>
          <w:highlight w:val="none"/>
          <w:lang w:val="en-US" w:eastAsia="zh-CN"/>
        </w:rPr>
        <w:t>0.26</w:t>
      </w:r>
      <w:r>
        <w:rPr>
          <w:rFonts w:hint="default" w:ascii="Times New Roman" w:hAnsi="Times New Roman" w:cs="Times New Roman"/>
          <w:color w:val="auto"/>
          <w:highlight w:val="none"/>
        </w:rPr>
        <w:t>千克/吨-燃料。</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position w:val="-10"/>
          <w:szCs w:val="24"/>
          <w:highlight w:val="none"/>
        </w:rPr>
        <w:object>
          <v:shape id="_x0000_i1030" o:spt="75" type="#_x0000_t75" style="height:13pt;width:10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rFonts w:hint="default" w:ascii="Times New Roman" w:hAnsi="Times New Roman" w:cs="Times New Roman"/>
          <w:color w:val="auto"/>
          <w:highlight w:val="none"/>
        </w:rPr>
        <w:t>--污染物脱除效率，%；本次取</w:t>
      </w:r>
      <w:r>
        <w:rPr>
          <w:rFonts w:hint="eastAsia" w:cs="Times New Roman"/>
          <w:color w:val="auto"/>
          <w:highlight w:val="none"/>
          <w:lang w:val="en-US" w:eastAsia="zh-CN"/>
        </w:rPr>
        <w:t>99</w:t>
      </w:r>
      <w:r>
        <w:rPr>
          <w:rFonts w:hint="default" w:ascii="Times New Roman" w:hAnsi="Times New Roman" w:cs="Times New Roman"/>
          <w:color w:val="auto"/>
          <w:highlight w:val="none"/>
        </w:rPr>
        <w:t>。</w:t>
      </w:r>
    </w:p>
    <w:p>
      <w:pPr>
        <w:pStyle w:val="117"/>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经计算，</w:t>
      </w:r>
      <w:r>
        <w:rPr>
          <w:rFonts w:hint="default" w:ascii="Times New Roman" w:hAnsi="Times New Roman" w:cs="Times New Roman"/>
          <w:color w:val="auto"/>
          <w:highlight w:val="none"/>
        </w:rPr>
        <w:t>颗粒物</w:t>
      </w:r>
      <w:r>
        <w:rPr>
          <w:rFonts w:hint="default" w:ascii="Times New Roman" w:hAnsi="Times New Roman" w:cs="Times New Roman"/>
          <w:color w:val="auto"/>
          <w:szCs w:val="24"/>
          <w:highlight w:val="none"/>
        </w:rPr>
        <w:t>排放量为</w:t>
      </w:r>
      <w:r>
        <w:rPr>
          <w:rFonts w:hint="eastAsia" w:cs="Times New Roman"/>
          <w:snapToGrid w:val="0"/>
          <w:color w:val="auto"/>
          <w:highlight w:val="none"/>
          <w:lang w:val="en-US" w:eastAsia="zh-CN"/>
        </w:rPr>
        <w:t>150</w:t>
      </w:r>
      <w:r>
        <w:rPr>
          <w:rFonts w:hint="eastAsia" w:cs="Times New Roman"/>
          <w:color w:val="auto"/>
          <w:szCs w:val="24"/>
          <w:highlight w:val="none"/>
          <w:lang w:val="en-US" w:eastAsia="zh-CN"/>
        </w:rPr>
        <w:t>*0.26*(1-0.99)/1000=</w:t>
      </w:r>
      <w:r>
        <w:rPr>
          <w:rFonts w:hint="default" w:ascii="Times New Roman" w:hAnsi="Times New Roman" w:cs="Times New Roman"/>
          <w:color w:val="auto"/>
          <w:szCs w:val="24"/>
          <w:highlight w:val="none"/>
        </w:rPr>
        <w:t>0.0</w:t>
      </w:r>
      <w:r>
        <w:rPr>
          <w:rFonts w:hint="eastAsia" w:cs="Times New Roman"/>
          <w:color w:val="auto"/>
          <w:szCs w:val="24"/>
          <w:highlight w:val="none"/>
          <w:lang w:val="en-US" w:eastAsia="zh-CN"/>
        </w:rPr>
        <w:t>004</w:t>
      </w:r>
      <w:r>
        <w:rPr>
          <w:rFonts w:hint="default" w:ascii="Times New Roman" w:hAnsi="Times New Roman" w:cs="Times New Roman"/>
          <w:color w:val="auto"/>
          <w:szCs w:val="24"/>
          <w:highlight w:val="none"/>
        </w:rPr>
        <w:t>t/a，排放速率</w:t>
      </w:r>
      <w:r>
        <w:rPr>
          <w:rFonts w:hint="default" w:ascii="Times New Roman" w:hAnsi="Times New Roman" w:eastAsia="宋体" w:cs="Times New Roman"/>
          <w:color w:val="auto"/>
          <w:highlight w:val="none"/>
          <w:lang w:eastAsia="zh-CN"/>
        </w:rPr>
        <w:t>0.0</w:t>
      </w:r>
      <w:r>
        <w:rPr>
          <w:rFonts w:hint="eastAsia" w:cs="Times New Roman"/>
          <w:color w:val="auto"/>
          <w:highlight w:val="none"/>
          <w:lang w:val="en-US" w:eastAsia="zh-CN"/>
        </w:rPr>
        <w:t>0033</w:t>
      </w:r>
      <w:r>
        <w:rPr>
          <w:rFonts w:hint="default" w:ascii="Times New Roman" w:hAnsi="Times New Roman" w:cs="Times New Roman"/>
          <w:color w:val="auto"/>
          <w:szCs w:val="24"/>
          <w:highlight w:val="none"/>
        </w:rPr>
        <w:t>kg/h，排放浓度</w:t>
      </w:r>
      <w:r>
        <w:rPr>
          <w:rFonts w:hint="eastAsia" w:cs="Times New Roman"/>
          <w:color w:val="auto"/>
          <w:szCs w:val="24"/>
          <w:highlight w:val="none"/>
          <w:lang w:val="en-US" w:eastAsia="zh-CN"/>
        </w:rPr>
        <w:t>0.2</w:t>
      </w:r>
      <w:r>
        <w:rPr>
          <w:rFonts w:hint="default" w:ascii="Times New Roman" w:hAnsi="Times New Roman" w:cs="Times New Roman"/>
          <w:color w:val="auto"/>
          <w:szCs w:val="24"/>
          <w:highlight w:val="none"/>
        </w:rPr>
        <w:t>mg/m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w:t>
      </w:r>
    </w:p>
    <w:p>
      <w:pPr>
        <w:pStyle w:val="11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.氮氧化物</w:t>
      </w:r>
    </w:p>
    <w:p>
      <w:pPr>
        <w:pStyle w:val="117"/>
        <w:ind w:firstLine="420"/>
        <w:jc w:val="center"/>
        <w:rPr>
          <w:rFonts w:hint="default" w:ascii="Times New Roman" w:hAnsi="Times New Roman" w:cs="Times New Roman"/>
          <w:color w:val="auto"/>
          <w:highlight w:val="none"/>
        </w:rPr>
      </w:pPr>
      <w:r>
        <w:rPr>
          <w:rFonts w:hint="default" w:ascii="Times New Roman" w:hAnsi="Times New Roman" w:cs="Times New Roman"/>
          <w:color w:val="auto"/>
          <w:position w:val="-32"/>
          <w:sz w:val="21"/>
          <w:szCs w:val="21"/>
          <w:highlight w:val="none"/>
        </w:rPr>
        <w:object>
          <v:shape id="_x0000_i1031" o:spt="75" type="#_x0000_t75" style="height:38pt;width:165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position w:val="-14"/>
          <w:szCs w:val="24"/>
          <w:highlight w:val="none"/>
        </w:rPr>
        <w:object>
          <v:shape id="_x0000_i1032" o:spt="75" type="#_x0000_t75" style="height:19pt;width:27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r>
        <w:rPr>
          <w:rFonts w:hint="default" w:ascii="Times New Roman" w:hAnsi="Times New Roman" w:cs="Times New Roman"/>
          <w:color w:val="auto"/>
          <w:highlight w:val="none"/>
        </w:rPr>
        <w:t>--核算时段内氮氧化物排放量，t；</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position w:val="-14"/>
          <w:szCs w:val="24"/>
          <w:highlight w:val="none"/>
        </w:rPr>
        <w:object>
          <v:shape id="_x0000_i1033" o:spt="75" type="#_x0000_t75" style="height:19pt;width:27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r>
        <w:rPr>
          <w:rFonts w:hint="default" w:ascii="Times New Roman" w:hAnsi="Times New Roman" w:cs="Times New Roman"/>
          <w:color w:val="auto"/>
          <w:highlight w:val="none"/>
        </w:rPr>
        <w:t>--锅炉炉膛出口氮氧化物质量浓度，mg/m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，根据《污染源源强核算技术指南 锅炉》（HJ991-2018）表B.4，本次评价取100。</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Q--核算时段内标态干烟气排放量，m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cs="Times New Roman"/>
          <w:snapToGrid w:val="0"/>
          <w:color w:val="auto"/>
          <w:highlight w:val="none"/>
          <w:lang w:val="en-US" w:eastAsia="zh-CN"/>
        </w:rPr>
        <w:t>1914517.5</w:t>
      </w:r>
      <w:r>
        <w:rPr>
          <w:rFonts w:hint="default" w:ascii="Times New Roman" w:hAnsi="Times New Roman" w:cs="Times New Roman"/>
          <w:color w:val="auto"/>
          <w:highlight w:val="none"/>
        </w:rPr>
        <w:t>Nm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position w:val="-14"/>
          <w:szCs w:val="24"/>
          <w:highlight w:val="none"/>
        </w:rPr>
        <w:object>
          <v:shape id="_x0000_i1034" o:spt="75" type="#_x0000_t75" style="height:19pt;width:24.95pt;" o:ole="t" filled="f" o:preferrelative="t" stroked="f" coordsize="21600,21600">
            <v:path/>
            <v:fill on="f" focussize="0,0"/>
            <v:stroke on="f" joinstyle="miter"/>
            <v:imagedata r:id="rId40" o:title=""/>
            <o:lock v:ext="edit" aspectratio="t"/>
            <w10:wrap type="none"/>
            <w10:anchorlock/>
          </v:shape>
          <o:OLEObject Type="Embed" ProgID="Equation.3" ShapeID="_x0000_i1034" DrawAspect="Content" ObjectID="_1468075734" r:id="rId39">
            <o:LockedField>false</o:LockedField>
          </o:OLEObject>
        </w:object>
      </w:r>
      <w:r>
        <w:rPr>
          <w:rFonts w:hint="default" w:ascii="Times New Roman" w:hAnsi="Times New Roman" w:cs="Times New Roman"/>
          <w:color w:val="auto"/>
          <w:highlight w:val="none"/>
        </w:rPr>
        <w:t>--脱硝效率，%，为</w:t>
      </w:r>
      <w:r>
        <w:rPr>
          <w:rFonts w:hint="eastAsia" w:cs="Times New Roman"/>
          <w:color w:val="auto"/>
          <w:highlight w:val="none"/>
          <w:lang w:val="en-US" w:eastAsia="zh-CN"/>
        </w:rPr>
        <w:t>3</w:t>
      </w:r>
      <w:r>
        <w:rPr>
          <w:rFonts w:hint="default" w:ascii="Times New Roman" w:hAnsi="Times New Roman" w:cs="Times New Roman"/>
          <w:color w:val="auto"/>
          <w:highlight w:val="none"/>
        </w:rPr>
        <w:t>0。</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经计算，氮氧化物排放量为</w:t>
      </w:r>
      <w:r>
        <w:rPr>
          <w:rFonts w:hint="eastAsia" w:cs="Times New Roman"/>
          <w:color w:val="auto"/>
          <w:highlight w:val="none"/>
          <w:lang w:val="en-US" w:eastAsia="zh-CN"/>
        </w:rPr>
        <w:t>100*</w:t>
      </w:r>
      <w:r>
        <w:rPr>
          <w:rFonts w:hint="eastAsia" w:cs="Times New Roman"/>
          <w:snapToGrid w:val="0"/>
          <w:color w:val="auto"/>
          <w:highlight w:val="none"/>
          <w:lang w:val="en-US" w:eastAsia="zh-CN"/>
        </w:rPr>
        <w:t>1914517.5*（1-0.3）/10</w:t>
      </w:r>
      <w:r>
        <w:rPr>
          <w:rFonts w:hint="eastAsia" w:cs="Times New Roman"/>
          <w:snapToGrid w:val="0"/>
          <w:color w:val="auto"/>
          <w:highlight w:val="none"/>
          <w:vertAlign w:val="superscript"/>
          <w:lang w:val="en-US" w:eastAsia="zh-CN"/>
        </w:rPr>
        <w:t>9</w:t>
      </w:r>
      <w:r>
        <w:rPr>
          <w:rFonts w:hint="eastAsia" w:cs="Times New Roman"/>
          <w:snapToGrid w:val="0"/>
          <w:color w:val="auto"/>
          <w:highlight w:val="none"/>
          <w:lang w:val="en-US" w:eastAsia="zh-CN"/>
        </w:rPr>
        <w:t>=</w:t>
      </w:r>
      <w:r>
        <w:rPr>
          <w:rFonts w:hint="default" w:ascii="Times New Roman" w:hAnsi="Times New Roman" w:cs="Times New Roman"/>
          <w:color w:val="auto"/>
          <w:highlight w:val="none"/>
        </w:rPr>
        <w:t>0.</w:t>
      </w:r>
      <w:r>
        <w:rPr>
          <w:rFonts w:hint="eastAsia" w:cs="Times New Roman"/>
          <w:color w:val="auto"/>
          <w:highlight w:val="none"/>
          <w:lang w:val="en-US" w:eastAsia="zh-CN"/>
        </w:rPr>
        <w:t>134</w:t>
      </w:r>
      <w:r>
        <w:rPr>
          <w:rFonts w:hint="default" w:ascii="Times New Roman" w:hAnsi="Times New Roman" w:cs="Times New Roman"/>
          <w:color w:val="auto"/>
          <w:highlight w:val="none"/>
        </w:rPr>
        <w:t>t/a，排放速率0.</w:t>
      </w:r>
      <w:r>
        <w:rPr>
          <w:rFonts w:hint="eastAsia" w:cs="Times New Roman"/>
          <w:color w:val="auto"/>
          <w:highlight w:val="none"/>
          <w:lang w:val="en-US" w:eastAsia="zh-CN"/>
        </w:rPr>
        <w:t>112</w:t>
      </w:r>
      <w:r>
        <w:rPr>
          <w:rFonts w:hint="default" w:ascii="Times New Roman" w:hAnsi="Times New Roman" w:cs="Times New Roman"/>
          <w:color w:val="auto"/>
          <w:highlight w:val="none"/>
        </w:rPr>
        <w:t>kg/h，排放浓度</w:t>
      </w:r>
      <w:r>
        <w:rPr>
          <w:rFonts w:hint="eastAsia" w:cs="Times New Roman"/>
          <w:color w:val="auto"/>
          <w:highlight w:val="none"/>
          <w:lang w:val="en-US" w:eastAsia="zh-CN"/>
        </w:rPr>
        <w:t>7</w:t>
      </w:r>
      <w:r>
        <w:rPr>
          <w:rFonts w:hint="default" w:ascii="Times New Roman" w:hAnsi="Times New Roman" w:cs="Times New Roman"/>
          <w:color w:val="auto"/>
          <w:highlight w:val="none"/>
        </w:rPr>
        <w:t>0.00mg/m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117"/>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val="en-US" w:eastAsia="zh-CN"/>
        </w:rPr>
        <w:t>C</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二氧化硫</w:t>
      </w:r>
    </w:p>
    <w:p>
      <w:pPr>
        <w:pStyle w:val="117"/>
        <w:ind w:firstLine="42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311400" cy="419100"/>
            <wp:effectExtent l="0" t="0" r="12700" b="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1"/>
                    <a:stretch>
                      <a:fillRect/>
                    </a:stretch>
                  </pic:blipFill>
                  <pic:spPr>
                    <a:xfrm>
                      <a:off x="0" y="0"/>
                      <a:ext cx="2311400" cy="419100"/>
                    </a:xfrm>
                    <a:prstGeom prst="rect">
                      <a:avLst/>
                    </a:prstGeom>
                    <a:noFill/>
                    <a:ln>
                      <a:noFill/>
                    </a:ln>
                  </pic:spPr>
                </pic:pic>
              </a:graphicData>
            </a:graphic>
          </wp:inline>
        </w:drawing>
      </w:r>
    </w:p>
    <w:p>
      <w:pPr>
        <w:pStyle w:val="11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lang w:eastAsia="zh-CN"/>
        </w:rPr>
        <w:t>：</w:t>
      </w:r>
      <w:r>
        <w:rPr>
          <w:rFonts w:hint="default" w:ascii="Times New Roman" w:hAnsi="Times New Roman" w:cs="Times New Roman"/>
          <w:color w:val="auto"/>
          <w:position w:val="-14"/>
          <w:szCs w:val="24"/>
          <w:highlight w:val="none"/>
        </w:rPr>
        <w:object>
          <v:shape id="_x0000_i1035" o:spt="75" type="#_x0000_t75" style="height:19pt;width:24pt;" o:ole="t" filled="f" o:preferrelative="t" stroked="f" coordsize="21600,21600">
            <v:path/>
            <v:fill on="f" focussize="0,0"/>
            <v:stroke on="f" joinstyle="miter"/>
            <v:imagedata r:id="rId43" o:title=""/>
            <o:lock v:ext="edit" aspectratio="t"/>
            <w10:wrap type="none"/>
            <w10:anchorlock/>
          </v:shape>
          <o:OLEObject Type="Embed" ProgID="Equation.3" ShapeID="_x0000_i1035" DrawAspect="Content" ObjectID="_1468075735" r:id="rId42">
            <o:LockedField>false</o:LockedField>
          </o:OLEObject>
        </w:object>
      </w:r>
      <w:r>
        <w:rPr>
          <w:rFonts w:hint="default" w:ascii="Times New Roman" w:hAnsi="Times New Roman" w:cs="Times New Roman"/>
          <w:color w:val="auto"/>
          <w:position w:val="-14"/>
          <w:szCs w:val="24"/>
          <w:highlight w:val="none"/>
          <w:lang w:eastAsia="zh-CN"/>
        </w:rPr>
        <w:t>：</w:t>
      </w:r>
      <w:r>
        <w:rPr>
          <w:rFonts w:hint="default" w:ascii="Times New Roman" w:hAnsi="Times New Roman" w:cs="Times New Roman"/>
          <w:color w:val="auto"/>
          <w:highlight w:val="none"/>
          <w:lang w:eastAsia="zh-CN"/>
        </w:rPr>
        <w:t>--核算时段内二氧化硫排放量，t;</w:t>
      </w:r>
    </w:p>
    <w:p>
      <w:pPr>
        <w:pStyle w:val="11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R--核算时段内锅炉燃料耗量，t;</w:t>
      </w:r>
    </w:p>
    <w:p>
      <w:pPr>
        <w:pStyle w:val="11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w:t>
      </w:r>
      <w:r>
        <w:rPr>
          <w:rFonts w:hint="default" w:ascii="Times New Roman" w:hAnsi="Times New Roman" w:cs="Times New Roman"/>
          <w:color w:val="auto"/>
          <w:highlight w:val="none"/>
          <w:vertAlign w:val="subscript"/>
          <w:lang w:val="en-US" w:eastAsia="zh-CN"/>
        </w:rPr>
        <w:t>ar</w:t>
      </w:r>
      <w:r>
        <w:rPr>
          <w:rFonts w:hint="default" w:ascii="Times New Roman" w:hAnsi="Times New Roman" w:cs="Times New Roman"/>
          <w:color w:val="auto"/>
          <w:highlight w:val="none"/>
          <w:lang w:eastAsia="zh-CN"/>
        </w:rPr>
        <w:t>-收到基硫的质量分数，%；</w:t>
      </w:r>
      <w:r>
        <w:rPr>
          <w:rFonts w:hint="default" w:ascii="Times New Roman" w:hAnsi="Times New Roman" w:cs="Times New Roman"/>
          <w:color w:val="auto"/>
          <w:highlight w:val="none"/>
          <w:lang w:val="en-US" w:eastAsia="zh-CN"/>
        </w:rPr>
        <w:t>取0.035%</w:t>
      </w:r>
    </w:p>
    <w:p>
      <w:pPr>
        <w:pStyle w:val="11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q</w:t>
      </w:r>
      <w:r>
        <w:rPr>
          <w:rFonts w:hint="default" w:ascii="Times New Roman" w:hAnsi="Times New Roman" w:cs="Times New Roman"/>
          <w:color w:val="auto"/>
          <w:highlight w:val="none"/>
          <w:lang w:eastAsia="zh-CN"/>
        </w:rPr>
        <w:t>4--锅炉机械不完全燃烧热损失，%；</w:t>
      </w:r>
      <w:r>
        <w:rPr>
          <w:rFonts w:hint="default" w:ascii="Times New Roman" w:hAnsi="Times New Roman" w:cs="Times New Roman"/>
          <w:color w:val="auto"/>
          <w:highlight w:val="none"/>
        </w:rPr>
        <w:t>取值</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%（根据HJ 991-2018附录B，取值</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pPr>
        <w:pStyle w:val="11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position w:val="-10"/>
          <w:szCs w:val="24"/>
          <w:highlight w:val="none"/>
        </w:rPr>
        <w:object>
          <v:shape id="_x0000_i1036" o:spt="75" type="#_x0000_t75" style="height:13pt;width:13.95pt;" o:ole="t" filled="f" o:preferrelative="t" stroked="f" coordsize="21600,21600">
            <v:path/>
            <v:fill on="f" focussize="0,0"/>
            <v:stroke on="f"/>
            <v:imagedata r:id="rId45" o:title=""/>
            <o:lock v:ext="edit" aspectratio="t"/>
            <w10:wrap type="none"/>
            <w10:anchorlock/>
          </v:shape>
          <o:OLEObject Type="Embed" ProgID="Equation.3" ShapeID="_x0000_i1036" DrawAspect="Content" ObjectID="_1468075736" r:id="rId44">
            <o:LockedField>false</o:LockedField>
          </o:OLEObject>
        </w:object>
      </w:r>
      <w:r>
        <w:rPr>
          <w:rFonts w:hint="default" w:ascii="Times New Roman" w:hAnsi="Times New Roman" w:cs="Times New Roman"/>
          <w:color w:val="auto"/>
          <w:highlight w:val="none"/>
          <w:lang w:eastAsia="zh-CN"/>
        </w:rPr>
        <w:t>--脱硫效率，%；</w:t>
      </w:r>
      <w:r>
        <w:rPr>
          <w:rFonts w:hint="default" w:ascii="Times New Roman" w:hAnsi="Times New Roman" w:cs="Times New Roman"/>
          <w:color w:val="auto"/>
          <w:highlight w:val="none"/>
          <w:lang w:val="en-US" w:eastAsia="zh-CN"/>
        </w:rPr>
        <w:t>0</w:t>
      </w:r>
    </w:p>
    <w:p>
      <w:pPr>
        <w:pStyle w:val="117"/>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K--燃料中的硫燃烧后氧化成二氧化硫的份额，量纲一的量。</w:t>
      </w:r>
      <w:r>
        <w:rPr>
          <w:rFonts w:hint="default" w:ascii="Times New Roman" w:hAnsi="Times New Roman" w:cs="Times New Roman"/>
          <w:color w:val="auto"/>
          <w:highlight w:val="none"/>
        </w:rPr>
        <w:t>根据《污染源源强核算技术指南 锅炉》（HJ991-2018）表B.3，本次评价取1.0。</w:t>
      </w:r>
    </w:p>
    <w:p>
      <w:pPr>
        <w:pStyle w:val="11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经计算，二氧化硫排放量为</w:t>
      </w:r>
      <w:r>
        <w:rPr>
          <w:rFonts w:hint="eastAsia" w:cs="Times New Roman"/>
          <w:color w:val="auto"/>
          <w:highlight w:val="none"/>
          <w:lang w:val="en-US" w:eastAsia="zh-CN"/>
        </w:rPr>
        <w:t>2*</w:t>
      </w:r>
      <w:r>
        <w:rPr>
          <w:rFonts w:hint="eastAsia" w:cs="Times New Roman"/>
          <w:snapToGrid w:val="0"/>
          <w:color w:val="auto"/>
          <w:highlight w:val="none"/>
          <w:lang w:val="en-US" w:eastAsia="zh-CN"/>
        </w:rPr>
        <w:t>150</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0.035</w:t>
      </w:r>
      <w:r>
        <w:rPr>
          <w:rFonts w:hint="eastAsia" w:cs="Times New Roman"/>
          <w:color w:val="auto"/>
          <w:highlight w:val="none"/>
          <w:lang w:val="en-US" w:eastAsia="zh-CN"/>
        </w:rPr>
        <w:t>/100）*（1-0.05）*1=</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099</w:t>
      </w:r>
      <w:r>
        <w:rPr>
          <w:rFonts w:hint="default" w:ascii="Times New Roman" w:hAnsi="Times New Roman" w:cs="Times New Roman"/>
          <w:color w:val="auto"/>
          <w:highlight w:val="none"/>
        </w:rPr>
        <w:t>t/a，排放速率</w:t>
      </w:r>
      <w:r>
        <w:rPr>
          <w:rFonts w:hint="default" w:ascii="Times New Roman" w:hAnsi="Times New Roman" w:cs="Times New Roman"/>
          <w:color w:val="auto"/>
          <w:highlight w:val="none"/>
          <w:lang w:val="en-US" w:eastAsia="zh-CN"/>
        </w:rPr>
        <w:t>0.0</w:t>
      </w:r>
      <w:r>
        <w:rPr>
          <w:rFonts w:hint="eastAsia" w:cs="Times New Roman"/>
          <w:color w:val="auto"/>
          <w:highlight w:val="none"/>
          <w:lang w:val="en-US" w:eastAsia="zh-CN"/>
        </w:rPr>
        <w:t>83</w:t>
      </w:r>
      <w:r>
        <w:rPr>
          <w:rFonts w:hint="default" w:ascii="Times New Roman" w:hAnsi="Times New Roman" w:cs="Times New Roman"/>
          <w:color w:val="auto"/>
          <w:highlight w:val="none"/>
        </w:rPr>
        <w:t>kg/h，排放浓度52.</w:t>
      </w:r>
      <w:r>
        <w:rPr>
          <w:rFonts w:hint="eastAsia" w:cs="Times New Roman"/>
          <w:color w:val="auto"/>
          <w:highlight w:val="none"/>
          <w:lang w:val="en-US" w:eastAsia="zh-CN"/>
        </w:rPr>
        <w:t>1</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11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导热油炉污染物排放浓度及排放量见下表。</w:t>
      </w:r>
    </w:p>
    <w:p>
      <w:pPr>
        <w:ind w:firstLine="482"/>
        <w:jc w:val="center"/>
        <w:rPr>
          <w:b/>
          <w:color w:val="auto"/>
          <w:sz w:val="24"/>
        </w:rPr>
      </w:pPr>
      <w:r>
        <w:rPr>
          <w:rFonts w:hAnsi="宋体"/>
          <w:b/>
          <w:color w:val="auto"/>
          <w:sz w:val="24"/>
        </w:rPr>
        <w:t>表</w:t>
      </w:r>
      <w:r>
        <w:rPr>
          <w:rFonts w:hint="eastAsia"/>
          <w:b/>
          <w:color w:val="auto"/>
          <w:sz w:val="24"/>
          <w:lang w:val="en-US" w:eastAsia="zh-CN"/>
        </w:rPr>
        <w:t>2-5</w:t>
      </w:r>
      <w:r>
        <w:rPr>
          <w:b/>
          <w:color w:val="auto"/>
          <w:sz w:val="24"/>
        </w:rPr>
        <w:t xml:space="preserve"> </w:t>
      </w:r>
      <w:r>
        <w:rPr>
          <w:rFonts w:hAnsi="宋体"/>
          <w:b/>
          <w:color w:val="auto"/>
          <w:sz w:val="24"/>
        </w:rPr>
        <w:t>导热油炉主要大气污染物产生情况一览表</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1698"/>
        <w:gridCol w:w="1507"/>
        <w:gridCol w:w="1318"/>
        <w:gridCol w:w="13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550" w:type="pct"/>
            <w:tcBorders>
              <w:tl2br w:val="nil"/>
              <w:tr2bl w:val="nil"/>
            </w:tcBorders>
            <w:vAlign w:val="center"/>
          </w:tcPr>
          <w:p>
            <w:pPr>
              <w:jc w:val="center"/>
              <w:rPr>
                <w:color w:val="auto"/>
                <w:szCs w:val="21"/>
              </w:rPr>
            </w:pPr>
            <w:r>
              <w:rPr>
                <w:color w:val="auto"/>
                <w:szCs w:val="21"/>
              </w:rPr>
              <w:t>主要污染物</w:t>
            </w:r>
          </w:p>
        </w:tc>
        <w:tc>
          <w:tcPr>
            <w:tcW w:w="996" w:type="pct"/>
            <w:tcBorders>
              <w:tl2br w:val="nil"/>
              <w:tr2bl w:val="nil"/>
            </w:tcBorders>
            <w:vAlign w:val="center"/>
          </w:tcPr>
          <w:p>
            <w:pPr>
              <w:jc w:val="center"/>
              <w:rPr>
                <w:color w:val="auto"/>
                <w:szCs w:val="21"/>
              </w:rPr>
            </w:pPr>
            <w:r>
              <w:rPr>
                <w:color w:val="auto"/>
                <w:szCs w:val="21"/>
              </w:rPr>
              <w:t>颗粒物</w:t>
            </w:r>
          </w:p>
        </w:tc>
        <w:tc>
          <w:tcPr>
            <w:tcW w:w="884" w:type="pct"/>
            <w:tcBorders>
              <w:tl2br w:val="nil"/>
              <w:tr2bl w:val="nil"/>
            </w:tcBorders>
            <w:vAlign w:val="center"/>
          </w:tcPr>
          <w:p>
            <w:pPr>
              <w:jc w:val="center"/>
              <w:rPr>
                <w:color w:val="auto"/>
                <w:szCs w:val="21"/>
              </w:rPr>
            </w:pPr>
            <w:r>
              <w:rPr>
                <w:color w:val="auto"/>
                <w:szCs w:val="21"/>
              </w:rPr>
              <w:t>SO</w:t>
            </w:r>
            <w:r>
              <w:rPr>
                <w:color w:val="auto"/>
                <w:szCs w:val="21"/>
                <w:vertAlign w:val="subscript"/>
              </w:rPr>
              <w:t>2</w:t>
            </w:r>
          </w:p>
        </w:tc>
        <w:tc>
          <w:tcPr>
            <w:tcW w:w="773" w:type="pct"/>
            <w:tcBorders>
              <w:tl2br w:val="nil"/>
              <w:tr2bl w:val="nil"/>
            </w:tcBorders>
            <w:vAlign w:val="center"/>
          </w:tcPr>
          <w:p>
            <w:pPr>
              <w:jc w:val="center"/>
              <w:rPr>
                <w:color w:val="auto"/>
                <w:szCs w:val="21"/>
              </w:rPr>
            </w:pPr>
            <w:r>
              <w:rPr>
                <w:color w:val="auto"/>
                <w:szCs w:val="21"/>
              </w:rPr>
              <w:t>NO</w:t>
            </w:r>
            <w:r>
              <w:rPr>
                <w:color w:val="auto"/>
                <w:szCs w:val="21"/>
                <w:vertAlign w:val="subscript"/>
              </w:rPr>
              <w:t>X</w:t>
            </w:r>
          </w:p>
        </w:tc>
        <w:tc>
          <w:tcPr>
            <w:tcW w:w="794" w:type="pct"/>
            <w:tcBorders>
              <w:tl2br w:val="nil"/>
              <w:tr2bl w:val="nil"/>
            </w:tcBorders>
            <w:vAlign w:val="center"/>
          </w:tcPr>
          <w:p>
            <w:pPr>
              <w:jc w:val="center"/>
              <w:rPr>
                <w:color w:val="auto"/>
                <w:szCs w:val="21"/>
              </w:rPr>
            </w:pPr>
            <w:r>
              <w:rPr>
                <w:color w:val="auto"/>
                <w:szCs w:val="21"/>
              </w:rPr>
              <w:t>林格曼黑度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550" w:type="pct"/>
            <w:tcBorders>
              <w:tl2br w:val="nil"/>
              <w:tr2bl w:val="nil"/>
            </w:tcBorders>
            <w:vAlign w:val="center"/>
          </w:tcPr>
          <w:p>
            <w:pPr>
              <w:jc w:val="center"/>
              <w:rPr>
                <w:color w:val="auto"/>
                <w:szCs w:val="21"/>
              </w:rPr>
            </w:pPr>
            <w:r>
              <w:rPr>
                <w:color w:val="auto"/>
                <w:szCs w:val="21"/>
              </w:rPr>
              <w:t>产生量（t）</w:t>
            </w:r>
          </w:p>
        </w:tc>
        <w:tc>
          <w:tcPr>
            <w:tcW w:w="996"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szCs w:val="24"/>
                <w:highlight w:val="none"/>
              </w:rPr>
              <w:t>0.0</w:t>
            </w:r>
            <w:r>
              <w:rPr>
                <w:rFonts w:hint="eastAsia" w:cs="Times New Roman"/>
                <w:color w:val="auto"/>
                <w:szCs w:val="24"/>
                <w:highlight w:val="none"/>
                <w:lang w:val="en-US" w:eastAsia="zh-CN"/>
              </w:rPr>
              <w:t>4</w:t>
            </w:r>
          </w:p>
        </w:tc>
        <w:tc>
          <w:tcPr>
            <w:tcW w:w="884"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099</w:t>
            </w:r>
          </w:p>
        </w:tc>
        <w:tc>
          <w:tcPr>
            <w:tcW w:w="773"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highlight w:val="none"/>
              </w:rPr>
              <w:t>0.</w:t>
            </w:r>
            <w:r>
              <w:rPr>
                <w:rFonts w:hint="eastAsia" w:cs="Times New Roman"/>
                <w:color w:val="auto"/>
                <w:highlight w:val="none"/>
                <w:lang w:val="en-US" w:eastAsia="zh-CN"/>
              </w:rPr>
              <w:t>191</w:t>
            </w:r>
          </w:p>
        </w:tc>
        <w:tc>
          <w:tcPr>
            <w:tcW w:w="794" w:type="pct"/>
            <w:vMerge w:val="restart"/>
            <w:tcBorders>
              <w:tl2br w:val="nil"/>
              <w:tr2bl w:val="nil"/>
            </w:tcBorders>
            <w:vAlign w:val="center"/>
          </w:tcPr>
          <w:p>
            <w:pPr>
              <w:jc w:val="center"/>
              <w:rPr>
                <w:color w:val="auto"/>
                <w:szCs w:val="21"/>
              </w:rPr>
            </w:pPr>
            <w:r>
              <w:rPr>
                <w:rFonts w:hint="eastAsia"/>
                <w:color w:val="auto"/>
                <w:szCs w:val="21"/>
              </w:rPr>
              <w:t>&lt;1级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550" w:type="pct"/>
            <w:tcBorders>
              <w:tl2br w:val="nil"/>
              <w:tr2bl w:val="nil"/>
            </w:tcBorders>
            <w:vAlign w:val="center"/>
          </w:tcPr>
          <w:p>
            <w:pPr>
              <w:jc w:val="center"/>
              <w:rPr>
                <w:color w:val="auto"/>
                <w:szCs w:val="21"/>
              </w:rPr>
            </w:pPr>
            <w:r>
              <w:rPr>
                <w:color w:val="auto"/>
                <w:szCs w:val="21"/>
              </w:rPr>
              <w:t>产生速率（kg/h）</w:t>
            </w:r>
          </w:p>
        </w:tc>
        <w:tc>
          <w:tcPr>
            <w:tcW w:w="996"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eastAsia="宋体" w:cs="Times New Roman"/>
                <w:color w:val="auto"/>
                <w:highlight w:val="none"/>
                <w:lang w:eastAsia="zh-CN"/>
              </w:rPr>
              <w:t>0.0</w:t>
            </w:r>
            <w:r>
              <w:rPr>
                <w:rFonts w:hint="eastAsia" w:cs="Times New Roman"/>
                <w:color w:val="auto"/>
                <w:highlight w:val="none"/>
                <w:lang w:val="en-US" w:eastAsia="zh-CN"/>
              </w:rPr>
              <w:t>325</w:t>
            </w:r>
          </w:p>
        </w:tc>
        <w:tc>
          <w:tcPr>
            <w:tcW w:w="884" w:type="pct"/>
            <w:tcBorders>
              <w:tl2br w:val="nil"/>
              <w:tr2bl w:val="nil"/>
            </w:tcBorders>
            <w:vAlign w:val="center"/>
          </w:tcPr>
          <w:p>
            <w:pPr>
              <w:jc w:val="center"/>
              <w:rPr>
                <w:rFonts w:hint="eastAsia" w:eastAsia="宋体"/>
                <w:color w:val="auto"/>
                <w:szCs w:val="21"/>
                <w:lang w:eastAsia="zh-CN"/>
              </w:rPr>
            </w:pPr>
            <w:r>
              <w:rPr>
                <w:rFonts w:hint="default" w:ascii="Times New Roman" w:hAnsi="Times New Roman" w:cs="Times New Roman"/>
                <w:color w:val="auto"/>
                <w:highlight w:val="none"/>
                <w:lang w:val="en-US" w:eastAsia="zh-CN"/>
              </w:rPr>
              <w:t>0.0</w:t>
            </w:r>
            <w:r>
              <w:rPr>
                <w:rFonts w:hint="eastAsia" w:cs="Times New Roman"/>
                <w:color w:val="auto"/>
                <w:highlight w:val="none"/>
                <w:lang w:val="en-US" w:eastAsia="zh-CN"/>
              </w:rPr>
              <w:t>83</w:t>
            </w:r>
          </w:p>
        </w:tc>
        <w:tc>
          <w:tcPr>
            <w:tcW w:w="773"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highlight w:val="none"/>
              </w:rPr>
              <w:t>0.</w:t>
            </w:r>
            <w:r>
              <w:rPr>
                <w:rFonts w:hint="eastAsia" w:cs="Times New Roman"/>
                <w:color w:val="auto"/>
                <w:highlight w:val="none"/>
                <w:lang w:val="en-US" w:eastAsia="zh-CN"/>
              </w:rPr>
              <w:t>159</w:t>
            </w:r>
          </w:p>
        </w:tc>
        <w:tc>
          <w:tcPr>
            <w:tcW w:w="794" w:type="pct"/>
            <w:vMerge w:val="continue"/>
            <w:tcBorders>
              <w:tl2br w:val="nil"/>
              <w:tr2bl w:val="nil"/>
            </w:tcBorders>
            <w:vAlign w:val="center"/>
          </w:tcPr>
          <w:p>
            <w:pPr>
              <w:ind w:firstLine="42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0" w:type="pct"/>
            <w:tcBorders>
              <w:tl2br w:val="nil"/>
              <w:tr2bl w:val="nil"/>
            </w:tcBorders>
            <w:vAlign w:val="center"/>
          </w:tcPr>
          <w:p>
            <w:pPr>
              <w:jc w:val="center"/>
              <w:rPr>
                <w:color w:val="auto"/>
                <w:szCs w:val="21"/>
              </w:rPr>
            </w:pPr>
            <w:r>
              <w:rPr>
                <w:color w:val="auto"/>
                <w:szCs w:val="21"/>
              </w:rPr>
              <w:t>产生浓度（mg/m</w:t>
            </w:r>
            <w:r>
              <w:rPr>
                <w:color w:val="auto"/>
                <w:szCs w:val="21"/>
                <w:vertAlign w:val="superscript"/>
              </w:rPr>
              <w:t>3</w:t>
            </w:r>
            <w:r>
              <w:rPr>
                <w:color w:val="auto"/>
                <w:szCs w:val="21"/>
              </w:rPr>
              <w:t>）</w:t>
            </w:r>
          </w:p>
        </w:tc>
        <w:tc>
          <w:tcPr>
            <w:tcW w:w="996" w:type="pct"/>
            <w:tcBorders>
              <w:tl2br w:val="nil"/>
              <w:tr2bl w:val="nil"/>
            </w:tcBorders>
            <w:vAlign w:val="center"/>
          </w:tcPr>
          <w:p>
            <w:pPr>
              <w:jc w:val="center"/>
              <w:rPr>
                <w:rFonts w:hint="eastAsia" w:eastAsia="宋体"/>
                <w:color w:val="auto"/>
                <w:szCs w:val="21"/>
                <w:lang w:eastAsia="zh-CN"/>
              </w:rPr>
            </w:pPr>
            <w:r>
              <w:rPr>
                <w:rFonts w:hint="default" w:ascii="Times New Roman" w:hAnsi="Times New Roman" w:cs="Times New Roman"/>
                <w:color w:val="auto"/>
                <w:szCs w:val="24"/>
                <w:highlight w:val="none"/>
              </w:rPr>
              <w:t>20.37</w:t>
            </w:r>
          </w:p>
        </w:tc>
        <w:tc>
          <w:tcPr>
            <w:tcW w:w="884" w:type="pct"/>
            <w:tcBorders>
              <w:tl2br w:val="nil"/>
              <w:tr2bl w:val="nil"/>
            </w:tcBorders>
            <w:vAlign w:val="center"/>
          </w:tcPr>
          <w:p>
            <w:pPr>
              <w:jc w:val="center"/>
              <w:rPr>
                <w:rFonts w:hint="eastAsia" w:eastAsia="宋体"/>
                <w:color w:val="auto"/>
                <w:szCs w:val="21"/>
                <w:lang w:eastAsia="zh-CN"/>
              </w:rPr>
            </w:pPr>
            <w:r>
              <w:rPr>
                <w:rFonts w:hint="default" w:ascii="Times New Roman" w:hAnsi="Times New Roman" w:cs="Times New Roman"/>
                <w:color w:val="auto"/>
                <w:highlight w:val="none"/>
              </w:rPr>
              <w:t>52.</w:t>
            </w:r>
            <w:r>
              <w:rPr>
                <w:rFonts w:hint="eastAsia" w:cs="Times New Roman"/>
                <w:color w:val="auto"/>
                <w:highlight w:val="none"/>
                <w:lang w:val="en-US" w:eastAsia="zh-CN"/>
              </w:rPr>
              <w:t>1</w:t>
            </w:r>
          </w:p>
        </w:tc>
        <w:tc>
          <w:tcPr>
            <w:tcW w:w="773" w:type="pct"/>
            <w:tcBorders>
              <w:tl2br w:val="nil"/>
              <w:tr2bl w:val="nil"/>
            </w:tcBorders>
            <w:vAlign w:val="center"/>
          </w:tcPr>
          <w:p>
            <w:pPr>
              <w:jc w:val="center"/>
              <w:rPr>
                <w:color w:val="auto"/>
                <w:szCs w:val="21"/>
              </w:rPr>
            </w:pPr>
            <w:r>
              <w:rPr>
                <w:rFonts w:hint="eastAsia"/>
                <w:color w:val="auto"/>
                <w:szCs w:val="21"/>
                <w:lang w:val="en-US" w:eastAsia="zh-CN"/>
              </w:rPr>
              <w:t>1</w:t>
            </w:r>
            <w:r>
              <w:rPr>
                <w:rFonts w:hint="eastAsia"/>
                <w:color w:val="auto"/>
                <w:szCs w:val="21"/>
              </w:rPr>
              <w:t>00</w:t>
            </w:r>
          </w:p>
        </w:tc>
        <w:tc>
          <w:tcPr>
            <w:tcW w:w="794" w:type="pct"/>
            <w:vMerge w:val="continue"/>
            <w:tcBorders>
              <w:tl2br w:val="nil"/>
              <w:tr2bl w:val="nil"/>
            </w:tcBorders>
            <w:vAlign w:val="center"/>
          </w:tcPr>
          <w:p>
            <w:pPr>
              <w:ind w:firstLine="42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550" w:type="pct"/>
            <w:tcBorders>
              <w:tl2br w:val="nil"/>
              <w:tr2bl w:val="nil"/>
            </w:tcBorders>
            <w:vAlign w:val="center"/>
          </w:tcPr>
          <w:p>
            <w:pPr>
              <w:jc w:val="center"/>
              <w:rPr>
                <w:color w:val="auto"/>
                <w:szCs w:val="21"/>
              </w:rPr>
            </w:pPr>
            <w:r>
              <w:rPr>
                <w:color w:val="auto"/>
                <w:szCs w:val="21"/>
              </w:rPr>
              <w:t>排放量（t）</w:t>
            </w:r>
          </w:p>
        </w:tc>
        <w:tc>
          <w:tcPr>
            <w:tcW w:w="996" w:type="pct"/>
            <w:tcBorders>
              <w:tl2br w:val="nil"/>
              <w:tr2bl w:val="nil"/>
            </w:tcBorders>
            <w:vAlign w:val="center"/>
          </w:tcPr>
          <w:p>
            <w:pPr>
              <w:jc w:val="center"/>
              <w:rPr>
                <w:rFonts w:hint="default"/>
                <w:color w:val="auto"/>
                <w:szCs w:val="21"/>
                <w:lang w:val="en-US"/>
              </w:rPr>
            </w:pPr>
            <w:r>
              <w:rPr>
                <w:rFonts w:hint="default" w:ascii="Times New Roman" w:hAnsi="Times New Roman" w:cs="Times New Roman"/>
                <w:color w:val="auto"/>
                <w:szCs w:val="24"/>
                <w:highlight w:val="none"/>
              </w:rPr>
              <w:t>0.0</w:t>
            </w:r>
            <w:r>
              <w:rPr>
                <w:rFonts w:hint="eastAsia" w:cs="Times New Roman"/>
                <w:color w:val="auto"/>
                <w:szCs w:val="24"/>
                <w:highlight w:val="none"/>
                <w:lang w:val="en-US" w:eastAsia="zh-CN"/>
              </w:rPr>
              <w:t>004</w:t>
            </w:r>
          </w:p>
        </w:tc>
        <w:tc>
          <w:tcPr>
            <w:tcW w:w="884" w:type="pct"/>
            <w:tcBorders>
              <w:tl2br w:val="nil"/>
              <w:tr2bl w:val="nil"/>
            </w:tcBorders>
            <w:vAlign w:val="center"/>
          </w:tcPr>
          <w:p>
            <w:pPr>
              <w:jc w:val="center"/>
              <w:rPr>
                <w:color w:val="auto"/>
                <w:szCs w:val="21"/>
              </w:rPr>
            </w:pP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099</w:t>
            </w:r>
          </w:p>
        </w:tc>
        <w:tc>
          <w:tcPr>
            <w:tcW w:w="773"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highlight w:val="none"/>
              </w:rPr>
              <w:t>0.</w:t>
            </w:r>
            <w:r>
              <w:rPr>
                <w:rFonts w:hint="eastAsia" w:cs="Times New Roman"/>
                <w:color w:val="auto"/>
                <w:highlight w:val="none"/>
                <w:lang w:val="en-US" w:eastAsia="zh-CN"/>
              </w:rPr>
              <w:t>134</w:t>
            </w:r>
          </w:p>
        </w:tc>
        <w:tc>
          <w:tcPr>
            <w:tcW w:w="794" w:type="pct"/>
            <w:vMerge w:val="continue"/>
            <w:tcBorders>
              <w:tl2br w:val="nil"/>
              <w:tr2bl w:val="nil"/>
            </w:tcBorders>
            <w:vAlign w:val="center"/>
          </w:tcPr>
          <w:p>
            <w:pPr>
              <w:ind w:firstLine="42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550" w:type="pct"/>
            <w:tcBorders>
              <w:tl2br w:val="nil"/>
              <w:tr2bl w:val="nil"/>
            </w:tcBorders>
            <w:vAlign w:val="center"/>
          </w:tcPr>
          <w:p>
            <w:pPr>
              <w:jc w:val="center"/>
              <w:rPr>
                <w:color w:val="auto"/>
                <w:szCs w:val="21"/>
              </w:rPr>
            </w:pPr>
            <w:r>
              <w:rPr>
                <w:rFonts w:hint="eastAsia"/>
                <w:color w:val="auto"/>
                <w:szCs w:val="21"/>
              </w:rPr>
              <w:t>排放</w:t>
            </w:r>
            <w:r>
              <w:rPr>
                <w:color w:val="auto"/>
                <w:szCs w:val="21"/>
              </w:rPr>
              <w:t>速率（kg/h）</w:t>
            </w:r>
          </w:p>
        </w:tc>
        <w:tc>
          <w:tcPr>
            <w:tcW w:w="996" w:type="pct"/>
            <w:tcBorders>
              <w:tl2br w:val="nil"/>
              <w:tr2bl w:val="nil"/>
            </w:tcBorders>
            <w:vAlign w:val="center"/>
          </w:tcPr>
          <w:p>
            <w:pPr>
              <w:jc w:val="center"/>
              <w:rPr>
                <w:rFonts w:hint="default"/>
                <w:color w:val="auto"/>
                <w:szCs w:val="21"/>
                <w:lang w:val="en-US"/>
              </w:rPr>
            </w:pPr>
            <w:r>
              <w:rPr>
                <w:rFonts w:hint="default" w:ascii="Times New Roman" w:hAnsi="Times New Roman" w:eastAsia="宋体" w:cs="Times New Roman"/>
                <w:color w:val="auto"/>
                <w:highlight w:val="none"/>
                <w:lang w:eastAsia="zh-CN"/>
              </w:rPr>
              <w:t>0.0</w:t>
            </w:r>
            <w:r>
              <w:rPr>
                <w:rFonts w:hint="eastAsia" w:cs="Times New Roman"/>
                <w:color w:val="auto"/>
                <w:highlight w:val="none"/>
                <w:lang w:val="en-US" w:eastAsia="zh-CN"/>
              </w:rPr>
              <w:t>0033</w:t>
            </w:r>
          </w:p>
        </w:tc>
        <w:tc>
          <w:tcPr>
            <w:tcW w:w="884" w:type="pct"/>
            <w:tcBorders>
              <w:tl2br w:val="nil"/>
              <w:tr2bl w:val="nil"/>
            </w:tcBorders>
            <w:vAlign w:val="center"/>
          </w:tcPr>
          <w:p>
            <w:pPr>
              <w:jc w:val="center"/>
              <w:rPr>
                <w:color w:val="auto"/>
                <w:szCs w:val="21"/>
              </w:rPr>
            </w:pPr>
            <w:r>
              <w:rPr>
                <w:rFonts w:hint="default" w:ascii="Times New Roman" w:hAnsi="Times New Roman" w:cs="Times New Roman"/>
                <w:color w:val="auto"/>
                <w:highlight w:val="none"/>
                <w:lang w:val="en-US" w:eastAsia="zh-CN"/>
              </w:rPr>
              <w:t>0.0</w:t>
            </w:r>
            <w:r>
              <w:rPr>
                <w:rFonts w:hint="eastAsia" w:cs="Times New Roman"/>
                <w:color w:val="auto"/>
                <w:highlight w:val="none"/>
                <w:lang w:val="en-US" w:eastAsia="zh-CN"/>
              </w:rPr>
              <w:t>83</w:t>
            </w:r>
          </w:p>
        </w:tc>
        <w:tc>
          <w:tcPr>
            <w:tcW w:w="773"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0.112</w:t>
            </w:r>
          </w:p>
        </w:tc>
        <w:tc>
          <w:tcPr>
            <w:tcW w:w="794" w:type="pct"/>
            <w:vMerge w:val="continue"/>
            <w:tcBorders>
              <w:tl2br w:val="nil"/>
              <w:tr2bl w:val="nil"/>
            </w:tcBorders>
            <w:vAlign w:val="center"/>
          </w:tcPr>
          <w:p>
            <w:pPr>
              <w:ind w:firstLine="42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0" w:type="pct"/>
            <w:tcBorders>
              <w:tl2br w:val="nil"/>
              <w:tr2bl w:val="nil"/>
            </w:tcBorders>
            <w:vAlign w:val="center"/>
          </w:tcPr>
          <w:p>
            <w:pPr>
              <w:jc w:val="center"/>
              <w:rPr>
                <w:color w:val="auto"/>
                <w:szCs w:val="21"/>
              </w:rPr>
            </w:pPr>
            <w:r>
              <w:rPr>
                <w:color w:val="auto"/>
                <w:szCs w:val="21"/>
              </w:rPr>
              <w:t>排放浓度（mg/m</w:t>
            </w:r>
            <w:r>
              <w:rPr>
                <w:color w:val="auto"/>
                <w:szCs w:val="21"/>
                <w:vertAlign w:val="superscript"/>
              </w:rPr>
              <w:t>3</w:t>
            </w:r>
            <w:r>
              <w:rPr>
                <w:color w:val="auto"/>
                <w:szCs w:val="21"/>
              </w:rPr>
              <w:t>）</w:t>
            </w:r>
          </w:p>
        </w:tc>
        <w:tc>
          <w:tcPr>
            <w:tcW w:w="996" w:type="pct"/>
            <w:tcBorders>
              <w:tl2br w:val="nil"/>
              <w:tr2bl w:val="nil"/>
            </w:tcBorders>
            <w:vAlign w:val="center"/>
          </w:tcPr>
          <w:p>
            <w:pPr>
              <w:jc w:val="center"/>
              <w:rPr>
                <w:rFonts w:hint="default" w:eastAsia="宋体"/>
                <w:color w:val="auto"/>
                <w:szCs w:val="21"/>
                <w:lang w:val="en-US" w:eastAsia="zh-CN"/>
              </w:rPr>
            </w:pPr>
            <w:r>
              <w:rPr>
                <w:rFonts w:hint="eastAsia" w:cs="Times New Roman"/>
                <w:color w:val="auto"/>
                <w:szCs w:val="24"/>
                <w:highlight w:val="none"/>
                <w:lang w:val="en-US" w:eastAsia="zh-CN"/>
              </w:rPr>
              <w:t>0.2</w:t>
            </w:r>
          </w:p>
        </w:tc>
        <w:tc>
          <w:tcPr>
            <w:tcW w:w="884" w:type="pct"/>
            <w:tcBorders>
              <w:tl2br w:val="nil"/>
              <w:tr2bl w:val="nil"/>
            </w:tcBorders>
            <w:vAlign w:val="center"/>
          </w:tcPr>
          <w:p>
            <w:pPr>
              <w:jc w:val="center"/>
              <w:rPr>
                <w:color w:val="auto"/>
                <w:szCs w:val="21"/>
              </w:rPr>
            </w:pPr>
            <w:r>
              <w:rPr>
                <w:rFonts w:hint="default" w:ascii="Times New Roman" w:hAnsi="Times New Roman" w:cs="Times New Roman"/>
                <w:color w:val="auto"/>
                <w:highlight w:val="none"/>
              </w:rPr>
              <w:t>52.</w:t>
            </w:r>
            <w:r>
              <w:rPr>
                <w:rFonts w:hint="eastAsia" w:cs="Times New Roman"/>
                <w:color w:val="auto"/>
                <w:highlight w:val="none"/>
                <w:lang w:val="en-US" w:eastAsia="zh-CN"/>
              </w:rPr>
              <w:t>1</w:t>
            </w:r>
          </w:p>
        </w:tc>
        <w:tc>
          <w:tcPr>
            <w:tcW w:w="773" w:type="pct"/>
            <w:tcBorders>
              <w:tl2br w:val="nil"/>
              <w:tr2bl w:val="nil"/>
            </w:tcBorders>
            <w:vAlign w:val="center"/>
          </w:tcPr>
          <w:p>
            <w:pPr>
              <w:jc w:val="center"/>
              <w:rPr>
                <w:rFonts w:hint="default"/>
                <w:color w:val="auto"/>
                <w:szCs w:val="21"/>
                <w:lang w:val="en-US"/>
              </w:rPr>
            </w:pPr>
            <w:r>
              <w:rPr>
                <w:rFonts w:hint="eastAsia"/>
                <w:color w:val="auto"/>
                <w:szCs w:val="21"/>
                <w:lang w:val="en-US" w:eastAsia="zh-CN"/>
              </w:rPr>
              <w:t>70</w:t>
            </w:r>
          </w:p>
        </w:tc>
        <w:tc>
          <w:tcPr>
            <w:tcW w:w="794" w:type="pct"/>
            <w:vMerge w:val="continue"/>
            <w:tcBorders>
              <w:tl2br w:val="nil"/>
              <w:tr2bl w:val="nil"/>
            </w:tcBorders>
            <w:vAlign w:val="center"/>
          </w:tcPr>
          <w:p>
            <w:pPr>
              <w:ind w:firstLine="420"/>
              <w:jc w:val="center"/>
              <w:rPr>
                <w:color w:val="auto"/>
                <w:szCs w:val="21"/>
              </w:rPr>
            </w:pPr>
          </w:p>
        </w:tc>
      </w:tr>
    </w:tbl>
    <w:p>
      <w:pPr>
        <w:spacing w:line="360" w:lineRule="auto"/>
        <w:ind w:firstLine="480" w:firstLineChars="200"/>
        <w:contextualSpacing/>
        <w:rPr>
          <w:rFonts w:hAnsi="宋体"/>
          <w:color w:val="auto"/>
          <w:sz w:val="24"/>
        </w:rPr>
      </w:pPr>
      <w:r>
        <w:rPr>
          <w:rFonts w:hint="eastAsia" w:hAnsi="宋体"/>
          <w:color w:val="auto"/>
          <w:sz w:val="24"/>
        </w:rPr>
        <w:t>（4）</w:t>
      </w:r>
      <w:r>
        <w:rPr>
          <w:rFonts w:hint="eastAsia"/>
          <w:bCs/>
          <w:color w:val="auto"/>
          <w:sz w:val="24"/>
          <w:lang w:val="en-US" w:eastAsia="zh-CN"/>
        </w:rPr>
        <w:t>沥青预处理系统、拌合系统废气</w:t>
      </w:r>
    </w:p>
    <w:p>
      <w:pPr>
        <w:spacing w:line="360" w:lineRule="auto"/>
        <w:ind w:firstLine="480" w:firstLineChars="200"/>
        <w:contextualSpacing/>
        <w:rPr>
          <w:rFonts w:hAnsi="宋体"/>
          <w:color w:val="auto"/>
          <w:sz w:val="24"/>
        </w:rPr>
      </w:pPr>
      <w:r>
        <w:rPr>
          <w:rFonts w:hAnsi="宋体"/>
          <w:color w:val="auto"/>
          <w:sz w:val="24"/>
        </w:rPr>
        <w:t>沥青烟气主要来源于</w:t>
      </w:r>
      <w:r>
        <w:rPr>
          <w:rFonts w:hint="eastAsia" w:hAnsi="宋体"/>
          <w:color w:val="auto"/>
          <w:sz w:val="24"/>
          <w:lang w:val="en-US" w:eastAsia="zh-CN"/>
        </w:rPr>
        <w:t>成品出料</w:t>
      </w:r>
      <w:r>
        <w:rPr>
          <w:rFonts w:hAnsi="宋体"/>
          <w:color w:val="auto"/>
          <w:sz w:val="24"/>
        </w:rPr>
        <w:t>的废气和沥青罐</w:t>
      </w:r>
      <w:r>
        <w:rPr>
          <w:rFonts w:hint="eastAsia" w:hAnsi="宋体"/>
          <w:color w:val="auto"/>
          <w:sz w:val="24"/>
        </w:rPr>
        <w:t>呼吸废气</w:t>
      </w:r>
      <w:r>
        <w:rPr>
          <w:rFonts w:hAnsi="宋体"/>
          <w:color w:val="auto"/>
          <w:sz w:val="24"/>
        </w:rPr>
        <w:t>。</w:t>
      </w:r>
    </w:p>
    <w:p>
      <w:pPr>
        <w:pStyle w:val="33"/>
        <w:spacing w:after="0" w:line="360" w:lineRule="auto"/>
        <w:ind w:left="0" w:leftChars="0" w:firstLine="480"/>
        <w:rPr>
          <w:color w:val="auto"/>
          <w:sz w:val="24"/>
        </w:rPr>
      </w:pPr>
      <w:r>
        <w:rPr>
          <w:rFonts w:hint="eastAsia"/>
          <w:color w:val="auto"/>
          <w:sz w:val="24"/>
        </w:rPr>
        <w:t>污染物产生量</w:t>
      </w:r>
      <w:r>
        <w:rPr>
          <w:color w:val="auto"/>
          <w:sz w:val="24"/>
        </w:rPr>
        <w:t>参考研究论文《沥青烟产生机理研究》（期刊《石油沥青》第29卷第5期，2015年10月）中数据，沥青烟在沥青加热、搅拌过程中的产生量约为250mg/kg</w:t>
      </w:r>
      <w:r>
        <w:rPr>
          <w:rFonts w:hint="eastAsia"/>
          <w:color w:val="auto"/>
          <w:sz w:val="24"/>
        </w:rPr>
        <w:t>，</w:t>
      </w:r>
      <w:r>
        <w:rPr>
          <w:color w:val="auto"/>
          <w:sz w:val="24"/>
        </w:rPr>
        <w:t>本项目沥青使用量为</w:t>
      </w:r>
      <w:r>
        <w:rPr>
          <w:rFonts w:hint="eastAsia" w:cs="Times New Roman"/>
          <w:i w:val="0"/>
          <w:iCs w:val="0"/>
          <w:color w:val="auto"/>
          <w:kern w:val="0"/>
          <w:sz w:val="24"/>
          <w:szCs w:val="24"/>
          <w:u w:val="none"/>
          <w:lang w:val="en-US" w:eastAsia="zh-CN" w:bidi="ar"/>
        </w:rPr>
        <w:t>1925</w:t>
      </w:r>
      <w:r>
        <w:rPr>
          <w:color w:val="auto"/>
          <w:sz w:val="24"/>
        </w:rPr>
        <w:t>t/a，</w:t>
      </w:r>
      <w:r>
        <w:rPr>
          <w:rFonts w:hint="eastAsia" w:ascii="宋体" w:hAnsi="宋体" w:cs="宋体"/>
          <w:color w:val="auto"/>
          <w:sz w:val="24"/>
        </w:rPr>
        <w:t>则沥青烟产生量为</w:t>
      </w:r>
      <w:r>
        <w:rPr>
          <w:rFonts w:hint="eastAsia"/>
          <w:color w:val="auto"/>
          <w:sz w:val="24"/>
          <w:lang w:val="en-US" w:eastAsia="zh-CN"/>
        </w:rPr>
        <w:t>0.48</w:t>
      </w:r>
      <w:r>
        <w:rPr>
          <w:color w:val="auto"/>
          <w:sz w:val="24"/>
        </w:rPr>
        <w:t>t/a</w:t>
      </w:r>
      <w:r>
        <w:rPr>
          <w:rFonts w:hint="eastAsia" w:ascii="宋体" w:hAnsi="宋体" w:cs="宋体"/>
          <w:color w:val="auto"/>
          <w:sz w:val="24"/>
        </w:rPr>
        <w:t>，根据《工业生产中有害物质手册》（化学工业出版社）中提供数据，沥青烟中苯并</w:t>
      </w:r>
      <w:r>
        <w:rPr>
          <w:color w:val="auto"/>
          <w:sz w:val="24"/>
        </w:rPr>
        <w:t>[a]</w:t>
      </w:r>
      <w:r>
        <w:rPr>
          <w:rFonts w:hint="eastAsia" w:ascii="宋体" w:hAnsi="宋体" w:cs="宋体"/>
          <w:color w:val="auto"/>
          <w:sz w:val="24"/>
        </w:rPr>
        <w:t>芘含量约</w:t>
      </w:r>
      <w:r>
        <w:rPr>
          <w:color w:val="auto"/>
          <w:sz w:val="24"/>
        </w:rPr>
        <w:t>0.01~0.02‰，本次评价取最大值0.02‰，</w:t>
      </w:r>
      <w:r>
        <w:rPr>
          <w:rFonts w:hint="eastAsia" w:ascii="宋体" w:hAnsi="宋体" w:cs="宋体"/>
          <w:color w:val="auto"/>
          <w:sz w:val="24"/>
        </w:rPr>
        <w:t>则苯并</w:t>
      </w:r>
      <w:r>
        <w:rPr>
          <w:color w:val="auto"/>
          <w:sz w:val="24"/>
        </w:rPr>
        <w:t>[a]</w:t>
      </w:r>
      <w:r>
        <w:rPr>
          <w:rFonts w:hint="eastAsia" w:ascii="宋体" w:hAnsi="宋体" w:cs="宋体"/>
          <w:color w:val="auto"/>
          <w:sz w:val="24"/>
        </w:rPr>
        <w:t>芘产生量为</w:t>
      </w:r>
      <w:r>
        <w:rPr>
          <w:color w:val="auto"/>
          <w:sz w:val="24"/>
        </w:rPr>
        <w:t>0.000</w:t>
      </w:r>
      <w:r>
        <w:rPr>
          <w:rFonts w:hint="eastAsia"/>
          <w:color w:val="auto"/>
          <w:sz w:val="24"/>
          <w:lang w:val="en-US" w:eastAsia="zh-CN"/>
        </w:rPr>
        <w:t>01</w:t>
      </w:r>
      <w:r>
        <w:rPr>
          <w:color w:val="auto"/>
          <w:sz w:val="24"/>
        </w:rPr>
        <w:t>t/a</w:t>
      </w:r>
      <w:r>
        <w:rPr>
          <w:rFonts w:hint="eastAsia" w:ascii="宋体" w:hAnsi="宋体" w:cs="宋体"/>
          <w:color w:val="auto"/>
          <w:sz w:val="24"/>
        </w:rPr>
        <w:t>。</w:t>
      </w:r>
      <w:r>
        <w:rPr>
          <w:color w:val="auto"/>
          <w:sz w:val="24"/>
        </w:rPr>
        <w:t>根据《空气污染物排放和控制手册》，沥青拌合站中挥发性有机废气（以非甲烷总烃计算）产生量按的14g/t（产品）计算，</w:t>
      </w:r>
      <w:r>
        <w:rPr>
          <w:rFonts w:hint="eastAsia" w:ascii="宋体" w:hAnsi="宋体" w:cs="宋体"/>
          <w:color w:val="auto"/>
          <w:sz w:val="24"/>
        </w:rPr>
        <w:t>则</w:t>
      </w:r>
      <w:r>
        <w:rPr>
          <w:color w:val="auto"/>
          <w:sz w:val="24"/>
        </w:rPr>
        <w:t>非甲烷总烃</w:t>
      </w:r>
      <w:r>
        <w:rPr>
          <w:rFonts w:hint="eastAsia" w:ascii="宋体" w:hAnsi="宋体" w:cs="宋体"/>
          <w:color w:val="auto"/>
          <w:sz w:val="24"/>
        </w:rPr>
        <w:t>产生量为</w:t>
      </w:r>
      <w:r>
        <w:rPr>
          <w:color w:val="auto"/>
          <w:sz w:val="24"/>
        </w:rPr>
        <w:t>0.</w:t>
      </w:r>
      <w:r>
        <w:rPr>
          <w:rFonts w:hint="eastAsia"/>
          <w:color w:val="auto"/>
          <w:sz w:val="24"/>
          <w:lang w:val="en-US" w:eastAsia="zh-CN"/>
        </w:rPr>
        <w:t>027</w:t>
      </w:r>
      <w:r>
        <w:rPr>
          <w:color w:val="auto"/>
          <w:sz w:val="24"/>
        </w:rPr>
        <w:t>t/a</w:t>
      </w:r>
      <w:r>
        <w:rPr>
          <w:rFonts w:hint="eastAsia" w:ascii="宋体" w:hAnsi="宋体" w:cs="宋体"/>
          <w:color w:val="auto"/>
          <w:sz w:val="24"/>
        </w:rPr>
        <w:t>。</w:t>
      </w:r>
    </w:p>
    <w:p>
      <w:pPr>
        <w:pStyle w:val="33"/>
        <w:spacing w:after="0" w:line="360" w:lineRule="auto"/>
        <w:ind w:left="0" w:leftChars="0" w:firstLine="480"/>
        <w:rPr>
          <w:rFonts w:hint="eastAsia" w:ascii="宋体" w:hAnsi="宋体" w:cs="宋体"/>
          <w:color w:val="auto"/>
          <w:sz w:val="24"/>
        </w:rPr>
      </w:pPr>
      <w:r>
        <w:rPr>
          <w:rFonts w:hint="eastAsia" w:ascii="宋体" w:hAnsi="宋体" w:cs="宋体"/>
          <w:color w:val="auto"/>
          <w:sz w:val="24"/>
          <w:lang w:val="en-US" w:eastAsia="zh-CN"/>
        </w:rPr>
        <w:t>卸料口设置负压集气，集气效率90%，</w:t>
      </w:r>
      <w:r>
        <w:rPr>
          <w:rFonts w:hint="default" w:ascii="Times New Roman" w:hAnsi="Times New Roman" w:eastAsia="宋体" w:cs="Times New Roman"/>
          <w:color w:val="auto"/>
          <w:sz w:val="24"/>
          <w:lang w:val="en-US" w:eastAsia="zh-CN"/>
        </w:rPr>
        <w:t>沥青烟通过密闭管道引至</w:t>
      </w:r>
      <w:r>
        <w:rPr>
          <w:rFonts w:hint="eastAsia" w:ascii="Times New Roman" w:hAnsi="Times New Roman" w:eastAsia="宋体" w:cs="Times New Roman"/>
          <w:color w:val="auto"/>
          <w:sz w:val="24"/>
          <w:lang w:val="en-US" w:eastAsia="zh-CN"/>
        </w:rPr>
        <w:t>废气处理装置,</w:t>
      </w:r>
      <w:r>
        <w:rPr>
          <w:color w:val="auto"/>
          <w:sz w:val="24"/>
        </w:rPr>
        <w:t>与沥青罐呼吸废气密闭收集后经一套</w:t>
      </w:r>
      <w:r>
        <w:rPr>
          <w:rFonts w:hint="eastAsia"/>
          <w:bCs/>
          <w:color w:val="auto"/>
          <w:sz w:val="24"/>
          <w:lang w:eastAsia="zh-CN"/>
        </w:rPr>
        <w:t>活性炭吸附</w:t>
      </w:r>
      <w:r>
        <w:rPr>
          <w:color w:val="auto"/>
          <w:sz w:val="24"/>
        </w:rPr>
        <w:t>处理，处理效率达</w:t>
      </w:r>
      <w:r>
        <w:rPr>
          <w:rFonts w:hint="eastAsia"/>
          <w:color w:val="auto"/>
          <w:sz w:val="24"/>
        </w:rPr>
        <w:t>95</w:t>
      </w:r>
      <w:r>
        <w:rPr>
          <w:color w:val="auto"/>
          <w:sz w:val="24"/>
        </w:rPr>
        <w:t>%，由一根</w:t>
      </w:r>
      <w:r>
        <w:rPr>
          <w:rFonts w:hint="eastAsia"/>
          <w:color w:val="auto"/>
          <w:sz w:val="24"/>
          <w:lang w:val="en-US" w:eastAsia="zh-CN"/>
        </w:rPr>
        <w:t>15</w:t>
      </w:r>
      <w:r>
        <w:rPr>
          <w:rFonts w:hint="eastAsia"/>
          <w:color w:val="auto"/>
          <w:sz w:val="24"/>
          <w:lang w:eastAsia="zh-CN"/>
        </w:rPr>
        <w:t>m</w:t>
      </w:r>
      <w:r>
        <w:rPr>
          <w:color w:val="auto"/>
          <w:sz w:val="24"/>
        </w:rPr>
        <w:t>高排气筒（DA00</w:t>
      </w:r>
      <w:r>
        <w:rPr>
          <w:rFonts w:hint="eastAsia"/>
          <w:color w:val="auto"/>
          <w:sz w:val="24"/>
          <w:lang w:val="en-US" w:eastAsia="zh-CN"/>
        </w:rPr>
        <w:t>1</w:t>
      </w:r>
      <w:r>
        <w:rPr>
          <w:color w:val="auto"/>
          <w:sz w:val="24"/>
        </w:rPr>
        <w:t>）排放</w:t>
      </w:r>
      <w:r>
        <w:rPr>
          <w:rFonts w:hint="eastAsia"/>
          <w:color w:val="auto"/>
          <w:sz w:val="24"/>
        </w:rPr>
        <w:t>，</w:t>
      </w:r>
      <w:r>
        <w:rPr>
          <w:rFonts w:hint="eastAsia" w:ascii="宋体" w:hAnsi="宋体" w:cs="宋体"/>
          <w:color w:val="auto"/>
          <w:sz w:val="24"/>
        </w:rPr>
        <w:t>经处理后，</w:t>
      </w:r>
      <w:r>
        <w:rPr>
          <w:color w:val="auto"/>
          <w:sz w:val="24"/>
        </w:rPr>
        <w:t>有组织沥青烟</w:t>
      </w:r>
      <w:r>
        <w:rPr>
          <w:rFonts w:hint="eastAsia"/>
          <w:color w:val="auto"/>
          <w:sz w:val="24"/>
        </w:rPr>
        <w:t>排放</w:t>
      </w:r>
      <w:r>
        <w:rPr>
          <w:color w:val="auto"/>
          <w:sz w:val="24"/>
        </w:rPr>
        <w:t>量为</w:t>
      </w:r>
      <w:r>
        <w:rPr>
          <w:rFonts w:hint="eastAsia"/>
          <w:color w:val="auto"/>
          <w:sz w:val="24"/>
          <w:lang w:val="en-US" w:eastAsia="zh-CN"/>
        </w:rPr>
        <w:t>0.0216</w:t>
      </w:r>
      <w:r>
        <w:rPr>
          <w:color w:val="auto"/>
          <w:sz w:val="24"/>
        </w:rPr>
        <w:t>t/a，</w:t>
      </w:r>
      <w:r>
        <w:rPr>
          <w:rFonts w:hint="eastAsia"/>
          <w:color w:val="auto"/>
          <w:sz w:val="24"/>
        </w:rPr>
        <w:t>排放</w:t>
      </w:r>
      <w:r>
        <w:rPr>
          <w:color w:val="auto"/>
          <w:sz w:val="24"/>
        </w:rPr>
        <w:t>速率为</w:t>
      </w:r>
      <w:r>
        <w:rPr>
          <w:rFonts w:hint="eastAsia"/>
          <w:color w:val="auto"/>
          <w:sz w:val="24"/>
        </w:rPr>
        <w:t>0.0</w:t>
      </w:r>
      <w:r>
        <w:rPr>
          <w:rFonts w:hint="eastAsia"/>
          <w:color w:val="auto"/>
          <w:sz w:val="24"/>
          <w:lang w:val="en-US" w:eastAsia="zh-CN"/>
        </w:rPr>
        <w:t>18</w:t>
      </w:r>
      <w:r>
        <w:rPr>
          <w:color w:val="auto"/>
          <w:sz w:val="24"/>
        </w:rPr>
        <w:t>kg/h，</w:t>
      </w:r>
      <w:r>
        <w:rPr>
          <w:rFonts w:hint="eastAsia" w:ascii="宋体" w:hAnsi="宋体" w:cs="宋体"/>
          <w:color w:val="auto"/>
          <w:sz w:val="24"/>
        </w:rPr>
        <w:t>苯并</w:t>
      </w:r>
      <w:r>
        <w:rPr>
          <w:color w:val="auto"/>
          <w:sz w:val="24"/>
        </w:rPr>
        <w:t>[a]</w:t>
      </w:r>
      <w:r>
        <w:rPr>
          <w:rFonts w:hint="eastAsia" w:ascii="宋体" w:hAnsi="宋体" w:cs="宋体"/>
          <w:color w:val="auto"/>
          <w:sz w:val="24"/>
        </w:rPr>
        <w:t>芘排放量为</w:t>
      </w:r>
      <w:r>
        <w:rPr>
          <w:rFonts w:hint="eastAsia"/>
          <w:color w:val="auto"/>
          <w:sz w:val="24"/>
          <w:lang w:val="en-US" w:eastAsia="zh-CN"/>
        </w:rPr>
        <w:t>4.5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7</w:t>
      </w:r>
      <w:r>
        <w:rPr>
          <w:color w:val="auto"/>
          <w:sz w:val="24"/>
        </w:rPr>
        <w:t>t/a</w:t>
      </w:r>
      <w:r>
        <w:rPr>
          <w:rFonts w:hint="eastAsia" w:ascii="宋体" w:hAnsi="宋体" w:cs="宋体"/>
          <w:color w:val="auto"/>
          <w:sz w:val="24"/>
        </w:rPr>
        <w:t>，排放速率为</w:t>
      </w:r>
      <w:r>
        <w:rPr>
          <w:rFonts w:hint="eastAsia" w:cs="Times New Roman"/>
          <w:color w:val="auto"/>
          <w:sz w:val="24"/>
          <w:lang w:val="en-US" w:eastAsia="zh-CN"/>
        </w:rPr>
        <w:t>3.75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7</w:t>
      </w:r>
      <w:r>
        <w:rPr>
          <w:color w:val="auto"/>
          <w:sz w:val="24"/>
        </w:rPr>
        <w:t>kg/h；非甲烷总烃</w:t>
      </w:r>
      <w:r>
        <w:rPr>
          <w:rFonts w:hint="eastAsia" w:ascii="宋体" w:hAnsi="宋体" w:cs="宋体"/>
          <w:color w:val="auto"/>
          <w:sz w:val="24"/>
        </w:rPr>
        <w:t>排放量为</w:t>
      </w:r>
      <w:r>
        <w:rPr>
          <w:rFonts w:hint="eastAsia"/>
          <w:color w:val="auto"/>
          <w:sz w:val="24"/>
        </w:rPr>
        <w:t>0.0</w:t>
      </w:r>
      <w:r>
        <w:rPr>
          <w:rFonts w:hint="eastAsia"/>
          <w:color w:val="auto"/>
          <w:sz w:val="24"/>
          <w:lang w:val="en-US" w:eastAsia="zh-CN"/>
        </w:rPr>
        <w:t>012</w:t>
      </w:r>
      <w:r>
        <w:rPr>
          <w:color w:val="auto"/>
          <w:sz w:val="24"/>
        </w:rPr>
        <w:t>t/a</w:t>
      </w:r>
      <w:r>
        <w:rPr>
          <w:rFonts w:hint="eastAsia" w:ascii="宋体" w:hAnsi="宋体" w:cs="宋体"/>
          <w:color w:val="auto"/>
          <w:sz w:val="24"/>
        </w:rPr>
        <w:t>，排放速率为</w:t>
      </w:r>
      <w:r>
        <w:rPr>
          <w:rFonts w:hint="eastAsia"/>
          <w:color w:val="auto"/>
          <w:sz w:val="24"/>
        </w:rPr>
        <w:t>0.00</w:t>
      </w:r>
      <w:r>
        <w:rPr>
          <w:rFonts w:hint="eastAsia"/>
          <w:color w:val="auto"/>
          <w:sz w:val="24"/>
          <w:lang w:val="en-US" w:eastAsia="zh-CN"/>
        </w:rPr>
        <w:t>1</w:t>
      </w:r>
      <w:r>
        <w:rPr>
          <w:color w:val="auto"/>
          <w:sz w:val="24"/>
        </w:rPr>
        <w:t>kg/h</w:t>
      </w:r>
      <w:r>
        <w:rPr>
          <w:rFonts w:hint="eastAsia" w:ascii="宋体" w:hAnsi="宋体" w:cs="宋体"/>
          <w:color w:val="auto"/>
          <w:sz w:val="24"/>
        </w:rPr>
        <w:t>。</w:t>
      </w:r>
    </w:p>
    <w:p>
      <w:pPr>
        <w:spacing w:line="360" w:lineRule="auto"/>
        <w:ind w:firstLine="480" w:firstLineChars="200"/>
        <w:contextualSpacing/>
        <w:rPr>
          <w:color w:val="auto"/>
          <w:sz w:val="24"/>
        </w:rPr>
      </w:pPr>
      <w:r>
        <w:rPr>
          <w:rFonts w:hint="eastAsia"/>
          <w:color w:val="auto"/>
          <w:sz w:val="24"/>
        </w:rPr>
        <w:t>（5）</w:t>
      </w:r>
      <w:r>
        <w:rPr>
          <w:rFonts w:hint="eastAsia"/>
          <w:color w:val="auto"/>
          <w:sz w:val="24"/>
          <w:lang w:val="en-US" w:eastAsia="zh-CN"/>
        </w:rPr>
        <w:t>粉料供应系统废气</w:t>
      </w:r>
      <w:r>
        <w:rPr>
          <w:rFonts w:hint="eastAsia" w:hAnsi="宋体"/>
          <w:color w:val="auto"/>
          <w:sz w:val="24"/>
        </w:rPr>
        <w:t xml:space="preserve">                                                                                                                                                                                                                                     </w:t>
      </w:r>
    </w:p>
    <w:p>
      <w:pPr>
        <w:spacing w:line="360" w:lineRule="auto"/>
        <w:ind w:firstLine="480" w:firstLineChars="200"/>
        <w:contextualSpacing/>
        <w:rPr>
          <w:color w:val="auto"/>
          <w:sz w:val="24"/>
        </w:rPr>
      </w:pPr>
      <w:r>
        <w:rPr>
          <w:rFonts w:hAnsi="宋体"/>
          <w:color w:val="auto"/>
          <w:sz w:val="24"/>
        </w:rPr>
        <w:t>本项目原料</w:t>
      </w:r>
      <w:r>
        <w:rPr>
          <w:rFonts w:hint="eastAsia" w:hAnsi="宋体"/>
          <w:color w:val="auto"/>
          <w:sz w:val="24"/>
        </w:rPr>
        <w:t>矿粉采</w:t>
      </w:r>
      <w:r>
        <w:rPr>
          <w:rFonts w:hAnsi="宋体"/>
          <w:color w:val="auto"/>
          <w:sz w:val="24"/>
        </w:rPr>
        <w:t>用密封的专用运输车运至厂内进行筒仓进行储存，利用罐车自带的空压设备泵入相应的存储筒仓，储存仓排放口会产生粉尘，参照《美国环保局</w:t>
      </w:r>
      <w:r>
        <w:rPr>
          <w:color w:val="auto"/>
          <w:sz w:val="24"/>
        </w:rPr>
        <w:t>—</w:t>
      </w:r>
      <w:r>
        <w:rPr>
          <w:rFonts w:hAnsi="宋体"/>
          <w:color w:val="auto"/>
          <w:sz w:val="24"/>
        </w:rPr>
        <w:t>空气污染物排放和控制手册》中混凝土配料产尘系数，水泥卸至高架储仓时产尘系数为产生粉尘</w:t>
      </w:r>
      <w:r>
        <w:rPr>
          <w:color w:val="auto"/>
          <w:sz w:val="24"/>
        </w:rPr>
        <w:t>0.12kg/t</w:t>
      </w:r>
      <w:r>
        <w:rPr>
          <w:rFonts w:hAnsi="宋体"/>
          <w:color w:val="auto"/>
          <w:sz w:val="24"/>
        </w:rPr>
        <w:t>，矿粉参照水泥系数。</w:t>
      </w:r>
    </w:p>
    <w:p>
      <w:pPr>
        <w:spacing w:line="360" w:lineRule="auto"/>
        <w:ind w:firstLine="480" w:firstLineChars="200"/>
        <w:contextualSpacing/>
        <w:jc w:val="left"/>
        <w:rPr>
          <w:color w:val="auto"/>
          <w:sz w:val="24"/>
        </w:rPr>
      </w:pPr>
      <w:r>
        <w:rPr>
          <w:rFonts w:hAnsi="宋体"/>
          <w:color w:val="auto"/>
          <w:sz w:val="24"/>
        </w:rPr>
        <w:t>本项目矿粉消耗量为</w:t>
      </w:r>
      <w:r>
        <w:rPr>
          <w:rFonts w:hint="eastAsia" w:cs="Times New Roman"/>
          <w:i w:val="0"/>
          <w:iCs w:val="0"/>
          <w:color w:val="auto"/>
          <w:kern w:val="0"/>
          <w:sz w:val="24"/>
          <w:szCs w:val="24"/>
          <w:u w:val="none"/>
          <w:lang w:val="en-US" w:eastAsia="zh-CN" w:bidi="ar"/>
        </w:rPr>
        <w:t>2250</w:t>
      </w:r>
      <w:r>
        <w:rPr>
          <w:color w:val="auto"/>
          <w:sz w:val="24"/>
        </w:rPr>
        <w:t>t/a</w:t>
      </w:r>
      <w:r>
        <w:rPr>
          <w:rFonts w:hAnsi="宋体"/>
          <w:color w:val="auto"/>
          <w:sz w:val="24"/>
        </w:rPr>
        <w:t>，装卸时间为</w:t>
      </w:r>
      <w:r>
        <w:rPr>
          <w:rFonts w:hint="eastAsia" w:hAnsi="宋体"/>
          <w:color w:val="auto"/>
          <w:sz w:val="24"/>
        </w:rPr>
        <w:t>600h/a，</w:t>
      </w:r>
      <w:r>
        <w:rPr>
          <w:rFonts w:hAnsi="宋体"/>
          <w:color w:val="auto"/>
          <w:sz w:val="24"/>
        </w:rPr>
        <w:t>存储在</w:t>
      </w:r>
      <w:r>
        <w:rPr>
          <w:rFonts w:hint="eastAsia"/>
          <w:color w:val="auto"/>
          <w:sz w:val="24"/>
          <w:lang w:val="en-US" w:eastAsia="zh-CN"/>
        </w:rPr>
        <w:t>2</w:t>
      </w:r>
      <w:r>
        <w:rPr>
          <w:rFonts w:hAnsi="宋体"/>
          <w:color w:val="auto"/>
          <w:sz w:val="24"/>
        </w:rPr>
        <w:t>座矿粉筒仓，经计算：矿粉筒仓</w:t>
      </w:r>
      <w:r>
        <w:rPr>
          <w:rFonts w:hint="eastAsia" w:hAnsi="宋体"/>
          <w:color w:val="auto"/>
          <w:sz w:val="24"/>
        </w:rPr>
        <w:t>装卸</w:t>
      </w:r>
      <w:r>
        <w:rPr>
          <w:rFonts w:hAnsi="宋体"/>
          <w:color w:val="auto"/>
          <w:sz w:val="24"/>
        </w:rPr>
        <w:t>粉尘产生量为</w:t>
      </w:r>
      <w:r>
        <w:rPr>
          <w:rFonts w:hint="eastAsia"/>
          <w:color w:val="auto"/>
          <w:sz w:val="24"/>
          <w:lang w:val="en-US" w:eastAsia="zh-CN"/>
        </w:rPr>
        <w:t>0.27</w:t>
      </w:r>
      <w:r>
        <w:rPr>
          <w:color w:val="auto"/>
          <w:sz w:val="24"/>
        </w:rPr>
        <w:t>t/a</w:t>
      </w:r>
      <w:r>
        <w:rPr>
          <w:rFonts w:hAnsi="宋体"/>
          <w:color w:val="auto"/>
          <w:sz w:val="24"/>
        </w:rPr>
        <w:t>，产生速率为</w:t>
      </w:r>
      <w:r>
        <w:rPr>
          <w:rFonts w:hint="eastAsia"/>
          <w:color w:val="auto"/>
          <w:sz w:val="24"/>
          <w:lang w:val="en-US" w:eastAsia="zh-CN"/>
        </w:rPr>
        <w:t>0.45</w:t>
      </w:r>
      <w:r>
        <w:rPr>
          <w:color w:val="auto"/>
          <w:sz w:val="24"/>
        </w:rPr>
        <w:t>kg/h</w:t>
      </w:r>
      <w:r>
        <w:rPr>
          <w:rFonts w:hAnsi="宋体"/>
          <w:color w:val="auto"/>
          <w:sz w:val="24"/>
        </w:rPr>
        <w:t>，本项目</w:t>
      </w:r>
      <w:r>
        <w:rPr>
          <w:bCs/>
          <w:color w:val="auto"/>
          <w:sz w:val="24"/>
        </w:rPr>
        <w:t>矿粉筒顶部通过</w:t>
      </w:r>
      <w:r>
        <w:rPr>
          <w:rFonts w:hint="eastAsia"/>
          <w:bCs/>
          <w:color w:val="auto"/>
          <w:sz w:val="24"/>
          <w:lang w:val="en-US" w:eastAsia="zh-CN"/>
        </w:rPr>
        <w:t>脉冲布袋除尘器</w:t>
      </w:r>
      <w:r>
        <w:rPr>
          <w:bCs/>
          <w:color w:val="auto"/>
          <w:sz w:val="24"/>
        </w:rPr>
        <w:t>，处理后经除尘系统烟囱（</w:t>
      </w:r>
      <w:r>
        <w:rPr>
          <w:rFonts w:hint="eastAsia"/>
          <w:bCs/>
          <w:color w:val="auto"/>
          <w:sz w:val="24"/>
        </w:rPr>
        <w:t>DA001</w:t>
      </w:r>
      <w:r>
        <w:rPr>
          <w:bCs/>
          <w:color w:val="auto"/>
          <w:sz w:val="24"/>
        </w:rPr>
        <w:t>）排放，</w:t>
      </w:r>
      <w:r>
        <w:rPr>
          <w:color w:val="auto"/>
          <w:sz w:val="24"/>
        </w:rPr>
        <w:t>除尘效率为99%</w:t>
      </w:r>
      <w:r>
        <w:rPr>
          <w:rFonts w:hAnsi="宋体"/>
          <w:color w:val="auto"/>
          <w:sz w:val="24"/>
        </w:rPr>
        <w:t>，</w:t>
      </w:r>
      <w:r>
        <w:rPr>
          <w:rFonts w:hAnsi="宋体"/>
          <w:bCs/>
          <w:color w:val="auto"/>
          <w:sz w:val="24"/>
        </w:rPr>
        <w:t>处理后粉尘排放量为</w:t>
      </w:r>
      <w:r>
        <w:rPr>
          <w:color w:val="auto"/>
          <w:sz w:val="24"/>
        </w:rPr>
        <w:t>0.0</w:t>
      </w:r>
      <w:r>
        <w:rPr>
          <w:rFonts w:hint="eastAsia"/>
          <w:color w:val="auto"/>
          <w:sz w:val="24"/>
          <w:lang w:val="en-US" w:eastAsia="zh-CN"/>
        </w:rPr>
        <w:t>027</w:t>
      </w:r>
      <w:r>
        <w:rPr>
          <w:color w:val="auto"/>
          <w:sz w:val="24"/>
        </w:rPr>
        <w:t>t/a</w:t>
      </w:r>
      <w:r>
        <w:rPr>
          <w:rFonts w:hAnsi="宋体"/>
          <w:color w:val="auto"/>
          <w:sz w:val="24"/>
        </w:rPr>
        <w:t>，排放速率为</w:t>
      </w:r>
      <w:r>
        <w:rPr>
          <w:bCs/>
          <w:color w:val="auto"/>
          <w:sz w:val="24"/>
        </w:rPr>
        <w:t>0.</w:t>
      </w:r>
      <w:r>
        <w:rPr>
          <w:rFonts w:hint="eastAsia"/>
          <w:bCs/>
          <w:color w:val="auto"/>
          <w:sz w:val="24"/>
          <w:lang w:val="en-US" w:eastAsia="zh-CN"/>
        </w:rPr>
        <w:t>0045</w:t>
      </w:r>
      <w:r>
        <w:rPr>
          <w:color w:val="auto"/>
          <w:sz w:val="24"/>
        </w:rPr>
        <w:t>kg/h</w:t>
      </w:r>
      <w:r>
        <w:rPr>
          <w:rFonts w:hAnsi="宋体"/>
          <w:bCs/>
          <w:color w:val="auto"/>
          <w:sz w:val="24"/>
        </w:rPr>
        <w:t>。</w:t>
      </w:r>
    </w:p>
    <w:p>
      <w:pPr>
        <w:pStyle w:val="86"/>
        <w:ind w:firstLine="0" w:firstLineChars="0"/>
        <w:outlineLvl w:val="2"/>
        <w:rPr>
          <w:snapToGrid w:val="0"/>
          <w:color w:val="auto"/>
          <w:kern w:val="0"/>
        </w:rPr>
      </w:pPr>
      <w:bookmarkStart w:id="166" w:name="_Toc7105"/>
      <w:bookmarkStart w:id="167" w:name="_Toc21783"/>
      <w:bookmarkStart w:id="168" w:name="_Toc26211"/>
      <w:bookmarkStart w:id="169" w:name="_Toc113"/>
      <w:r>
        <w:rPr>
          <w:snapToGrid w:val="0"/>
          <w:color w:val="auto"/>
          <w:kern w:val="0"/>
        </w:rPr>
        <w:t>2.</w:t>
      </w:r>
      <w:r>
        <w:rPr>
          <w:rFonts w:hint="eastAsia"/>
          <w:snapToGrid w:val="0"/>
          <w:color w:val="auto"/>
          <w:kern w:val="0"/>
          <w:lang w:val="en-US" w:eastAsia="zh-CN"/>
        </w:rPr>
        <w:t>3</w:t>
      </w:r>
      <w:r>
        <w:rPr>
          <w:snapToGrid w:val="0"/>
          <w:color w:val="auto"/>
          <w:kern w:val="0"/>
        </w:rPr>
        <w:t>.2无组织废气</w:t>
      </w:r>
      <w:bookmarkEnd w:id="166"/>
      <w:bookmarkEnd w:id="167"/>
      <w:bookmarkEnd w:id="168"/>
      <w:bookmarkEnd w:id="169"/>
    </w:p>
    <w:p>
      <w:pPr>
        <w:spacing w:line="360" w:lineRule="auto"/>
        <w:ind w:firstLine="480" w:firstLineChars="200"/>
        <w:rPr>
          <w:color w:val="auto"/>
          <w:sz w:val="24"/>
        </w:rPr>
      </w:pPr>
      <w:r>
        <w:rPr>
          <w:rFonts w:hint="eastAsia" w:hAnsi="宋体"/>
          <w:color w:val="auto"/>
          <w:sz w:val="24"/>
        </w:rPr>
        <w:t>（1）</w:t>
      </w:r>
      <w:r>
        <w:rPr>
          <w:color w:val="auto"/>
          <w:sz w:val="24"/>
        </w:rPr>
        <w:t>铲装集堆粉尘</w:t>
      </w:r>
    </w:p>
    <w:p>
      <w:pPr>
        <w:spacing w:line="360" w:lineRule="auto"/>
        <w:ind w:firstLine="480" w:firstLineChars="200"/>
        <w:rPr>
          <w:color w:val="auto"/>
          <w:sz w:val="24"/>
        </w:rPr>
      </w:pPr>
      <w:r>
        <w:rPr>
          <w:color w:val="auto"/>
          <w:sz w:val="24"/>
        </w:rPr>
        <w:t>铲装集堆粉尘产生情况采用交通水运研究所武汉水运工程学院提出的装车粉尘经验公式估算，经验公式为：</w:t>
      </w:r>
    </w:p>
    <w:p>
      <w:pPr>
        <w:jc w:val="center"/>
        <w:rPr>
          <w:color w:val="auto"/>
        </w:rPr>
      </w:pPr>
      <w:r>
        <w:rPr>
          <w:color w:val="auto"/>
        </w:rPr>
        <w:drawing>
          <wp:inline distT="0" distB="0" distL="0" distR="0">
            <wp:extent cx="2446020" cy="439420"/>
            <wp:effectExtent l="0" t="0" r="11430" b="177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6"/>
                    <a:srcRect/>
                    <a:stretch>
                      <a:fillRect/>
                    </a:stretch>
                  </pic:blipFill>
                  <pic:spPr>
                    <a:xfrm>
                      <a:off x="0" y="0"/>
                      <a:ext cx="2446020" cy="439420"/>
                    </a:xfrm>
                    <a:prstGeom prst="rect">
                      <a:avLst/>
                    </a:prstGeom>
                    <a:noFill/>
                    <a:ln w="9525">
                      <a:noFill/>
                      <a:miter lim="800000"/>
                      <a:headEnd/>
                      <a:tailEnd/>
                    </a:ln>
                  </pic:spPr>
                </pic:pic>
              </a:graphicData>
            </a:graphic>
          </wp:inline>
        </w:drawing>
      </w:r>
    </w:p>
    <w:p>
      <w:pPr>
        <w:spacing w:line="360" w:lineRule="auto"/>
        <w:ind w:firstLine="480" w:firstLineChars="200"/>
        <w:rPr>
          <w:color w:val="auto"/>
          <w:sz w:val="24"/>
        </w:rPr>
      </w:pPr>
      <w:r>
        <w:rPr>
          <w:color w:val="auto"/>
          <w:sz w:val="24"/>
        </w:rPr>
        <w:t>式中：Q——物料装车时机械落差起尘量，kg/s；</w:t>
      </w:r>
    </w:p>
    <w:p>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H——物料落差，m；装载车与自卸车车厢间距，取0.5m；</w:t>
      </w:r>
    </w:p>
    <w:p>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μ——平均风速，m/s；根据</w:t>
      </w:r>
      <w:r>
        <w:rPr>
          <w:rFonts w:hint="eastAsia"/>
          <w:color w:val="auto"/>
          <w:sz w:val="24"/>
          <w:lang w:val="en-US" w:eastAsia="zh-CN"/>
        </w:rPr>
        <w:t>伊春</w:t>
      </w:r>
      <w:r>
        <w:rPr>
          <w:color w:val="auto"/>
          <w:sz w:val="24"/>
        </w:rPr>
        <w:t>市30年气象资料，取年平均风速，2.7m/s；</w:t>
      </w:r>
    </w:p>
    <w:p>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ω——物料含水率，%；取8%；</w:t>
      </w:r>
    </w:p>
    <w:p>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t——物料装车所需时间，t/s；装载车每铲容量为5t，每铲物料下落时间为</w:t>
      </w:r>
      <w:r>
        <w:rPr>
          <w:rFonts w:hint="eastAsia"/>
          <w:color w:val="auto"/>
          <w:sz w:val="24"/>
          <w:lang w:val="en-US" w:eastAsia="zh-CN"/>
        </w:rPr>
        <w:t>30</w:t>
      </w:r>
      <w:r>
        <w:rPr>
          <w:color w:val="auto"/>
          <w:sz w:val="24"/>
        </w:rPr>
        <w:t>s，则物料装车所需时间为</w:t>
      </w:r>
      <w:r>
        <w:rPr>
          <w:rFonts w:hint="eastAsia"/>
          <w:color w:val="auto"/>
          <w:sz w:val="24"/>
          <w:lang w:val="en-US" w:eastAsia="zh-CN"/>
        </w:rPr>
        <w:t>0.16</w:t>
      </w:r>
      <w:r>
        <w:rPr>
          <w:color w:val="auto"/>
          <w:sz w:val="24"/>
        </w:rPr>
        <w:t>t/s。</w:t>
      </w:r>
    </w:p>
    <w:p>
      <w:pPr>
        <w:pStyle w:val="169"/>
        <w:ind w:firstLine="480"/>
        <w:rPr>
          <w:rFonts w:hint="default" w:ascii="Times New Roman" w:hAnsi="Times New Roman" w:cs="Times New Roman"/>
          <w:color w:val="auto"/>
          <w:sz w:val="24"/>
        </w:rPr>
      </w:pPr>
      <w:r>
        <w:rPr>
          <w:rFonts w:hint="default" w:ascii="Times New Roman" w:hAnsi="Times New Roman" w:cs="Times New Roman"/>
          <w:color w:val="auto"/>
          <w:sz w:val="24"/>
        </w:rPr>
        <w:t>经计算铲装集堆起尘量为0.0</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2kg/s，项目每天装运</w:t>
      </w:r>
      <w:r>
        <w:rPr>
          <w:rFonts w:hint="default" w:ascii="Times New Roman" w:hAnsi="Times New Roman" w:cs="Times New Roman"/>
          <w:color w:val="auto"/>
          <w:sz w:val="24"/>
          <w:lang w:val="en-US" w:eastAsia="zh-CN"/>
        </w:rPr>
        <w:t>298.5</w:t>
      </w:r>
      <w:r>
        <w:rPr>
          <w:rFonts w:hint="default" w:ascii="Times New Roman" w:hAnsi="Times New Roman" w:cs="Times New Roman"/>
          <w:color w:val="auto"/>
          <w:sz w:val="24"/>
        </w:rPr>
        <w:t>t物料，相当于物料下落总时间为每天</w:t>
      </w:r>
      <w:r>
        <w:rPr>
          <w:rFonts w:hint="eastAsia" w:ascii="Times New Roman" w:hAnsi="Times New Roman" w:cs="Times New Roman"/>
          <w:color w:val="auto"/>
          <w:sz w:val="24"/>
          <w:lang w:val="en-US" w:eastAsia="zh-CN"/>
        </w:rPr>
        <w:t>1791</w:t>
      </w:r>
      <w:r>
        <w:rPr>
          <w:rFonts w:hint="default" w:ascii="Times New Roman" w:hAnsi="Times New Roman" w:cs="Times New Roman"/>
          <w:color w:val="auto"/>
          <w:sz w:val="24"/>
        </w:rPr>
        <w:t>s，全年工作</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0天，经计算得出厂区铲装每年产生粉尘量为</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01</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t/a，通过临时水管洒水抑尘的方式可使粉尘排放量降低74%，则装卸排放的粉尘量为0.</w:t>
      </w:r>
      <w:r>
        <w:rPr>
          <w:rFonts w:hint="eastAsia" w:ascii="Times New Roman" w:hAnsi="Times New Roman" w:cs="Times New Roman"/>
          <w:color w:val="auto"/>
          <w:sz w:val="24"/>
          <w:lang w:val="en-US" w:eastAsia="zh-CN"/>
        </w:rPr>
        <w:t>04</w:t>
      </w:r>
      <w:r>
        <w:rPr>
          <w:rFonts w:hint="default" w:ascii="Times New Roman" w:hAnsi="Times New Roman" w:cs="Times New Roman"/>
          <w:color w:val="auto"/>
          <w:sz w:val="24"/>
        </w:rPr>
        <w:t>t/a。</w:t>
      </w:r>
    </w:p>
    <w:p>
      <w:pPr>
        <w:spacing w:line="360" w:lineRule="auto"/>
        <w:ind w:firstLine="600" w:firstLineChars="250"/>
        <w:contextualSpacing/>
        <w:jc w:val="left"/>
        <w:rPr>
          <w:color w:val="auto"/>
          <w:sz w:val="24"/>
        </w:rPr>
      </w:pPr>
      <w:r>
        <w:rPr>
          <w:rFonts w:hint="eastAsia" w:hAnsi="宋体"/>
          <w:color w:val="auto"/>
          <w:sz w:val="24"/>
        </w:rPr>
        <w:t>（2）</w:t>
      </w:r>
      <w:r>
        <w:rPr>
          <w:color w:val="auto"/>
          <w:sz w:val="24"/>
        </w:rPr>
        <w:t>原料堆场扬尘</w:t>
      </w:r>
    </w:p>
    <w:p>
      <w:pPr>
        <w:spacing w:line="360" w:lineRule="auto"/>
        <w:ind w:firstLine="480" w:firstLineChars="200"/>
        <w:jc w:val="left"/>
        <w:rPr>
          <w:bCs/>
          <w:color w:val="auto"/>
          <w:sz w:val="24"/>
        </w:rPr>
      </w:pPr>
      <w:r>
        <w:rPr>
          <w:bCs/>
          <w:color w:val="auto"/>
          <w:sz w:val="24"/>
        </w:rPr>
        <w:t>堆场粉尘计算公式如下：</w:t>
      </w:r>
    </w:p>
    <w:p>
      <w:pPr>
        <w:jc w:val="center"/>
        <w:rPr>
          <w:bCs/>
          <w:color w:val="auto"/>
          <w:sz w:val="24"/>
        </w:rPr>
      </w:pPr>
      <w:r>
        <w:rPr>
          <w:bCs/>
          <w:color w:val="auto"/>
          <w:sz w:val="24"/>
        </w:rPr>
        <w:t>Q=1.479×10</w:t>
      </w:r>
      <w:r>
        <w:rPr>
          <w:bCs/>
          <w:color w:val="auto"/>
          <w:sz w:val="24"/>
          <w:vertAlign w:val="superscript"/>
        </w:rPr>
        <w:t>-2</w:t>
      </w:r>
      <w:r>
        <w:rPr>
          <w:bCs/>
          <w:color w:val="auto"/>
          <w:sz w:val="24"/>
        </w:rPr>
        <w:t>×e</w:t>
      </w:r>
      <w:r>
        <w:rPr>
          <w:bCs/>
          <w:color w:val="auto"/>
          <w:sz w:val="24"/>
          <w:vertAlign w:val="superscript"/>
        </w:rPr>
        <w:t>-0.43w</w:t>
      </w:r>
      <w:r>
        <w:rPr>
          <w:bCs/>
          <w:color w:val="auto"/>
          <w:sz w:val="24"/>
        </w:rPr>
        <w:t>×Ap</w:t>
      </w:r>
    </w:p>
    <w:p>
      <w:pPr>
        <w:spacing w:line="360" w:lineRule="auto"/>
        <w:ind w:firstLine="480" w:firstLineChars="200"/>
        <w:rPr>
          <w:bCs/>
          <w:color w:val="auto"/>
          <w:sz w:val="24"/>
        </w:rPr>
      </w:pPr>
      <w:r>
        <w:rPr>
          <w:bCs/>
          <w:color w:val="auto"/>
          <w:sz w:val="24"/>
        </w:rPr>
        <w:t>式中：Q——起尘量，mg/s；</w:t>
      </w:r>
    </w:p>
    <w:p>
      <w:pPr>
        <w:spacing w:line="360" w:lineRule="auto"/>
        <w:ind w:firstLine="1200" w:firstLineChars="500"/>
        <w:rPr>
          <w:bCs/>
          <w:color w:val="auto"/>
          <w:sz w:val="24"/>
        </w:rPr>
      </w:pPr>
      <w:r>
        <w:rPr>
          <w:bCs/>
          <w:color w:val="auto"/>
          <w:sz w:val="24"/>
        </w:rPr>
        <w:t>W——物料含水率，%，本项目取</w:t>
      </w:r>
      <w:r>
        <w:rPr>
          <w:rFonts w:hint="eastAsia"/>
          <w:bCs/>
          <w:color w:val="auto"/>
          <w:sz w:val="24"/>
        </w:rPr>
        <w:t>5</w:t>
      </w:r>
      <w:r>
        <w:rPr>
          <w:bCs/>
          <w:color w:val="auto"/>
          <w:sz w:val="24"/>
        </w:rPr>
        <w:t>%；</w:t>
      </w:r>
    </w:p>
    <w:p>
      <w:pPr>
        <w:spacing w:line="360" w:lineRule="auto"/>
        <w:ind w:firstLine="1200" w:firstLineChars="500"/>
        <w:rPr>
          <w:bCs/>
          <w:color w:val="auto"/>
          <w:sz w:val="24"/>
        </w:rPr>
      </w:pPr>
      <w:r>
        <w:rPr>
          <w:bCs/>
          <w:color w:val="auto"/>
          <w:sz w:val="24"/>
        </w:rPr>
        <w:t>Ap——面积，m</w:t>
      </w:r>
      <w:r>
        <w:rPr>
          <w:bCs/>
          <w:color w:val="auto"/>
          <w:sz w:val="24"/>
          <w:vertAlign w:val="superscript"/>
        </w:rPr>
        <w:t>2</w:t>
      </w:r>
      <w:r>
        <w:rPr>
          <w:bCs/>
          <w:color w:val="auto"/>
          <w:sz w:val="24"/>
        </w:rPr>
        <w:t>，本项目堆场总面积取</w:t>
      </w:r>
      <w:r>
        <w:rPr>
          <w:rFonts w:hint="eastAsia"/>
          <w:bCs/>
          <w:color w:val="auto"/>
          <w:sz w:val="24"/>
          <w:lang w:val="en-US" w:eastAsia="zh-CN"/>
        </w:rPr>
        <w:t>60</w:t>
      </w:r>
      <w:r>
        <w:rPr>
          <w:bCs/>
          <w:color w:val="auto"/>
          <w:sz w:val="24"/>
        </w:rPr>
        <w:t>00m</w:t>
      </w:r>
      <w:r>
        <w:rPr>
          <w:bCs/>
          <w:color w:val="auto"/>
          <w:sz w:val="24"/>
          <w:vertAlign w:val="superscript"/>
        </w:rPr>
        <w:t>2</w:t>
      </w:r>
      <w:r>
        <w:rPr>
          <w:bCs/>
          <w:color w:val="auto"/>
          <w:sz w:val="24"/>
        </w:rPr>
        <w:t>。</w:t>
      </w:r>
    </w:p>
    <w:p>
      <w:pPr>
        <w:pStyle w:val="169"/>
        <w:ind w:firstLine="600" w:firstLineChars="250"/>
        <w:rPr>
          <w:rFonts w:hint="default" w:ascii="Times New Roman" w:hAnsi="Times New Roman" w:cs="Times New Roman"/>
          <w:bCs/>
          <w:color w:val="auto"/>
          <w:sz w:val="24"/>
        </w:rPr>
      </w:pPr>
      <w:r>
        <w:rPr>
          <w:rFonts w:hint="default" w:ascii="Times New Roman" w:hAnsi="Times New Roman" w:cs="Times New Roman"/>
          <w:bCs/>
          <w:color w:val="auto"/>
          <w:sz w:val="24"/>
        </w:rPr>
        <w:t>经计算，堆场起尘量约为</w:t>
      </w:r>
      <w:r>
        <w:rPr>
          <w:rFonts w:hint="eastAsia" w:ascii="Times New Roman" w:hAnsi="Times New Roman" w:cs="Times New Roman"/>
          <w:bCs/>
          <w:color w:val="auto"/>
          <w:sz w:val="24"/>
          <w:lang w:val="en-US" w:eastAsia="zh-CN"/>
        </w:rPr>
        <w:t>9.38</w:t>
      </w:r>
      <w:r>
        <w:rPr>
          <w:rFonts w:hint="default" w:ascii="Times New Roman" w:hAnsi="Times New Roman" w:cs="Times New Roman"/>
          <w:bCs/>
          <w:color w:val="auto"/>
          <w:sz w:val="24"/>
        </w:rPr>
        <w:t>mg/s，0</w:t>
      </w:r>
      <w:r>
        <w:rPr>
          <w:rFonts w:hint="default" w:ascii="Times New Roman" w:hAnsi="Times New Roman" w:cs="Times New Roman"/>
          <w:bCs/>
          <w:color w:val="auto"/>
          <w:sz w:val="24"/>
          <w:lang w:val="en-US" w:eastAsia="zh-CN"/>
        </w:rPr>
        <w:t>.</w:t>
      </w:r>
      <w:r>
        <w:rPr>
          <w:rFonts w:hint="eastAsia" w:ascii="Times New Roman" w:hAnsi="Times New Roman" w:cs="Times New Roman"/>
          <w:bCs/>
          <w:color w:val="auto"/>
          <w:sz w:val="24"/>
          <w:lang w:val="en-US" w:eastAsia="zh-CN"/>
        </w:rPr>
        <w:t>13</w:t>
      </w:r>
      <w:r>
        <w:rPr>
          <w:rFonts w:hint="default" w:ascii="Times New Roman" w:hAnsi="Times New Roman" w:cs="Times New Roman"/>
          <w:bCs/>
          <w:color w:val="auto"/>
          <w:sz w:val="24"/>
        </w:rPr>
        <w:t>t/a；堆场每天洒水抑尘2次，抑尘效率可达52%，采取洒水抑尘措施后堆场粉尘排放量为0.</w:t>
      </w:r>
      <w:r>
        <w:rPr>
          <w:rFonts w:hint="default" w:ascii="Times New Roman" w:hAnsi="Times New Roman" w:cs="Times New Roman"/>
          <w:bCs/>
          <w:color w:val="auto"/>
          <w:sz w:val="24"/>
          <w:lang w:val="en-US" w:eastAsia="zh-CN"/>
        </w:rPr>
        <w:t>0</w:t>
      </w:r>
      <w:r>
        <w:rPr>
          <w:rFonts w:hint="eastAsia" w:ascii="Times New Roman" w:hAnsi="Times New Roman" w:cs="Times New Roman"/>
          <w:bCs/>
          <w:color w:val="auto"/>
          <w:sz w:val="24"/>
          <w:lang w:val="en-US" w:eastAsia="zh-CN"/>
        </w:rPr>
        <w:t>64</w:t>
      </w:r>
      <w:r>
        <w:rPr>
          <w:rFonts w:hint="default" w:ascii="Times New Roman" w:hAnsi="Times New Roman" w:cs="Times New Roman"/>
          <w:bCs/>
          <w:color w:val="auto"/>
          <w:sz w:val="24"/>
        </w:rPr>
        <w:t>t/a、0.0</w:t>
      </w:r>
      <w:r>
        <w:rPr>
          <w:rFonts w:hint="eastAsia" w:ascii="Times New Roman" w:hAnsi="Times New Roman" w:cs="Times New Roman"/>
          <w:bCs/>
          <w:color w:val="auto"/>
          <w:sz w:val="24"/>
          <w:lang w:val="en-US" w:eastAsia="zh-CN"/>
        </w:rPr>
        <w:t>22</w:t>
      </w:r>
      <w:r>
        <w:rPr>
          <w:rFonts w:hint="default" w:ascii="Times New Roman" w:hAnsi="Times New Roman" w:cs="Times New Roman"/>
          <w:bCs/>
          <w:color w:val="auto"/>
          <w:sz w:val="24"/>
        </w:rPr>
        <w:t>kg/h，堆场扬尘以24h计。</w:t>
      </w:r>
    </w:p>
    <w:p>
      <w:pPr>
        <w:pStyle w:val="169"/>
        <w:ind w:firstLine="480"/>
        <w:rPr>
          <w:bCs/>
          <w:color w:val="auto"/>
          <w:sz w:val="24"/>
        </w:rPr>
      </w:pPr>
      <w:r>
        <w:rPr>
          <w:rFonts w:hint="eastAsia"/>
          <w:bCs/>
          <w:color w:val="auto"/>
          <w:sz w:val="24"/>
        </w:rPr>
        <w:t>（3）上料过程未收集粉尘</w:t>
      </w:r>
    </w:p>
    <w:p>
      <w:pPr>
        <w:spacing w:line="360" w:lineRule="auto"/>
        <w:ind w:firstLine="480" w:firstLineChars="200"/>
        <w:contextualSpacing/>
        <w:jc w:val="left"/>
        <w:rPr>
          <w:rFonts w:hAnsi="宋体"/>
          <w:color w:val="auto"/>
          <w:sz w:val="24"/>
        </w:rPr>
      </w:pPr>
      <w:r>
        <w:rPr>
          <w:rFonts w:hAnsi="宋体"/>
          <w:color w:val="auto"/>
          <w:sz w:val="24"/>
        </w:rPr>
        <w:t>上料过程在冷料仓</w:t>
      </w:r>
      <w:r>
        <w:rPr>
          <w:rFonts w:hint="eastAsia" w:hAnsi="宋体"/>
          <w:color w:val="auto"/>
          <w:sz w:val="24"/>
        </w:rPr>
        <w:t>设置集气装置</w:t>
      </w:r>
      <w:r>
        <w:rPr>
          <w:rFonts w:hAnsi="宋体"/>
          <w:color w:val="auto"/>
          <w:sz w:val="24"/>
        </w:rPr>
        <w:t>（集气效率</w:t>
      </w:r>
      <w:r>
        <w:rPr>
          <w:rFonts w:hint="eastAsia" w:hAnsi="宋体"/>
          <w:color w:val="auto"/>
          <w:sz w:val="24"/>
        </w:rPr>
        <w:t>90%</w:t>
      </w:r>
      <w:r>
        <w:rPr>
          <w:rFonts w:hAnsi="宋体"/>
          <w:color w:val="auto"/>
          <w:sz w:val="24"/>
        </w:rPr>
        <w:t>），上料时间为</w:t>
      </w:r>
      <w:r>
        <w:rPr>
          <w:rFonts w:hint="eastAsia" w:hAnsi="宋体"/>
          <w:color w:val="auto"/>
          <w:sz w:val="24"/>
          <w:lang w:val="en-US" w:eastAsia="zh-CN"/>
        </w:rPr>
        <w:t>12</w:t>
      </w:r>
      <w:r>
        <w:rPr>
          <w:rFonts w:hint="eastAsia" w:hAnsi="宋体"/>
          <w:color w:val="auto"/>
          <w:sz w:val="24"/>
        </w:rPr>
        <w:t>00h，</w:t>
      </w:r>
      <w:r>
        <w:rPr>
          <w:rFonts w:hAnsi="宋体"/>
          <w:color w:val="auto"/>
          <w:sz w:val="24"/>
        </w:rPr>
        <w:t>无组织排放粉尘量为</w:t>
      </w:r>
      <w:r>
        <w:rPr>
          <w:rFonts w:eastAsiaTheme="minorEastAsia"/>
          <w:color w:val="auto"/>
          <w:sz w:val="24"/>
        </w:rPr>
        <w:t>0.</w:t>
      </w:r>
      <w:r>
        <w:rPr>
          <w:rFonts w:hint="eastAsia" w:eastAsiaTheme="minorEastAsia"/>
          <w:color w:val="auto"/>
          <w:sz w:val="24"/>
          <w:lang w:val="en-US" w:eastAsia="zh-CN"/>
        </w:rPr>
        <w:t>0032</w:t>
      </w:r>
      <w:r>
        <w:rPr>
          <w:rFonts w:eastAsiaTheme="minorEastAsia"/>
          <w:color w:val="auto"/>
          <w:sz w:val="24"/>
        </w:rPr>
        <w:t>t/a、</w:t>
      </w:r>
      <w:r>
        <w:rPr>
          <w:rFonts w:hint="eastAsia" w:eastAsiaTheme="minorEastAsia"/>
          <w:color w:val="auto"/>
          <w:sz w:val="24"/>
          <w:lang w:val="en-US" w:eastAsia="zh-CN"/>
        </w:rPr>
        <w:t>排放</w:t>
      </w:r>
      <w:r>
        <w:rPr>
          <w:rFonts w:eastAsiaTheme="minorEastAsia"/>
          <w:color w:val="auto"/>
          <w:sz w:val="24"/>
        </w:rPr>
        <w:t>速率为0.0</w:t>
      </w:r>
      <w:r>
        <w:rPr>
          <w:rFonts w:hint="eastAsia" w:eastAsiaTheme="minorEastAsia"/>
          <w:color w:val="auto"/>
          <w:sz w:val="24"/>
          <w:lang w:val="en-US" w:eastAsia="zh-CN"/>
        </w:rPr>
        <w:t>027</w:t>
      </w:r>
      <w:r>
        <w:rPr>
          <w:rFonts w:eastAsiaTheme="minorEastAsia"/>
          <w:color w:val="auto"/>
          <w:sz w:val="24"/>
        </w:rPr>
        <w:t>kg/h</w:t>
      </w:r>
      <w:r>
        <w:rPr>
          <w:rFonts w:hint="eastAsia" w:hAnsi="宋体"/>
          <w:color w:val="auto"/>
          <w:sz w:val="24"/>
        </w:rPr>
        <w:t>。</w:t>
      </w:r>
    </w:p>
    <w:p>
      <w:pPr>
        <w:pStyle w:val="169"/>
        <w:ind w:firstLine="480"/>
        <w:rPr>
          <w:rFonts w:hint="default" w:ascii="Times New Roman" w:hAnsi="Times New Roman" w:cs="Times New Roman"/>
          <w:color w:val="auto"/>
          <w:sz w:val="24"/>
        </w:rPr>
      </w:pPr>
      <w:r>
        <w:rPr>
          <w:rFonts w:hint="default" w:ascii="Times New Roman" w:hAnsi="Times New Roman" w:cs="Times New Roman"/>
          <w:color w:val="auto"/>
          <w:sz w:val="24"/>
        </w:rPr>
        <w:t>全厂无组织粉尘排放量为0.</w:t>
      </w:r>
      <w:r>
        <w:rPr>
          <w:rFonts w:hint="default" w:ascii="Times New Roman" w:hAnsi="Times New Roman" w:cs="Times New Roman"/>
          <w:color w:val="auto"/>
          <w:sz w:val="24"/>
          <w:lang w:val="en-US" w:eastAsia="zh-CN"/>
        </w:rPr>
        <w:t>1072</w:t>
      </w:r>
      <w:r>
        <w:rPr>
          <w:rFonts w:hint="default" w:ascii="Times New Roman" w:hAnsi="Times New Roman" w:cs="Times New Roman"/>
          <w:color w:val="auto"/>
          <w:sz w:val="24"/>
        </w:rPr>
        <w:t>t/a。</w:t>
      </w:r>
    </w:p>
    <w:p>
      <w:pPr>
        <w:pStyle w:val="169"/>
        <w:ind w:firstLine="480"/>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卸料口设置负压集气，集气效率90%，无组织沥青烟</w:t>
      </w:r>
      <w:r>
        <w:rPr>
          <w:rFonts w:hint="default" w:ascii="Times New Roman" w:hAnsi="Times New Roman" w:cs="Times New Roman"/>
          <w:color w:val="auto"/>
          <w:sz w:val="24"/>
        </w:rPr>
        <w:t>排放</w:t>
      </w:r>
      <w:r>
        <w:rPr>
          <w:rFonts w:hint="default" w:ascii="Times New Roman" w:hAnsi="Times New Roman" w:cs="Times New Roman"/>
          <w:color w:val="auto"/>
          <w:sz w:val="24"/>
          <w:lang w:val="en-US" w:eastAsia="zh-CN"/>
        </w:rPr>
        <w:t>量</w:t>
      </w:r>
      <w:r>
        <w:rPr>
          <w:rFonts w:hint="default" w:ascii="Times New Roman" w:hAnsi="Times New Roman" w:cs="Times New Roman"/>
          <w:color w:val="auto"/>
          <w:sz w:val="24"/>
        </w:rPr>
        <w:t>为0.0</w:t>
      </w:r>
      <w:r>
        <w:rPr>
          <w:rFonts w:hint="default" w:ascii="Times New Roman" w:hAnsi="Times New Roman" w:cs="Times New Roman"/>
          <w:color w:val="auto"/>
          <w:sz w:val="24"/>
          <w:lang w:val="en-US" w:eastAsia="zh-CN"/>
        </w:rPr>
        <w:t>48</w:t>
      </w:r>
      <w:r>
        <w:rPr>
          <w:rFonts w:hint="default" w:ascii="Times New Roman" w:hAnsi="Times New Roman" w:cs="Times New Roman"/>
          <w:color w:val="auto"/>
          <w:sz w:val="24"/>
        </w:rPr>
        <w:t>t/a，苯并[a]芘排放量为0.00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01</w:t>
      </w:r>
      <w:r>
        <w:rPr>
          <w:rFonts w:hint="default" w:ascii="Times New Roman" w:hAnsi="Times New Roman" w:cs="Times New Roman"/>
          <w:color w:val="auto"/>
          <w:sz w:val="24"/>
        </w:rPr>
        <w:t>t/a，非甲烷总烃排放量为0.0</w:t>
      </w:r>
      <w:r>
        <w:rPr>
          <w:rFonts w:hint="default" w:ascii="Times New Roman" w:hAnsi="Times New Roman" w:cs="Times New Roman"/>
          <w:color w:val="auto"/>
          <w:sz w:val="24"/>
          <w:lang w:val="en-US" w:eastAsia="zh-CN"/>
        </w:rPr>
        <w:t>027</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p>
    <w:p>
      <w:pPr>
        <w:pStyle w:val="169"/>
        <w:ind w:firstLine="480"/>
        <w:rPr>
          <w:rFonts w:hint="default"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rFonts w:hint="eastAsia"/>
          <w:color w:val="auto"/>
          <w:sz w:val="24"/>
          <w:highlight w:val="none"/>
          <w:lang w:val="en-US" w:eastAsia="zh-CN"/>
        </w:rPr>
        <w:t>储油罐非甲烷总烃</w:t>
      </w:r>
    </w:p>
    <w:p>
      <w:pPr>
        <w:pStyle w:val="11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本项目油品挥发废气排放源主要为卸油过程产生的无组织废气（以非甲烷总烃计）。卸油损耗根据《散装液态石油产品损耗》（GB11085-89）计算，计算参数见表2-</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w:t>
      </w:r>
    </w:p>
    <w:p>
      <w:pPr>
        <w:pStyle w:val="135"/>
        <w:tabs>
          <w:tab w:val="clear" w:pos="5400"/>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rPr>
        <w:t>-</w:t>
      </w:r>
      <w:r>
        <w:rPr>
          <w:rFonts w:hint="eastAsia" w:ascii="Times New Roman" w:cs="Times New Roman"/>
          <w:color w:val="auto"/>
          <w:highlight w:val="none"/>
          <w:lang w:val="en-US" w:eastAsia="zh-CN"/>
        </w:rPr>
        <w:t>6</w:t>
      </w:r>
      <w:r>
        <w:rPr>
          <w:rFonts w:hint="default" w:ascii="Times New Roman" w:hAnsi="Times New Roman" w:cs="Times New Roman"/>
          <w:color w:val="auto"/>
          <w:highlight w:val="none"/>
        </w:rPr>
        <w:t xml:space="preserve"> 卸车（船）损耗率（%）</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63"/>
        <w:gridCol w:w="1259"/>
        <w:gridCol w:w="1767"/>
        <w:gridCol w:w="1943"/>
        <w:gridCol w:w="15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75" w:type="dxa"/>
            <w:vMerge w:val="restart"/>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地区</w:t>
            </w:r>
          </w:p>
        </w:tc>
        <w:tc>
          <w:tcPr>
            <w:tcW w:w="2428" w:type="dxa"/>
            <w:gridSpan w:val="2"/>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汽油</w:t>
            </w:r>
          </w:p>
        </w:tc>
        <w:tc>
          <w:tcPr>
            <w:tcW w:w="1559"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煤、柴油</w:t>
            </w:r>
          </w:p>
        </w:tc>
        <w:tc>
          <w:tcPr>
            <w:tcW w:w="1276"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润滑油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75"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c>
          <w:tcPr>
            <w:tcW w:w="1010"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浮顶罐</w:t>
            </w:r>
          </w:p>
        </w:tc>
        <w:tc>
          <w:tcPr>
            <w:tcW w:w="1418"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其他罐</w:t>
            </w:r>
          </w:p>
        </w:tc>
        <w:tc>
          <w:tcPr>
            <w:tcW w:w="2835" w:type="dxa"/>
            <w:gridSpan w:val="2"/>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不分罐型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75"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A类</w:t>
            </w:r>
          </w:p>
        </w:tc>
        <w:tc>
          <w:tcPr>
            <w:tcW w:w="1010" w:type="dxa"/>
            <w:vMerge w:val="restart"/>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c>
          <w:tcPr>
            <w:tcW w:w="1418"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0.23</w:t>
            </w:r>
          </w:p>
        </w:tc>
        <w:tc>
          <w:tcPr>
            <w:tcW w:w="1559" w:type="dxa"/>
            <w:vMerge w:val="restart"/>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c>
          <w:tcPr>
            <w:tcW w:w="1276" w:type="dxa"/>
            <w:vMerge w:val="restart"/>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75"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B类</w:t>
            </w:r>
          </w:p>
        </w:tc>
        <w:tc>
          <w:tcPr>
            <w:tcW w:w="1010"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c>
          <w:tcPr>
            <w:tcW w:w="1418"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0.20</w:t>
            </w:r>
          </w:p>
        </w:tc>
        <w:tc>
          <w:tcPr>
            <w:tcW w:w="1559"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c>
          <w:tcPr>
            <w:tcW w:w="1276"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75"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C类</w:t>
            </w:r>
          </w:p>
        </w:tc>
        <w:tc>
          <w:tcPr>
            <w:tcW w:w="1010"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c>
          <w:tcPr>
            <w:tcW w:w="1418" w:type="dxa"/>
            <w:tcBorders>
              <w:tl2br w:val="nil"/>
              <w:tr2bl w:val="nil"/>
            </w:tcBorders>
            <w:noWrap w:val="0"/>
            <w:vAlign w:val="center"/>
          </w:tcPr>
          <w:p>
            <w:pPr>
              <w:pStyle w:val="19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0.13</w:t>
            </w:r>
          </w:p>
        </w:tc>
        <w:tc>
          <w:tcPr>
            <w:tcW w:w="1559"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c>
          <w:tcPr>
            <w:tcW w:w="1276" w:type="dxa"/>
            <w:vMerge w:val="continue"/>
            <w:tcBorders>
              <w:tl2br w:val="nil"/>
              <w:tr2bl w:val="nil"/>
            </w:tcBorders>
            <w:noWrap w:val="0"/>
            <w:vAlign w:val="center"/>
          </w:tcPr>
          <w:p>
            <w:pPr>
              <w:pStyle w:val="195"/>
              <w:bidi w:val="0"/>
              <w:rPr>
                <w:rFonts w:hint="default" w:ascii="Times New Roman" w:hAnsi="Times New Roman" w:cs="Times New Roman"/>
                <w:color w:val="auto"/>
                <w:highlight w:val="none"/>
              </w:rPr>
            </w:pPr>
          </w:p>
        </w:tc>
      </w:tr>
    </w:tbl>
    <w:p>
      <w:pPr>
        <w:pStyle w:val="117"/>
        <w:bidi w:val="0"/>
        <w:spacing w:line="240" w:lineRule="auto"/>
        <w:ind w:left="0" w:leftChars="0" w:firstLine="0" w:firstLineChars="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注：其他罐包括立式金属罐、隐蔽罐和卧式罐。C类地区：辽宁、吉林、黑龙江、内蒙古自治区、新疆维吾尔自治区、西藏自治区。</w:t>
      </w:r>
    </w:p>
    <w:p>
      <w:pPr>
        <w:pStyle w:val="117"/>
        <w:bidi w:val="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highlight w:val="none"/>
          <w:lang w:val="en-US" w:eastAsia="zh-CN"/>
        </w:rPr>
        <w:t>本项目柴油消耗量为</w:t>
      </w:r>
      <w:r>
        <w:rPr>
          <w:rFonts w:hint="eastAsia" w:cs="Times New Roman"/>
          <w:color w:val="auto"/>
          <w:highlight w:val="none"/>
          <w:lang w:val="en-US" w:eastAsia="zh-CN"/>
        </w:rPr>
        <w:t>300</w:t>
      </w:r>
      <w:r>
        <w:rPr>
          <w:rFonts w:hint="default" w:ascii="Times New Roman" w:hAnsi="Times New Roman" w:cs="Times New Roman"/>
          <w:color w:val="auto"/>
          <w:highlight w:val="none"/>
          <w:lang w:val="en-US" w:eastAsia="zh-CN"/>
        </w:rPr>
        <w:t>t/a，单次卸油时间约为</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h，每年约卸油</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次，则本项目柴油储罐非甲烷总烃量为0.</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t/a，</w:t>
      </w:r>
      <w:r>
        <w:rPr>
          <w:rFonts w:hint="eastAsia" w:cs="Times New Roman"/>
          <w:color w:val="auto"/>
          <w:highlight w:val="none"/>
          <w:lang w:val="en-US" w:eastAsia="zh-CN"/>
        </w:rPr>
        <w:t>0.3</w:t>
      </w:r>
      <w:r>
        <w:rPr>
          <w:rFonts w:hint="default" w:ascii="Times New Roman" w:hAnsi="Times New Roman" w:cs="Times New Roman"/>
          <w:color w:val="auto"/>
          <w:highlight w:val="none"/>
          <w:lang w:val="en-US" w:eastAsia="zh-CN"/>
        </w:rPr>
        <w:t>kg/h</w:t>
      </w:r>
      <w:r>
        <w:rPr>
          <w:rFonts w:hint="default"/>
          <w:color w:val="auto"/>
          <w:lang w:val="en-US" w:eastAsia="zh-CN"/>
        </w:rPr>
        <w:t>。</w:t>
      </w:r>
    </w:p>
    <w:p>
      <w:pPr>
        <w:pStyle w:val="135"/>
        <w:tabs>
          <w:tab w:val="clear" w:pos="5400"/>
        </w:tabs>
        <w:ind w:firstLine="420"/>
        <w:rPr>
          <w:color w:val="auto"/>
          <w:highlight w:val="none"/>
        </w:rPr>
      </w:pPr>
      <w:r>
        <w:rPr>
          <w:color w:val="auto"/>
          <w:highlight w:val="none"/>
        </w:rPr>
        <w:t>表</w:t>
      </w:r>
      <w:r>
        <w:rPr>
          <w:rFonts w:hint="eastAsia"/>
          <w:color w:val="auto"/>
          <w:highlight w:val="none"/>
          <w:lang w:val="en-US" w:eastAsia="zh-CN"/>
        </w:rPr>
        <w:t>2-7</w:t>
      </w:r>
      <w:r>
        <w:rPr>
          <w:color w:val="auto"/>
          <w:highlight w:val="none"/>
        </w:rPr>
        <w:t xml:space="preserve"> </w:t>
      </w:r>
      <w:r>
        <w:rPr>
          <w:rFonts w:eastAsia="宋体"/>
          <w:b/>
          <w:color w:val="auto"/>
          <w:szCs w:val="24"/>
        </w:rPr>
        <w:t>废气污染源强核算结果及相关参数一览表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578"/>
        <w:gridCol w:w="1502"/>
        <w:gridCol w:w="794"/>
        <w:gridCol w:w="805"/>
        <w:gridCol w:w="805"/>
        <w:gridCol w:w="1683"/>
        <w:gridCol w:w="1863"/>
        <w:gridCol w:w="933"/>
        <w:gridCol w:w="797"/>
        <w:gridCol w:w="1204"/>
        <w:gridCol w:w="1499"/>
        <w:gridCol w:w="1098"/>
        <w:gridCol w:w="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815" w:hRule="atLeast"/>
          <w:jc w:val="center"/>
        </w:trPr>
        <w:tc>
          <w:tcPr>
            <w:tcW w:w="205" w:type="pct"/>
            <w:vMerge w:val="restart"/>
            <w:tcBorders>
              <w:tl2br w:val="nil"/>
              <w:tr2bl w:val="nil"/>
            </w:tcBorders>
            <w:vAlign w:val="center"/>
          </w:tcPr>
          <w:p>
            <w:pPr>
              <w:contextualSpacing/>
              <w:jc w:val="center"/>
              <w:rPr>
                <w:color w:val="auto"/>
                <w:sz w:val="18"/>
                <w:szCs w:val="18"/>
              </w:rPr>
            </w:pPr>
            <w:r>
              <w:rPr>
                <w:rFonts w:hAnsi="宋体"/>
                <w:color w:val="auto"/>
                <w:sz w:val="18"/>
                <w:szCs w:val="18"/>
              </w:rPr>
              <w:t>工序</w:t>
            </w:r>
          </w:p>
        </w:tc>
        <w:tc>
          <w:tcPr>
            <w:tcW w:w="204" w:type="pct"/>
            <w:vMerge w:val="restart"/>
            <w:tcBorders>
              <w:tl2br w:val="nil"/>
              <w:tr2bl w:val="nil"/>
            </w:tcBorders>
            <w:vAlign w:val="center"/>
          </w:tcPr>
          <w:p>
            <w:pPr>
              <w:contextualSpacing/>
              <w:jc w:val="center"/>
              <w:rPr>
                <w:color w:val="auto"/>
                <w:sz w:val="18"/>
                <w:szCs w:val="18"/>
              </w:rPr>
            </w:pPr>
            <w:r>
              <w:rPr>
                <w:rFonts w:hAnsi="宋体"/>
                <w:color w:val="auto"/>
                <w:sz w:val="18"/>
                <w:szCs w:val="18"/>
              </w:rPr>
              <w:t>装置</w:t>
            </w:r>
          </w:p>
        </w:tc>
        <w:tc>
          <w:tcPr>
            <w:tcW w:w="530" w:type="pct"/>
            <w:vMerge w:val="restart"/>
            <w:tcBorders>
              <w:tl2br w:val="nil"/>
              <w:tr2bl w:val="nil"/>
            </w:tcBorders>
            <w:vAlign w:val="center"/>
          </w:tcPr>
          <w:p>
            <w:pPr>
              <w:contextualSpacing/>
              <w:jc w:val="center"/>
              <w:rPr>
                <w:color w:val="auto"/>
                <w:sz w:val="18"/>
                <w:szCs w:val="18"/>
              </w:rPr>
            </w:pPr>
            <w:r>
              <w:rPr>
                <w:rFonts w:hAnsi="宋体"/>
                <w:color w:val="auto"/>
                <w:sz w:val="18"/>
                <w:szCs w:val="18"/>
              </w:rPr>
              <w:t>污染源</w:t>
            </w:r>
          </w:p>
        </w:tc>
        <w:tc>
          <w:tcPr>
            <w:tcW w:w="280" w:type="pct"/>
            <w:vMerge w:val="restart"/>
            <w:tcBorders>
              <w:tl2br w:val="nil"/>
              <w:tr2bl w:val="nil"/>
            </w:tcBorders>
            <w:vAlign w:val="center"/>
          </w:tcPr>
          <w:p>
            <w:pPr>
              <w:contextualSpacing/>
              <w:jc w:val="center"/>
              <w:rPr>
                <w:color w:val="auto"/>
                <w:sz w:val="18"/>
                <w:szCs w:val="18"/>
              </w:rPr>
            </w:pPr>
            <w:r>
              <w:rPr>
                <w:rFonts w:hAnsi="宋体"/>
                <w:color w:val="auto"/>
                <w:sz w:val="18"/>
                <w:szCs w:val="18"/>
              </w:rPr>
              <w:t>污染物</w:t>
            </w:r>
          </w:p>
        </w:tc>
        <w:tc>
          <w:tcPr>
            <w:tcW w:w="1162" w:type="pct"/>
            <w:gridSpan w:val="3"/>
            <w:tcBorders>
              <w:tl2br w:val="nil"/>
              <w:tr2bl w:val="nil"/>
            </w:tcBorders>
            <w:vAlign w:val="center"/>
          </w:tcPr>
          <w:p>
            <w:pPr>
              <w:contextualSpacing/>
              <w:jc w:val="center"/>
              <w:rPr>
                <w:color w:val="auto"/>
                <w:sz w:val="18"/>
                <w:szCs w:val="18"/>
              </w:rPr>
            </w:pPr>
            <w:r>
              <w:rPr>
                <w:rFonts w:hAnsi="宋体"/>
                <w:color w:val="auto"/>
                <w:sz w:val="18"/>
                <w:szCs w:val="18"/>
              </w:rPr>
              <w:t>污染物产生</w:t>
            </w:r>
          </w:p>
        </w:tc>
        <w:tc>
          <w:tcPr>
            <w:tcW w:w="987" w:type="pct"/>
            <w:gridSpan w:val="2"/>
            <w:tcBorders>
              <w:tl2br w:val="nil"/>
              <w:tr2bl w:val="nil"/>
            </w:tcBorders>
            <w:vAlign w:val="center"/>
          </w:tcPr>
          <w:p>
            <w:pPr>
              <w:contextualSpacing/>
              <w:jc w:val="center"/>
              <w:rPr>
                <w:color w:val="auto"/>
                <w:sz w:val="18"/>
                <w:szCs w:val="18"/>
              </w:rPr>
            </w:pPr>
            <w:r>
              <w:rPr>
                <w:rFonts w:hAnsi="宋体"/>
                <w:color w:val="auto"/>
                <w:sz w:val="18"/>
                <w:szCs w:val="18"/>
              </w:rPr>
              <w:t>治理措施</w:t>
            </w:r>
          </w:p>
        </w:tc>
        <w:tc>
          <w:tcPr>
            <w:tcW w:w="1235" w:type="pct"/>
            <w:gridSpan w:val="3"/>
            <w:tcBorders>
              <w:tl2br w:val="nil"/>
              <w:tr2bl w:val="nil"/>
            </w:tcBorders>
            <w:vAlign w:val="center"/>
          </w:tcPr>
          <w:p>
            <w:pPr>
              <w:contextualSpacing/>
              <w:jc w:val="center"/>
              <w:rPr>
                <w:color w:val="auto"/>
                <w:sz w:val="18"/>
                <w:szCs w:val="18"/>
              </w:rPr>
            </w:pPr>
            <w:r>
              <w:rPr>
                <w:rFonts w:hAnsi="宋体"/>
                <w:color w:val="auto"/>
                <w:sz w:val="18"/>
                <w:szCs w:val="18"/>
              </w:rPr>
              <w:t>污染物排放</w:t>
            </w:r>
          </w:p>
        </w:tc>
        <w:tc>
          <w:tcPr>
            <w:tcW w:w="387" w:type="pct"/>
            <w:vMerge w:val="restart"/>
            <w:tcBorders>
              <w:tl2br w:val="nil"/>
              <w:tr2bl w:val="nil"/>
            </w:tcBorders>
            <w:vAlign w:val="center"/>
          </w:tcPr>
          <w:p>
            <w:pPr>
              <w:contextualSpacing/>
              <w:jc w:val="center"/>
              <w:rPr>
                <w:color w:val="auto"/>
                <w:sz w:val="18"/>
                <w:szCs w:val="18"/>
              </w:rPr>
            </w:pPr>
            <w:r>
              <w:rPr>
                <w:rFonts w:hAnsi="宋体"/>
                <w:color w:val="auto"/>
                <w:spacing w:val="-20"/>
                <w:sz w:val="18"/>
                <w:szCs w:val="18"/>
              </w:rPr>
              <w:t>工作时间</w:t>
            </w:r>
            <w:r>
              <w:rPr>
                <w:color w:val="auto"/>
                <w:spacing w:val="-20"/>
                <w:sz w:val="18"/>
                <w:szCs w:val="18"/>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continue"/>
            <w:tcBorders>
              <w:tl2br w:val="nil"/>
              <w:tr2bl w:val="nil"/>
            </w:tcBorders>
            <w:vAlign w:val="center"/>
          </w:tcPr>
          <w:p>
            <w:pPr>
              <w:contextualSpacing/>
              <w:jc w:val="center"/>
              <w:rPr>
                <w:color w:val="auto"/>
                <w:sz w:val="18"/>
                <w:szCs w:val="18"/>
              </w:rPr>
            </w:pPr>
          </w:p>
        </w:tc>
        <w:tc>
          <w:tcPr>
            <w:tcW w:w="530" w:type="pct"/>
            <w:vMerge w:val="continue"/>
            <w:tcBorders>
              <w:tl2br w:val="nil"/>
              <w:tr2bl w:val="nil"/>
            </w:tcBorders>
            <w:vAlign w:val="center"/>
          </w:tcPr>
          <w:p>
            <w:pPr>
              <w:contextualSpacing/>
              <w:jc w:val="center"/>
              <w:rPr>
                <w:color w:val="auto"/>
                <w:sz w:val="18"/>
                <w:szCs w:val="18"/>
              </w:rPr>
            </w:pPr>
          </w:p>
        </w:tc>
        <w:tc>
          <w:tcPr>
            <w:tcW w:w="280" w:type="pct"/>
            <w:vMerge w:val="continue"/>
            <w:tcBorders>
              <w:tl2br w:val="nil"/>
              <w:tr2bl w:val="nil"/>
            </w:tcBorders>
            <w:vAlign w:val="center"/>
          </w:tcPr>
          <w:p>
            <w:pPr>
              <w:contextualSpacing/>
              <w:jc w:val="center"/>
              <w:rPr>
                <w:color w:val="auto"/>
                <w:sz w:val="18"/>
                <w:szCs w:val="18"/>
              </w:rPr>
            </w:pPr>
          </w:p>
        </w:tc>
        <w:tc>
          <w:tcPr>
            <w:tcW w:w="284" w:type="pct"/>
            <w:tcBorders>
              <w:tl2br w:val="nil"/>
              <w:tr2bl w:val="nil"/>
            </w:tcBorders>
            <w:vAlign w:val="center"/>
          </w:tcPr>
          <w:p>
            <w:pPr>
              <w:contextualSpacing/>
              <w:jc w:val="center"/>
              <w:rPr>
                <w:color w:val="auto"/>
                <w:sz w:val="18"/>
                <w:szCs w:val="18"/>
              </w:rPr>
            </w:pPr>
            <w:r>
              <w:rPr>
                <w:rFonts w:hAnsi="宋体"/>
                <w:color w:val="auto"/>
                <w:sz w:val="18"/>
                <w:szCs w:val="18"/>
              </w:rPr>
              <w:t>废气产生量</w:t>
            </w:r>
            <w:r>
              <w:rPr>
                <w:color w:val="auto"/>
                <w:sz w:val="18"/>
                <w:szCs w:val="18"/>
              </w:rPr>
              <w:t>m</w:t>
            </w:r>
            <w:r>
              <w:rPr>
                <w:color w:val="auto"/>
                <w:sz w:val="18"/>
                <w:szCs w:val="18"/>
                <w:vertAlign w:val="superscript"/>
              </w:rPr>
              <w:t>3</w:t>
            </w:r>
            <w:r>
              <w:rPr>
                <w:color w:val="auto"/>
                <w:sz w:val="18"/>
                <w:szCs w:val="18"/>
              </w:rPr>
              <w:t>/h</w:t>
            </w:r>
          </w:p>
        </w:tc>
        <w:tc>
          <w:tcPr>
            <w:tcW w:w="284" w:type="pct"/>
            <w:tcBorders>
              <w:tl2br w:val="nil"/>
              <w:tr2bl w:val="nil"/>
            </w:tcBorders>
            <w:vAlign w:val="center"/>
          </w:tcPr>
          <w:p>
            <w:pPr>
              <w:contextualSpacing/>
              <w:jc w:val="center"/>
              <w:rPr>
                <w:color w:val="auto"/>
                <w:sz w:val="18"/>
                <w:szCs w:val="18"/>
              </w:rPr>
            </w:pPr>
            <w:r>
              <w:rPr>
                <w:rFonts w:hAnsi="宋体"/>
                <w:color w:val="auto"/>
                <w:sz w:val="18"/>
                <w:szCs w:val="18"/>
              </w:rPr>
              <w:t>产生浓度</w:t>
            </w:r>
            <w:r>
              <w:rPr>
                <w:color w:val="auto"/>
                <w:sz w:val="18"/>
                <w:szCs w:val="18"/>
              </w:rPr>
              <w:t>mg/m</w:t>
            </w:r>
            <w:r>
              <w:rPr>
                <w:color w:val="auto"/>
                <w:sz w:val="18"/>
                <w:szCs w:val="18"/>
                <w:vertAlign w:val="superscript"/>
              </w:rPr>
              <w:t>3</w:t>
            </w:r>
          </w:p>
        </w:tc>
        <w:tc>
          <w:tcPr>
            <w:tcW w:w="594" w:type="pct"/>
            <w:tcBorders>
              <w:tl2br w:val="nil"/>
              <w:tr2bl w:val="nil"/>
            </w:tcBorders>
            <w:vAlign w:val="center"/>
          </w:tcPr>
          <w:p>
            <w:pPr>
              <w:contextualSpacing/>
              <w:jc w:val="center"/>
              <w:rPr>
                <w:color w:val="auto"/>
                <w:sz w:val="18"/>
                <w:szCs w:val="18"/>
              </w:rPr>
            </w:pPr>
            <w:r>
              <w:rPr>
                <w:rFonts w:hAnsi="宋体"/>
                <w:color w:val="auto"/>
                <w:sz w:val="18"/>
                <w:szCs w:val="18"/>
              </w:rPr>
              <w:t>产生量</w:t>
            </w:r>
            <w:r>
              <w:rPr>
                <w:color w:val="auto"/>
                <w:sz w:val="18"/>
                <w:szCs w:val="18"/>
              </w:rPr>
              <w:t>kg/h</w:t>
            </w:r>
          </w:p>
        </w:tc>
        <w:tc>
          <w:tcPr>
            <w:tcW w:w="657" w:type="pct"/>
            <w:tcBorders>
              <w:tl2br w:val="nil"/>
              <w:tr2bl w:val="nil"/>
            </w:tcBorders>
            <w:vAlign w:val="center"/>
          </w:tcPr>
          <w:p>
            <w:pPr>
              <w:jc w:val="center"/>
              <w:rPr>
                <w:color w:val="auto"/>
                <w:sz w:val="18"/>
                <w:szCs w:val="18"/>
              </w:rPr>
            </w:pPr>
            <w:r>
              <w:rPr>
                <w:rFonts w:hAnsi="宋体"/>
                <w:color w:val="auto"/>
                <w:sz w:val="18"/>
                <w:szCs w:val="18"/>
              </w:rPr>
              <w:t>处理措施</w:t>
            </w:r>
          </w:p>
        </w:tc>
        <w:tc>
          <w:tcPr>
            <w:tcW w:w="329" w:type="pct"/>
            <w:tcBorders>
              <w:tl2br w:val="nil"/>
              <w:tr2bl w:val="nil"/>
            </w:tcBorders>
            <w:vAlign w:val="center"/>
          </w:tcPr>
          <w:p>
            <w:pPr>
              <w:jc w:val="center"/>
              <w:rPr>
                <w:color w:val="auto"/>
                <w:sz w:val="18"/>
                <w:szCs w:val="18"/>
              </w:rPr>
            </w:pPr>
            <w:r>
              <w:rPr>
                <w:rFonts w:hAnsi="宋体"/>
                <w:color w:val="auto"/>
                <w:sz w:val="18"/>
                <w:szCs w:val="18"/>
              </w:rPr>
              <w:t>处理</w:t>
            </w:r>
          </w:p>
          <w:p>
            <w:pPr>
              <w:jc w:val="center"/>
              <w:rPr>
                <w:color w:val="auto"/>
                <w:sz w:val="18"/>
                <w:szCs w:val="18"/>
              </w:rPr>
            </w:pPr>
            <w:r>
              <w:rPr>
                <w:rFonts w:hAnsi="宋体"/>
                <w:color w:val="auto"/>
                <w:sz w:val="18"/>
                <w:szCs w:val="18"/>
              </w:rPr>
              <w:t>效率</w:t>
            </w:r>
          </w:p>
        </w:tc>
        <w:tc>
          <w:tcPr>
            <w:tcW w:w="281" w:type="pct"/>
            <w:tcBorders>
              <w:tl2br w:val="nil"/>
              <w:tr2bl w:val="nil"/>
            </w:tcBorders>
            <w:vAlign w:val="center"/>
          </w:tcPr>
          <w:p>
            <w:pPr>
              <w:jc w:val="center"/>
              <w:rPr>
                <w:color w:val="auto"/>
                <w:sz w:val="18"/>
                <w:szCs w:val="18"/>
              </w:rPr>
            </w:pPr>
            <w:r>
              <w:rPr>
                <w:rFonts w:hAnsi="宋体"/>
                <w:color w:val="auto"/>
                <w:sz w:val="18"/>
                <w:szCs w:val="18"/>
              </w:rPr>
              <w:t>废气排放量</w:t>
            </w:r>
          </w:p>
          <w:p>
            <w:pPr>
              <w:contextualSpacing/>
              <w:jc w:val="center"/>
              <w:rPr>
                <w:color w:val="auto"/>
                <w:sz w:val="18"/>
                <w:szCs w:val="18"/>
              </w:rPr>
            </w:pPr>
            <w:r>
              <w:rPr>
                <w:color w:val="auto"/>
                <w:sz w:val="18"/>
                <w:szCs w:val="18"/>
              </w:rPr>
              <w:t>m</w:t>
            </w:r>
            <w:r>
              <w:rPr>
                <w:color w:val="auto"/>
                <w:sz w:val="18"/>
                <w:szCs w:val="18"/>
                <w:vertAlign w:val="superscript"/>
              </w:rPr>
              <w:t>3</w:t>
            </w:r>
            <w:r>
              <w:rPr>
                <w:color w:val="auto"/>
                <w:sz w:val="18"/>
                <w:szCs w:val="18"/>
              </w:rPr>
              <w:t>/h</w:t>
            </w:r>
          </w:p>
        </w:tc>
        <w:tc>
          <w:tcPr>
            <w:tcW w:w="425" w:type="pct"/>
            <w:tcBorders>
              <w:tl2br w:val="nil"/>
              <w:tr2bl w:val="nil"/>
            </w:tcBorders>
            <w:vAlign w:val="center"/>
          </w:tcPr>
          <w:p>
            <w:pPr>
              <w:contextualSpacing/>
              <w:jc w:val="center"/>
              <w:rPr>
                <w:color w:val="auto"/>
                <w:sz w:val="18"/>
                <w:szCs w:val="18"/>
              </w:rPr>
            </w:pPr>
            <w:r>
              <w:rPr>
                <w:rFonts w:hAnsi="宋体"/>
                <w:color w:val="auto"/>
                <w:sz w:val="18"/>
                <w:szCs w:val="18"/>
              </w:rPr>
              <w:t>排放浓度</w:t>
            </w:r>
            <w:r>
              <w:rPr>
                <w:color w:val="auto"/>
                <w:sz w:val="18"/>
                <w:szCs w:val="18"/>
              </w:rPr>
              <w:t>mg/m</w:t>
            </w:r>
            <w:r>
              <w:rPr>
                <w:color w:val="auto"/>
                <w:sz w:val="18"/>
                <w:szCs w:val="18"/>
                <w:vertAlign w:val="superscript"/>
              </w:rPr>
              <w:t>3</w:t>
            </w:r>
          </w:p>
        </w:tc>
        <w:tc>
          <w:tcPr>
            <w:tcW w:w="529" w:type="pct"/>
            <w:tcBorders>
              <w:tl2br w:val="nil"/>
              <w:tr2bl w:val="nil"/>
            </w:tcBorders>
            <w:vAlign w:val="center"/>
          </w:tcPr>
          <w:p>
            <w:pPr>
              <w:contextualSpacing/>
              <w:jc w:val="center"/>
              <w:rPr>
                <w:color w:val="auto"/>
                <w:sz w:val="18"/>
                <w:szCs w:val="18"/>
              </w:rPr>
            </w:pPr>
            <w:r>
              <w:rPr>
                <w:rFonts w:hAnsi="宋体"/>
                <w:color w:val="auto"/>
                <w:sz w:val="18"/>
                <w:szCs w:val="18"/>
              </w:rPr>
              <w:t>排放量</w:t>
            </w:r>
            <w:r>
              <w:rPr>
                <w:color w:val="auto"/>
                <w:sz w:val="18"/>
                <w:szCs w:val="18"/>
              </w:rPr>
              <w:t>kg/h</w:t>
            </w:r>
          </w:p>
        </w:tc>
        <w:tc>
          <w:tcPr>
            <w:tcW w:w="387" w:type="pct"/>
            <w:vMerge w:val="continue"/>
            <w:tcBorders>
              <w:tl2br w:val="nil"/>
              <w:tr2bl w:val="nil"/>
            </w:tcBorders>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restart"/>
            <w:tcBorders>
              <w:tl2br w:val="nil"/>
              <w:tr2bl w:val="nil"/>
            </w:tcBorders>
            <w:vAlign w:val="center"/>
          </w:tcPr>
          <w:p>
            <w:pPr>
              <w:contextualSpacing/>
              <w:rPr>
                <w:color w:val="auto"/>
                <w:sz w:val="18"/>
                <w:szCs w:val="18"/>
              </w:rPr>
            </w:pPr>
            <w:r>
              <w:rPr>
                <w:rFonts w:hAnsi="宋体"/>
                <w:color w:val="auto"/>
                <w:sz w:val="18"/>
                <w:szCs w:val="18"/>
              </w:rPr>
              <w:t>沥青搅拌站</w:t>
            </w:r>
          </w:p>
        </w:tc>
        <w:tc>
          <w:tcPr>
            <w:tcW w:w="204" w:type="pct"/>
            <w:vMerge w:val="restart"/>
            <w:tcBorders>
              <w:tl2br w:val="nil"/>
              <w:tr2bl w:val="nil"/>
            </w:tcBorders>
            <w:vAlign w:val="center"/>
          </w:tcPr>
          <w:p>
            <w:pPr>
              <w:contextualSpacing/>
              <w:jc w:val="center"/>
              <w:rPr>
                <w:color w:val="auto"/>
                <w:spacing w:val="-14"/>
                <w:sz w:val="18"/>
                <w:szCs w:val="18"/>
              </w:rPr>
            </w:pPr>
            <w:r>
              <w:rPr>
                <w:rFonts w:hAnsi="宋体"/>
                <w:color w:val="auto"/>
                <w:spacing w:val="-14"/>
                <w:sz w:val="18"/>
                <w:szCs w:val="18"/>
                <w:highlight w:val="none"/>
              </w:rPr>
              <w:t>燃烧器</w:t>
            </w:r>
          </w:p>
        </w:tc>
        <w:tc>
          <w:tcPr>
            <w:tcW w:w="530" w:type="pct"/>
            <w:vMerge w:val="restart"/>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eastAsia"/>
                <w:color w:val="auto"/>
                <w:sz w:val="18"/>
                <w:szCs w:val="18"/>
                <w:lang w:val="en-US" w:eastAsia="zh-CN"/>
              </w:rPr>
              <w:t>拌合系统粉尘</w:t>
            </w:r>
          </w:p>
          <w:p>
            <w:pPr>
              <w:contextualSpacing/>
              <w:jc w:val="center"/>
              <w:rPr>
                <w:color w:val="auto"/>
                <w:sz w:val="18"/>
                <w:szCs w:val="18"/>
              </w:rPr>
            </w:pPr>
            <w:r>
              <w:rPr>
                <w:color w:val="auto"/>
                <w:sz w:val="18"/>
                <w:szCs w:val="18"/>
              </w:rPr>
              <w:t>（</w:t>
            </w:r>
            <w:r>
              <w:rPr>
                <w:rFonts w:hint="eastAsia"/>
                <w:color w:val="auto"/>
                <w:sz w:val="18"/>
                <w:szCs w:val="18"/>
              </w:rPr>
              <w:t>DA001</w:t>
            </w:r>
            <w:r>
              <w:rPr>
                <w:color w:val="auto"/>
                <w:sz w:val="18"/>
                <w:szCs w:val="18"/>
              </w:rPr>
              <w:t>）</w:t>
            </w:r>
          </w:p>
        </w:tc>
        <w:tc>
          <w:tcPr>
            <w:tcW w:w="280" w:type="pct"/>
            <w:tcBorders>
              <w:tl2br w:val="nil"/>
              <w:tr2bl w:val="nil"/>
            </w:tcBorders>
            <w:shd w:val="clear" w:color="auto" w:fill="auto"/>
            <w:vAlign w:val="center"/>
          </w:tcPr>
          <w:p>
            <w:pPr>
              <w:jc w:val="center"/>
              <w:rPr>
                <w:color w:val="auto"/>
                <w:sz w:val="18"/>
                <w:szCs w:val="18"/>
              </w:rPr>
            </w:pPr>
            <w:r>
              <w:rPr>
                <w:rFonts w:hAnsi="宋体"/>
                <w:color w:val="auto"/>
                <w:sz w:val="18"/>
                <w:szCs w:val="18"/>
              </w:rPr>
              <w:t>颗粒物</w:t>
            </w:r>
          </w:p>
        </w:tc>
        <w:tc>
          <w:tcPr>
            <w:tcW w:w="284" w:type="pct"/>
            <w:vMerge w:val="restart"/>
            <w:tcBorders>
              <w:tl2br w:val="nil"/>
              <w:tr2bl w:val="nil"/>
            </w:tcBorders>
            <w:shd w:val="clear" w:color="auto" w:fill="FFFFFF"/>
            <w:vAlign w:val="center"/>
          </w:tcPr>
          <w:p>
            <w:pPr>
              <w:shd w:val="clear" w:color="auto" w:fill="FFFFFF"/>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2225.5</w:t>
            </w:r>
          </w:p>
        </w:tc>
        <w:tc>
          <w:tcPr>
            <w:tcW w:w="284" w:type="pct"/>
            <w:tcBorders>
              <w:tl2br w:val="nil"/>
              <w:tr2bl w:val="nil"/>
            </w:tcBorders>
            <w:vAlign w:val="center"/>
          </w:tcPr>
          <w:p>
            <w:pPr>
              <w:pStyle w:val="195"/>
              <w:ind w:left="0" w:leftChars="0" w:firstLine="0" w:firstLineChars="0"/>
              <w:rPr>
                <w:rFonts w:hint="eastAsia" w:eastAsia="宋体"/>
                <w:color w:val="auto"/>
                <w:sz w:val="18"/>
                <w:szCs w:val="18"/>
                <w:lang w:eastAsia="zh-CN"/>
              </w:rPr>
            </w:pPr>
            <w:r>
              <w:rPr>
                <w:rFonts w:hint="eastAsia"/>
                <w:color w:val="auto"/>
                <w:highlight w:val="none"/>
              </w:rPr>
              <w:t>14.603</w:t>
            </w:r>
          </w:p>
        </w:tc>
        <w:tc>
          <w:tcPr>
            <w:tcW w:w="594" w:type="pct"/>
            <w:tcBorders>
              <w:tl2br w:val="nil"/>
              <w:tr2bl w:val="nil"/>
            </w:tcBorders>
            <w:vAlign w:val="center"/>
          </w:tcPr>
          <w:p>
            <w:pPr>
              <w:pStyle w:val="195"/>
              <w:ind w:left="0" w:leftChars="0" w:firstLine="0" w:firstLineChars="0"/>
              <w:rPr>
                <w:color w:val="auto"/>
                <w:sz w:val="18"/>
                <w:szCs w:val="18"/>
              </w:rPr>
            </w:pPr>
            <w:r>
              <w:rPr>
                <w:rFonts w:hint="eastAsia" w:eastAsia="宋体"/>
                <w:color w:val="auto"/>
                <w:highlight w:val="none"/>
                <w:lang w:eastAsia="zh-CN"/>
              </w:rPr>
              <w:t>0.0325</w:t>
            </w:r>
          </w:p>
        </w:tc>
        <w:tc>
          <w:tcPr>
            <w:tcW w:w="657" w:type="pct"/>
            <w:vMerge w:val="restart"/>
            <w:tcBorders>
              <w:tl2br w:val="nil"/>
              <w:tr2bl w:val="nil"/>
            </w:tcBorders>
            <w:vAlign w:val="center"/>
          </w:tcPr>
          <w:p>
            <w:pPr>
              <w:contextualSpacing/>
              <w:jc w:val="center"/>
              <w:rPr>
                <w:rFonts w:hAnsi="宋体"/>
                <w:color w:val="auto"/>
                <w:sz w:val="18"/>
                <w:szCs w:val="18"/>
              </w:rPr>
            </w:pPr>
            <w:r>
              <w:rPr>
                <w:rFonts w:hint="eastAsia" w:hAnsi="宋体"/>
                <w:color w:val="auto"/>
                <w:sz w:val="18"/>
                <w:szCs w:val="18"/>
              </w:rPr>
              <w:t>碎石筛分、烘干废气、热料仓落料废气、矿粉筒仓装卸废气、冷料仓上料废气、燃烧器烟气经除尘系统（</w:t>
            </w:r>
            <w:r>
              <w:rPr>
                <w:rFonts w:hint="eastAsia" w:hAnsi="宋体"/>
                <w:color w:val="auto"/>
                <w:sz w:val="18"/>
                <w:szCs w:val="18"/>
                <w:lang w:val="en-US" w:eastAsia="zh-CN"/>
              </w:rPr>
              <w:t>重力</w:t>
            </w:r>
            <w:r>
              <w:rPr>
                <w:rFonts w:hint="eastAsia" w:hAnsi="宋体"/>
                <w:color w:val="auto"/>
                <w:sz w:val="18"/>
                <w:szCs w:val="18"/>
                <w:lang w:eastAsia="zh-CN"/>
              </w:rPr>
              <w:t>+布袋</w:t>
            </w:r>
            <w:r>
              <w:rPr>
                <w:rFonts w:hint="eastAsia" w:hAnsi="宋体"/>
                <w:color w:val="auto"/>
                <w:sz w:val="18"/>
                <w:szCs w:val="18"/>
              </w:rPr>
              <w:t>）处理后，由</w:t>
            </w:r>
            <w:r>
              <w:rPr>
                <w:rFonts w:hint="eastAsia" w:hAnsi="宋体"/>
                <w:color w:val="auto"/>
                <w:sz w:val="18"/>
                <w:szCs w:val="18"/>
                <w:lang w:val="en-US" w:eastAsia="zh-CN"/>
              </w:rPr>
              <w:t>15</w:t>
            </w:r>
            <w:r>
              <w:rPr>
                <w:rFonts w:hint="eastAsia" w:hAnsi="宋体"/>
                <w:color w:val="auto"/>
                <w:sz w:val="18"/>
                <w:szCs w:val="18"/>
                <w:lang w:eastAsia="zh-CN"/>
              </w:rPr>
              <w:t>m</w:t>
            </w:r>
            <w:r>
              <w:rPr>
                <w:rFonts w:hint="eastAsia" w:hAnsi="宋体"/>
                <w:color w:val="auto"/>
                <w:sz w:val="18"/>
                <w:szCs w:val="18"/>
              </w:rPr>
              <w:t>高除尘系统排气筒（DA001）排放</w:t>
            </w:r>
          </w:p>
        </w:tc>
        <w:tc>
          <w:tcPr>
            <w:tcW w:w="329" w:type="pct"/>
            <w:tcBorders>
              <w:tl2br w:val="nil"/>
              <w:tr2bl w:val="nil"/>
            </w:tcBorders>
            <w:vAlign w:val="center"/>
          </w:tcPr>
          <w:p>
            <w:pPr>
              <w:contextualSpacing/>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99%</w:t>
            </w:r>
          </w:p>
        </w:tc>
        <w:tc>
          <w:tcPr>
            <w:tcW w:w="281" w:type="pct"/>
            <w:vMerge w:val="restart"/>
            <w:tcBorders>
              <w:tl2br w:val="nil"/>
              <w:tr2bl w:val="nil"/>
            </w:tcBorders>
            <w:vAlign w:val="center"/>
          </w:tcPr>
          <w:p>
            <w:pPr>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27225.5</w:t>
            </w:r>
            <w:r>
              <w:rPr>
                <w:rFonts w:hint="default" w:ascii="Times New Roman" w:hAnsi="Times New Roman" w:cs="Times New Roman"/>
                <w:color w:val="auto"/>
                <w:sz w:val="18"/>
                <w:szCs w:val="18"/>
              </w:rPr>
              <w:t xml:space="preserve">                                                                                                                                                                                                                                                                                                                                                                                                                                                                                                                                                                                             </w:t>
            </w:r>
          </w:p>
        </w:tc>
        <w:tc>
          <w:tcPr>
            <w:tcW w:w="425"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18.4</w:t>
            </w:r>
          </w:p>
        </w:tc>
        <w:tc>
          <w:tcPr>
            <w:tcW w:w="529"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0.502</w:t>
            </w:r>
          </w:p>
        </w:tc>
        <w:tc>
          <w:tcPr>
            <w:tcW w:w="387" w:type="pct"/>
            <w:vMerge w:val="restar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lang w:val="en-US" w:eastAsia="zh-CN"/>
              </w:rPr>
              <w:t>12</w:t>
            </w:r>
            <w:r>
              <w:rPr>
                <w:rFonts w:hint="eastAsia"/>
                <w:color w:val="auto"/>
                <w:sz w:val="18"/>
                <w:szCs w:val="18"/>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vMerge w:val="continue"/>
            <w:tcBorders>
              <w:tl2br w:val="nil"/>
              <w:tr2bl w:val="nil"/>
            </w:tcBorders>
            <w:vAlign w:val="center"/>
          </w:tcPr>
          <w:p>
            <w:pPr>
              <w:contextualSpacing/>
              <w:jc w:val="center"/>
              <w:rPr>
                <w:color w:val="auto"/>
                <w:spacing w:val="-14"/>
                <w:sz w:val="18"/>
                <w:szCs w:val="18"/>
              </w:rPr>
            </w:pP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tcBorders>
              <w:tl2br w:val="nil"/>
              <w:tr2bl w:val="nil"/>
            </w:tcBorders>
            <w:shd w:val="clear" w:color="auto" w:fill="auto"/>
            <w:vAlign w:val="center"/>
          </w:tcPr>
          <w:p>
            <w:pPr>
              <w:jc w:val="center"/>
              <w:rPr>
                <w:color w:val="auto"/>
                <w:sz w:val="18"/>
                <w:szCs w:val="18"/>
              </w:rPr>
            </w:pPr>
            <w:r>
              <w:rPr>
                <w:color w:val="auto"/>
                <w:sz w:val="18"/>
                <w:szCs w:val="18"/>
              </w:rPr>
              <w:t>SO</w:t>
            </w:r>
            <w:r>
              <w:rPr>
                <w:color w:val="auto"/>
                <w:sz w:val="18"/>
                <w:szCs w:val="18"/>
                <w:vertAlign w:val="subscript"/>
              </w:rPr>
              <w:t>2</w:t>
            </w:r>
          </w:p>
        </w:tc>
        <w:tc>
          <w:tcPr>
            <w:tcW w:w="284" w:type="pct"/>
            <w:vMerge w:val="continue"/>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p>
        </w:tc>
        <w:tc>
          <w:tcPr>
            <w:tcW w:w="284" w:type="pct"/>
            <w:tcBorders>
              <w:tl2br w:val="nil"/>
              <w:tr2bl w:val="nil"/>
            </w:tcBorders>
            <w:vAlign w:val="center"/>
          </w:tcPr>
          <w:p>
            <w:pPr>
              <w:pStyle w:val="195"/>
              <w:ind w:left="0" w:leftChars="0" w:firstLine="0" w:firstLineChars="0"/>
              <w:rPr>
                <w:color w:val="auto"/>
                <w:sz w:val="18"/>
                <w:szCs w:val="18"/>
              </w:rPr>
            </w:pPr>
            <w:r>
              <w:rPr>
                <w:rFonts w:hint="eastAsia"/>
                <w:color w:val="auto"/>
                <w:highlight w:val="none"/>
              </w:rPr>
              <w:t>5.3</w:t>
            </w:r>
            <w:r>
              <w:rPr>
                <w:rFonts w:hint="eastAsia"/>
                <w:color w:val="auto"/>
                <w:highlight w:val="none"/>
                <w:lang w:val="en-US" w:eastAsia="zh-CN"/>
              </w:rPr>
              <w:t>3</w:t>
            </w:r>
          </w:p>
        </w:tc>
        <w:tc>
          <w:tcPr>
            <w:tcW w:w="594" w:type="pct"/>
            <w:tcBorders>
              <w:tl2br w:val="nil"/>
              <w:tr2bl w:val="nil"/>
            </w:tcBorders>
            <w:vAlign w:val="center"/>
          </w:tcPr>
          <w:p>
            <w:pPr>
              <w:pStyle w:val="195"/>
              <w:ind w:left="0" w:leftChars="0" w:firstLine="0" w:firstLineChars="0"/>
              <w:rPr>
                <w:color w:val="auto"/>
                <w:sz w:val="18"/>
                <w:szCs w:val="18"/>
              </w:rPr>
            </w:pPr>
            <w:r>
              <w:rPr>
                <w:rFonts w:hint="eastAsia"/>
                <w:color w:val="auto"/>
                <w:highlight w:val="none"/>
              </w:rPr>
              <w:t>0.01</w:t>
            </w:r>
            <w:r>
              <w:rPr>
                <w:rFonts w:hint="eastAsia"/>
                <w:color w:val="auto"/>
                <w:highlight w:val="none"/>
                <w:lang w:val="en-US" w:eastAsia="zh-CN"/>
              </w:rPr>
              <w:t>2</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tcBorders>
              <w:tl2br w:val="nil"/>
              <w:tr2bl w:val="nil"/>
            </w:tcBorders>
            <w:vAlign w:val="center"/>
          </w:tcPr>
          <w:p>
            <w:pPr>
              <w:contextualSpacing/>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w:t>
            </w:r>
          </w:p>
        </w:tc>
        <w:tc>
          <w:tcPr>
            <w:tcW w:w="281" w:type="pct"/>
            <w:vMerge w:val="continue"/>
            <w:tcBorders>
              <w:tl2br w:val="nil"/>
              <w:tr2bl w:val="nil"/>
            </w:tcBorders>
            <w:vAlign w:val="center"/>
          </w:tcPr>
          <w:p>
            <w:pPr>
              <w:contextualSpacing/>
              <w:jc w:val="center"/>
              <w:rPr>
                <w:rFonts w:hint="default" w:ascii="Times New Roman" w:hAnsi="Times New Roman" w:cs="Times New Roman"/>
                <w:color w:val="auto"/>
                <w:sz w:val="18"/>
                <w:szCs w:val="18"/>
              </w:rPr>
            </w:pPr>
          </w:p>
        </w:tc>
        <w:tc>
          <w:tcPr>
            <w:tcW w:w="425" w:type="pct"/>
            <w:tcBorders>
              <w:tl2br w:val="nil"/>
              <w:tr2bl w:val="nil"/>
            </w:tcBorders>
            <w:vAlign w:val="center"/>
          </w:tcPr>
          <w:p>
            <w:pPr>
              <w:pStyle w:val="195"/>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highlight w:val="none"/>
                <w:lang w:val="en-US" w:eastAsia="zh-CN"/>
              </w:rPr>
              <w:t>0.44</w:t>
            </w:r>
          </w:p>
        </w:tc>
        <w:tc>
          <w:tcPr>
            <w:tcW w:w="529" w:type="pct"/>
            <w:tcBorders>
              <w:tl2br w:val="nil"/>
              <w:tr2bl w:val="nil"/>
            </w:tcBorders>
            <w:vAlign w:val="center"/>
          </w:tcPr>
          <w:p>
            <w:pPr>
              <w:pStyle w:val="195"/>
              <w:ind w:left="0" w:leftChars="0" w:firstLine="0" w:firstLineChars="0"/>
              <w:rPr>
                <w:rFonts w:hint="default" w:ascii="Times New Roman" w:hAnsi="Times New Roman" w:cs="Times New Roman"/>
                <w:color w:val="auto"/>
                <w:sz w:val="18"/>
                <w:szCs w:val="18"/>
              </w:rPr>
            </w:pPr>
            <w:r>
              <w:rPr>
                <w:rFonts w:hint="default" w:ascii="Times New Roman" w:hAnsi="Times New Roman" w:cs="Times New Roman"/>
                <w:color w:val="auto"/>
                <w:highlight w:val="none"/>
              </w:rPr>
              <w:t>0.01</w:t>
            </w:r>
            <w:r>
              <w:rPr>
                <w:rFonts w:hint="default" w:ascii="Times New Roman" w:hAnsi="Times New Roman" w:cs="Times New Roman"/>
                <w:color w:val="auto"/>
                <w:highlight w:val="none"/>
                <w:lang w:val="en-US" w:eastAsia="zh-CN"/>
              </w:rPr>
              <w:t>2</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vMerge w:val="continue"/>
            <w:tcBorders>
              <w:tl2br w:val="nil"/>
              <w:tr2bl w:val="nil"/>
            </w:tcBorders>
            <w:vAlign w:val="center"/>
          </w:tcPr>
          <w:p>
            <w:pPr>
              <w:contextualSpacing/>
              <w:jc w:val="center"/>
              <w:rPr>
                <w:color w:val="auto"/>
                <w:spacing w:val="-14"/>
                <w:sz w:val="18"/>
                <w:szCs w:val="18"/>
              </w:rPr>
            </w:pP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tcBorders>
              <w:tl2br w:val="nil"/>
              <w:tr2bl w:val="nil"/>
            </w:tcBorders>
            <w:shd w:val="clear" w:color="auto" w:fill="auto"/>
            <w:vAlign w:val="center"/>
          </w:tcPr>
          <w:p>
            <w:pPr>
              <w:jc w:val="center"/>
              <w:rPr>
                <w:color w:val="auto"/>
                <w:spacing w:val="-22"/>
                <w:sz w:val="18"/>
                <w:szCs w:val="18"/>
              </w:rPr>
            </w:pPr>
            <w:r>
              <w:rPr>
                <w:color w:val="auto"/>
                <w:spacing w:val="-22"/>
                <w:sz w:val="18"/>
                <w:szCs w:val="18"/>
              </w:rPr>
              <w:t>NO</w:t>
            </w:r>
            <w:r>
              <w:rPr>
                <w:color w:val="auto"/>
                <w:spacing w:val="-22"/>
                <w:sz w:val="18"/>
                <w:szCs w:val="18"/>
                <w:vertAlign w:val="subscript"/>
              </w:rPr>
              <w:t>X</w:t>
            </w:r>
          </w:p>
        </w:tc>
        <w:tc>
          <w:tcPr>
            <w:tcW w:w="284" w:type="pct"/>
            <w:vMerge w:val="continue"/>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p>
        </w:tc>
        <w:tc>
          <w:tcPr>
            <w:tcW w:w="284" w:type="pct"/>
            <w:tcBorders>
              <w:tl2br w:val="nil"/>
              <w:tr2bl w:val="nil"/>
            </w:tcBorders>
            <w:vAlign w:val="center"/>
          </w:tcPr>
          <w:p>
            <w:pPr>
              <w:pStyle w:val="195"/>
              <w:ind w:left="0" w:leftChars="0" w:firstLine="0" w:firstLineChars="0"/>
              <w:rPr>
                <w:rFonts w:hint="default" w:eastAsia="宋体"/>
                <w:color w:val="auto"/>
                <w:sz w:val="18"/>
                <w:szCs w:val="18"/>
                <w:lang w:val="en-US" w:eastAsia="zh-CN"/>
              </w:rPr>
            </w:pPr>
            <w:r>
              <w:rPr>
                <w:rFonts w:hint="eastAsia"/>
                <w:color w:val="auto"/>
                <w:highlight w:val="none"/>
              </w:rPr>
              <w:t>170.</w:t>
            </w:r>
            <w:r>
              <w:rPr>
                <w:rFonts w:hint="eastAsia"/>
                <w:color w:val="auto"/>
                <w:highlight w:val="none"/>
                <w:lang w:val="en-US" w:eastAsia="zh-CN"/>
              </w:rPr>
              <w:t>2</w:t>
            </w:r>
          </w:p>
        </w:tc>
        <w:tc>
          <w:tcPr>
            <w:tcW w:w="594" w:type="pct"/>
            <w:tcBorders>
              <w:tl2br w:val="nil"/>
              <w:tr2bl w:val="nil"/>
            </w:tcBorders>
            <w:vAlign w:val="center"/>
          </w:tcPr>
          <w:p>
            <w:pPr>
              <w:pStyle w:val="195"/>
              <w:ind w:left="0" w:leftChars="0" w:firstLine="0" w:firstLineChars="0"/>
              <w:rPr>
                <w:rFonts w:hint="eastAsia" w:eastAsia="宋体"/>
                <w:color w:val="auto"/>
                <w:sz w:val="18"/>
                <w:szCs w:val="18"/>
                <w:lang w:val="en-US" w:eastAsia="zh-CN"/>
              </w:rPr>
            </w:pPr>
            <w:r>
              <w:rPr>
                <w:rFonts w:hint="eastAsia"/>
                <w:color w:val="auto"/>
                <w:highlight w:val="none"/>
              </w:rPr>
              <w:t>0.379</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tcBorders>
              <w:tl2br w:val="nil"/>
              <w:tr2bl w:val="nil"/>
            </w:tcBorders>
            <w:vAlign w:val="center"/>
          </w:tcPr>
          <w:p>
            <w:pPr>
              <w:contextualSpacing/>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w:t>
            </w:r>
          </w:p>
        </w:tc>
        <w:tc>
          <w:tcPr>
            <w:tcW w:w="281" w:type="pct"/>
            <w:vMerge w:val="continue"/>
            <w:tcBorders>
              <w:tl2br w:val="nil"/>
              <w:tr2bl w:val="nil"/>
            </w:tcBorders>
            <w:vAlign w:val="center"/>
          </w:tcPr>
          <w:p>
            <w:pPr>
              <w:contextualSpacing/>
              <w:jc w:val="center"/>
              <w:rPr>
                <w:rFonts w:hint="default" w:ascii="Times New Roman" w:hAnsi="Times New Roman" w:cs="Times New Roman"/>
                <w:color w:val="auto"/>
                <w:sz w:val="18"/>
                <w:szCs w:val="18"/>
              </w:rPr>
            </w:pPr>
          </w:p>
        </w:tc>
        <w:tc>
          <w:tcPr>
            <w:tcW w:w="425" w:type="pct"/>
            <w:tcBorders>
              <w:tl2br w:val="nil"/>
              <w:tr2bl w:val="nil"/>
            </w:tcBorders>
            <w:vAlign w:val="center"/>
          </w:tcPr>
          <w:p>
            <w:pPr>
              <w:pStyle w:val="195"/>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highlight w:val="none"/>
                <w:lang w:val="en-US" w:eastAsia="zh-CN"/>
              </w:rPr>
              <w:t>13.9</w:t>
            </w:r>
          </w:p>
        </w:tc>
        <w:tc>
          <w:tcPr>
            <w:tcW w:w="529" w:type="pct"/>
            <w:tcBorders>
              <w:tl2br w:val="nil"/>
              <w:tr2bl w:val="nil"/>
            </w:tcBorders>
            <w:vAlign w:val="center"/>
          </w:tcPr>
          <w:p>
            <w:pPr>
              <w:pStyle w:val="195"/>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highlight w:val="none"/>
              </w:rPr>
              <w:t>0.379</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tcBorders>
              <w:tl2br w:val="nil"/>
              <w:tr2bl w:val="nil"/>
            </w:tcBorders>
            <w:vAlign w:val="center"/>
          </w:tcPr>
          <w:p>
            <w:pPr>
              <w:contextualSpacing/>
              <w:jc w:val="center"/>
              <w:rPr>
                <w:color w:val="auto"/>
                <w:spacing w:val="-14"/>
                <w:sz w:val="18"/>
                <w:szCs w:val="18"/>
              </w:rPr>
            </w:pPr>
            <w:r>
              <w:rPr>
                <w:rFonts w:hAnsi="宋体"/>
                <w:color w:val="auto"/>
                <w:spacing w:val="-14"/>
                <w:sz w:val="18"/>
                <w:szCs w:val="18"/>
              </w:rPr>
              <w:t>干燥筒</w:t>
            </w: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vMerge w:val="restart"/>
            <w:tcBorders>
              <w:tl2br w:val="nil"/>
              <w:tr2bl w:val="nil"/>
            </w:tcBorders>
            <w:shd w:val="clear" w:color="auto" w:fill="auto"/>
            <w:vAlign w:val="center"/>
          </w:tcPr>
          <w:p>
            <w:pPr>
              <w:contextualSpacing/>
              <w:jc w:val="center"/>
              <w:rPr>
                <w:rFonts w:hint="eastAsia" w:eastAsia="宋体"/>
                <w:color w:val="auto"/>
                <w:sz w:val="18"/>
                <w:szCs w:val="18"/>
                <w:lang w:eastAsia="zh-CN"/>
              </w:rPr>
            </w:pPr>
            <w:r>
              <w:rPr>
                <w:rFonts w:hint="eastAsia" w:hAnsi="宋体"/>
                <w:color w:val="auto"/>
                <w:sz w:val="18"/>
                <w:szCs w:val="18"/>
                <w:lang w:val="en-US" w:eastAsia="zh-CN"/>
              </w:rPr>
              <w:t>工业粉尘</w:t>
            </w:r>
          </w:p>
        </w:tc>
        <w:tc>
          <w:tcPr>
            <w:tcW w:w="284" w:type="pct"/>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6000</w:t>
            </w:r>
          </w:p>
        </w:tc>
        <w:tc>
          <w:tcPr>
            <w:tcW w:w="28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1591.7</w:t>
            </w:r>
          </w:p>
        </w:tc>
        <w:tc>
          <w:tcPr>
            <w:tcW w:w="594"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9.55</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restart"/>
            <w:tcBorders>
              <w:tl2br w:val="nil"/>
              <w:tr2bl w:val="nil"/>
            </w:tcBorders>
            <w:vAlign w:val="center"/>
          </w:tcPr>
          <w:p>
            <w:pPr>
              <w:contextualSpacing/>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99%</w:t>
            </w:r>
          </w:p>
        </w:tc>
        <w:tc>
          <w:tcPr>
            <w:tcW w:w="281" w:type="pct"/>
            <w:vMerge w:val="continue"/>
            <w:tcBorders>
              <w:tl2br w:val="nil"/>
              <w:tr2bl w:val="nil"/>
            </w:tcBorders>
            <w:vAlign w:val="center"/>
          </w:tcPr>
          <w:p>
            <w:pPr>
              <w:contextualSpacing/>
              <w:jc w:val="center"/>
              <w:rPr>
                <w:rFonts w:hint="default" w:ascii="Times New Roman" w:hAnsi="Times New Roman" w:cs="Times New Roman"/>
                <w:color w:val="auto"/>
                <w:sz w:val="18"/>
                <w:szCs w:val="18"/>
              </w:rPr>
            </w:pPr>
          </w:p>
        </w:tc>
        <w:tc>
          <w:tcPr>
            <w:tcW w:w="425" w:type="pct"/>
            <w:vMerge w:val="restar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29" w:type="pct"/>
            <w:vMerge w:val="restar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tcBorders>
              <w:tl2br w:val="nil"/>
              <w:tr2bl w:val="nil"/>
            </w:tcBorders>
            <w:vAlign w:val="center"/>
          </w:tcPr>
          <w:p>
            <w:pPr>
              <w:contextualSpacing/>
              <w:jc w:val="center"/>
              <w:rPr>
                <w:color w:val="auto"/>
                <w:spacing w:val="-14"/>
                <w:sz w:val="18"/>
                <w:szCs w:val="18"/>
              </w:rPr>
            </w:pPr>
            <w:r>
              <w:rPr>
                <w:rFonts w:hAnsi="宋体"/>
                <w:color w:val="auto"/>
                <w:spacing w:val="-14"/>
                <w:sz w:val="18"/>
                <w:szCs w:val="18"/>
              </w:rPr>
              <w:t>筛分机</w:t>
            </w: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vMerge w:val="continue"/>
            <w:tcBorders>
              <w:tl2br w:val="nil"/>
              <w:tr2bl w:val="nil"/>
            </w:tcBorders>
            <w:shd w:val="clear" w:color="auto" w:fill="auto"/>
            <w:vAlign w:val="center"/>
          </w:tcPr>
          <w:p>
            <w:pPr>
              <w:contextualSpacing/>
              <w:jc w:val="center"/>
              <w:rPr>
                <w:color w:val="auto"/>
                <w:sz w:val="18"/>
                <w:szCs w:val="18"/>
              </w:rPr>
            </w:pPr>
          </w:p>
        </w:tc>
        <w:tc>
          <w:tcPr>
            <w:tcW w:w="284" w:type="pct"/>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10000</w:t>
            </w:r>
          </w:p>
        </w:tc>
        <w:tc>
          <w:tcPr>
            <w:tcW w:w="28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3819</w:t>
            </w:r>
          </w:p>
        </w:tc>
        <w:tc>
          <w:tcPr>
            <w:tcW w:w="594"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38.19</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continue"/>
            <w:tcBorders>
              <w:tl2br w:val="nil"/>
              <w:tr2bl w:val="nil"/>
            </w:tcBorders>
            <w:vAlign w:val="center"/>
          </w:tcPr>
          <w:p>
            <w:pPr>
              <w:contextualSpacing/>
              <w:jc w:val="center"/>
              <w:rPr>
                <w:color w:val="auto"/>
                <w:spacing w:val="-6"/>
                <w:sz w:val="18"/>
                <w:szCs w:val="18"/>
              </w:rPr>
            </w:pPr>
          </w:p>
        </w:tc>
        <w:tc>
          <w:tcPr>
            <w:tcW w:w="281" w:type="pct"/>
            <w:vMerge w:val="continue"/>
            <w:tcBorders>
              <w:tl2br w:val="nil"/>
              <w:tr2bl w:val="nil"/>
            </w:tcBorders>
            <w:vAlign w:val="center"/>
          </w:tcPr>
          <w:p>
            <w:pPr>
              <w:contextualSpacing/>
              <w:jc w:val="center"/>
              <w:rPr>
                <w:color w:val="auto"/>
                <w:sz w:val="18"/>
                <w:szCs w:val="18"/>
              </w:rPr>
            </w:pPr>
          </w:p>
        </w:tc>
        <w:tc>
          <w:tcPr>
            <w:tcW w:w="425" w:type="pct"/>
            <w:vMerge w:val="continue"/>
            <w:tcBorders>
              <w:tl2br w:val="nil"/>
              <w:tr2bl w:val="nil"/>
            </w:tcBorders>
            <w:vAlign w:val="center"/>
          </w:tcPr>
          <w:p>
            <w:pPr>
              <w:contextualSpacing/>
              <w:jc w:val="center"/>
              <w:rPr>
                <w:color w:val="auto"/>
                <w:sz w:val="18"/>
                <w:szCs w:val="18"/>
              </w:rPr>
            </w:pPr>
          </w:p>
        </w:tc>
        <w:tc>
          <w:tcPr>
            <w:tcW w:w="529" w:type="pct"/>
            <w:vMerge w:val="continue"/>
            <w:tcBorders>
              <w:tl2br w:val="nil"/>
              <w:tr2bl w:val="nil"/>
            </w:tcBorders>
            <w:vAlign w:val="center"/>
          </w:tcPr>
          <w:p>
            <w:pPr>
              <w:contextualSpacing/>
              <w:jc w:val="center"/>
              <w:rPr>
                <w:color w:val="auto"/>
                <w:sz w:val="18"/>
                <w:szCs w:val="18"/>
              </w:rPr>
            </w:pP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tcBorders>
              <w:tl2br w:val="nil"/>
              <w:tr2bl w:val="nil"/>
            </w:tcBorders>
            <w:vAlign w:val="center"/>
          </w:tcPr>
          <w:p>
            <w:pPr>
              <w:contextualSpacing/>
              <w:jc w:val="center"/>
              <w:rPr>
                <w:rFonts w:hAnsi="宋体"/>
                <w:color w:val="auto"/>
                <w:spacing w:val="-14"/>
                <w:sz w:val="18"/>
                <w:szCs w:val="18"/>
              </w:rPr>
            </w:pPr>
            <w:r>
              <w:rPr>
                <w:rFonts w:hAnsi="宋体"/>
                <w:color w:val="auto"/>
                <w:spacing w:val="-14"/>
                <w:sz w:val="18"/>
                <w:szCs w:val="18"/>
              </w:rPr>
              <w:t>热</w:t>
            </w:r>
            <w:r>
              <w:rPr>
                <w:rFonts w:hint="eastAsia" w:hAnsi="宋体"/>
                <w:color w:val="auto"/>
                <w:spacing w:val="-14"/>
                <w:sz w:val="18"/>
                <w:szCs w:val="18"/>
              </w:rPr>
              <w:t>料</w:t>
            </w:r>
            <w:r>
              <w:rPr>
                <w:rFonts w:hAnsi="宋体"/>
                <w:color w:val="auto"/>
                <w:spacing w:val="-14"/>
                <w:sz w:val="18"/>
                <w:szCs w:val="18"/>
              </w:rPr>
              <w:t>仓</w:t>
            </w: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vMerge w:val="continue"/>
            <w:tcBorders>
              <w:tl2br w:val="nil"/>
              <w:tr2bl w:val="nil"/>
            </w:tcBorders>
            <w:shd w:val="clear" w:color="auto" w:fill="auto"/>
            <w:vAlign w:val="center"/>
          </w:tcPr>
          <w:p>
            <w:pPr>
              <w:contextualSpacing/>
              <w:jc w:val="center"/>
              <w:rPr>
                <w:color w:val="auto"/>
                <w:sz w:val="18"/>
                <w:szCs w:val="18"/>
              </w:rPr>
            </w:pPr>
          </w:p>
        </w:tc>
        <w:tc>
          <w:tcPr>
            <w:tcW w:w="284" w:type="pct"/>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w:t>
            </w:r>
          </w:p>
        </w:tc>
        <w:tc>
          <w:tcPr>
            <w:tcW w:w="28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636.7</w:t>
            </w:r>
          </w:p>
        </w:tc>
        <w:tc>
          <w:tcPr>
            <w:tcW w:w="59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1.91</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continue"/>
            <w:tcBorders>
              <w:tl2br w:val="nil"/>
              <w:tr2bl w:val="nil"/>
            </w:tcBorders>
            <w:vAlign w:val="center"/>
          </w:tcPr>
          <w:p>
            <w:pPr>
              <w:contextualSpacing/>
              <w:jc w:val="center"/>
              <w:rPr>
                <w:color w:val="auto"/>
                <w:spacing w:val="-6"/>
                <w:sz w:val="18"/>
                <w:szCs w:val="18"/>
              </w:rPr>
            </w:pPr>
          </w:p>
        </w:tc>
        <w:tc>
          <w:tcPr>
            <w:tcW w:w="281" w:type="pct"/>
            <w:vMerge w:val="continue"/>
            <w:tcBorders>
              <w:tl2br w:val="nil"/>
              <w:tr2bl w:val="nil"/>
            </w:tcBorders>
            <w:vAlign w:val="center"/>
          </w:tcPr>
          <w:p>
            <w:pPr>
              <w:contextualSpacing/>
              <w:jc w:val="center"/>
              <w:rPr>
                <w:color w:val="auto"/>
                <w:sz w:val="18"/>
                <w:szCs w:val="18"/>
              </w:rPr>
            </w:pPr>
          </w:p>
        </w:tc>
        <w:tc>
          <w:tcPr>
            <w:tcW w:w="425" w:type="pct"/>
            <w:vMerge w:val="continue"/>
            <w:tcBorders>
              <w:tl2br w:val="nil"/>
              <w:tr2bl w:val="nil"/>
            </w:tcBorders>
            <w:vAlign w:val="center"/>
          </w:tcPr>
          <w:p>
            <w:pPr>
              <w:contextualSpacing/>
              <w:jc w:val="center"/>
              <w:rPr>
                <w:color w:val="auto"/>
                <w:sz w:val="18"/>
                <w:szCs w:val="18"/>
              </w:rPr>
            </w:pPr>
          </w:p>
        </w:tc>
        <w:tc>
          <w:tcPr>
            <w:tcW w:w="529" w:type="pct"/>
            <w:vMerge w:val="continue"/>
            <w:tcBorders>
              <w:tl2br w:val="nil"/>
              <w:tr2bl w:val="nil"/>
            </w:tcBorders>
            <w:vAlign w:val="center"/>
          </w:tcPr>
          <w:p>
            <w:pPr>
              <w:contextualSpacing/>
              <w:jc w:val="center"/>
              <w:rPr>
                <w:color w:val="auto"/>
                <w:sz w:val="18"/>
                <w:szCs w:val="18"/>
              </w:rPr>
            </w:pP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tcBorders>
              <w:tl2br w:val="nil"/>
              <w:tr2bl w:val="nil"/>
            </w:tcBorders>
            <w:vAlign w:val="center"/>
          </w:tcPr>
          <w:p>
            <w:pPr>
              <w:contextualSpacing/>
              <w:jc w:val="center"/>
              <w:rPr>
                <w:rFonts w:hAnsi="宋体"/>
                <w:color w:val="auto"/>
                <w:spacing w:val="-14"/>
                <w:sz w:val="18"/>
                <w:szCs w:val="18"/>
              </w:rPr>
            </w:pPr>
            <w:r>
              <w:rPr>
                <w:rFonts w:hAnsi="宋体"/>
                <w:color w:val="auto"/>
                <w:spacing w:val="-14"/>
                <w:sz w:val="18"/>
                <w:szCs w:val="18"/>
              </w:rPr>
              <w:t>上料仓</w:t>
            </w: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vMerge w:val="continue"/>
            <w:tcBorders>
              <w:tl2br w:val="nil"/>
              <w:tr2bl w:val="nil"/>
            </w:tcBorders>
            <w:shd w:val="clear" w:color="auto" w:fill="auto"/>
            <w:vAlign w:val="center"/>
          </w:tcPr>
          <w:p>
            <w:pPr>
              <w:contextualSpacing/>
              <w:jc w:val="center"/>
              <w:rPr>
                <w:color w:val="auto"/>
                <w:sz w:val="18"/>
                <w:szCs w:val="18"/>
              </w:rPr>
            </w:pPr>
          </w:p>
        </w:tc>
        <w:tc>
          <w:tcPr>
            <w:tcW w:w="284" w:type="pct"/>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w:t>
            </w:r>
          </w:p>
        </w:tc>
        <w:tc>
          <w:tcPr>
            <w:tcW w:w="28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9.0</w:t>
            </w:r>
          </w:p>
        </w:tc>
        <w:tc>
          <w:tcPr>
            <w:tcW w:w="59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0.027</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continue"/>
            <w:tcBorders>
              <w:tl2br w:val="nil"/>
              <w:tr2bl w:val="nil"/>
            </w:tcBorders>
            <w:vAlign w:val="center"/>
          </w:tcPr>
          <w:p>
            <w:pPr>
              <w:contextualSpacing/>
              <w:jc w:val="center"/>
              <w:rPr>
                <w:color w:val="auto"/>
                <w:spacing w:val="-6"/>
                <w:sz w:val="18"/>
                <w:szCs w:val="18"/>
              </w:rPr>
            </w:pPr>
          </w:p>
        </w:tc>
        <w:tc>
          <w:tcPr>
            <w:tcW w:w="281" w:type="pct"/>
            <w:vMerge w:val="continue"/>
            <w:tcBorders>
              <w:tl2br w:val="nil"/>
              <w:tr2bl w:val="nil"/>
            </w:tcBorders>
            <w:vAlign w:val="center"/>
          </w:tcPr>
          <w:p>
            <w:pPr>
              <w:contextualSpacing/>
              <w:jc w:val="center"/>
              <w:rPr>
                <w:color w:val="auto"/>
                <w:sz w:val="18"/>
                <w:szCs w:val="18"/>
              </w:rPr>
            </w:pPr>
          </w:p>
        </w:tc>
        <w:tc>
          <w:tcPr>
            <w:tcW w:w="425" w:type="pct"/>
            <w:vMerge w:val="continue"/>
            <w:tcBorders>
              <w:tl2br w:val="nil"/>
              <w:tr2bl w:val="nil"/>
            </w:tcBorders>
            <w:vAlign w:val="center"/>
          </w:tcPr>
          <w:p>
            <w:pPr>
              <w:contextualSpacing/>
              <w:jc w:val="center"/>
              <w:rPr>
                <w:color w:val="auto"/>
                <w:sz w:val="18"/>
                <w:szCs w:val="18"/>
              </w:rPr>
            </w:pPr>
          </w:p>
        </w:tc>
        <w:tc>
          <w:tcPr>
            <w:tcW w:w="529" w:type="pct"/>
            <w:vMerge w:val="continue"/>
            <w:tcBorders>
              <w:tl2br w:val="nil"/>
              <w:tr2bl w:val="nil"/>
            </w:tcBorders>
            <w:vAlign w:val="center"/>
          </w:tcPr>
          <w:p>
            <w:pPr>
              <w:contextualSpacing/>
              <w:jc w:val="center"/>
              <w:rPr>
                <w:color w:val="auto"/>
                <w:sz w:val="18"/>
                <w:szCs w:val="18"/>
              </w:rPr>
            </w:pP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593"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tcBorders>
              <w:tl2br w:val="nil"/>
              <w:tr2bl w:val="nil"/>
            </w:tcBorders>
            <w:vAlign w:val="center"/>
          </w:tcPr>
          <w:p>
            <w:pPr>
              <w:contextualSpacing/>
              <w:jc w:val="center"/>
              <w:rPr>
                <w:rFonts w:hAnsi="宋体"/>
                <w:color w:val="auto"/>
                <w:spacing w:val="-14"/>
                <w:sz w:val="18"/>
                <w:szCs w:val="18"/>
              </w:rPr>
            </w:pPr>
            <w:r>
              <w:rPr>
                <w:color w:val="auto"/>
                <w:sz w:val="18"/>
                <w:szCs w:val="18"/>
              </w:rPr>
              <w:t>矿粉筒仓</w:t>
            </w: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vMerge w:val="continue"/>
            <w:tcBorders>
              <w:tl2br w:val="nil"/>
              <w:tr2bl w:val="nil"/>
            </w:tcBorders>
            <w:shd w:val="clear" w:color="auto" w:fill="auto"/>
            <w:vAlign w:val="center"/>
          </w:tcPr>
          <w:p>
            <w:pPr>
              <w:contextualSpacing/>
              <w:jc w:val="center"/>
              <w:rPr>
                <w:color w:val="auto"/>
                <w:sz w:val="18"/>
                <w:szCs w:val="18"/>
              </w:rPr>
            </w:pPr>
          </w:p>
        </w:tc>
        <w:tc>
          <w:tcPr>
            <w:tcW w:w="284" w:type="pct"/>
            <w:tcBorders>
              <w:tl2br w:val="nil"/>
              <w:tr2bl w:val="nil"/>
            </w:tcBorders>
            <w:shd w:val="clear" w:color="auto" w:fill="FFFFFF"/>
            <w:vAlign w:val="center"/>
          </w:tcPr>
          <w:p>
            <w:pPr>
              <w:shd w:val="clear" w:color="auto" w:fill="FFFFFF"/>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w:t>
            </w:r>
          </w:p>
        </w:tc>
        <w:tc>
          <w:tcPr>
            <w:tcW w:w="28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150</w:t>
            </w:r>
          </w:p>
        </w:tc>
        <w:tc>
          <w:tcPr>
            <w:tcW w:w="594"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0.45</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continue"/>
            <w:tcBorders>
              <w:tl2br w:val="nil"/>
              <w:tr2bl w:val="nil"/>
            </w:tcBorders>
            <w:vAlign w:val="center"/>
          </w:tcPr>
          <w:p>
            <w:pPr>
              <w:contextualSpacing/>
              <w:jc w:val="center"/>
              <w:rPr>
                <w:color w:val="auto"/>
                <w:spacing w:val="-6"/>
                <w:sz w:val="18"/>
                <w:szCs w:val="18"/>
              </w:rPr>
            </w:pPr>
          </w:p>
        </w:tc>
        <w:tc>
          <w:tcPr>
            <w:tcW w:w="281" w:type="pct"/>
            <w:vMerge w:val="continue"/>
            <w:tcBorders>
              <w:tl2br w:val="nil"/>
              <w:tr2bl w:val="nil"/>
            </w:tcBorders>
            <w:vAlign w:val="center"/>
          </w:tcPr>
          <w:p>
            <w:pPr>
              <w:contextualSpacing/>
              <w:jc w:val="center"/>
              <w:rPr>
                <w:color w:val="auto"/>
                <w:sz w:val="18"/>
                <w:szCs w:val="18"/>
              </w:rPr>
            </w:pPr>
          </w:p>
        </w:tc>
        <w:tc>
          <w:tcPr>
            <w:tcW w:w="425" w:type="pct"/>
            <w:vMerge w:val="continue"/>
            <w:tcBorders>
              <w:tl2br w:val="nil"/>
              <w:tr2bl w:val="nil"/>
            </w:tcBorders>
            <w:vAlign w:val="center"/>
          </w:tcPr>
          <w:p>
            <w:pPr>
              <w:contextualSpacing/>
              <w:jc w:val="center"/>
              <w:rPr>
                <w:color w:val="auto"/>
                <w:sz w:val="18"/>
                <w:szCs w:val="18"/>
              </w:rPr>
            </w:pPr>
          </w:p>
        </w:tc>
        <w:tc>
          <w:tcPr>
            <w:tcW w:w="529" w:type="pct"/>
            <w:vMerge w:val="continue"/>
            <w:tcBorders>
              <w:tl2br w:val="nil"/>
              <w:tr2bl w:val="nil"/>
            </w:tcBorders>
            <w:vAlign w:val="center"/>
          </w:tcPr>
          <w:p>
            <w:pPr>
              <w:contextualSpacing/>
              <w:jc w:val="center"/>
              <w:rPr>
                <w:color w:val="auto"/>
                <w:sz w:val="18"/>
                <w:szCs w:val="18"/>
              </w:rPr>
            </w:pPr>
          </w:p>
        </w:tc>
        <w:tc>
          <w:tcPr>
            <w:tcW w:w="387" w:type="pc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restart"/>
            <w:tcBorders>
              <w:tl2br w:val="nil"/>
              <w:tr2bl w:val="nil"/>
            </w:tcBorders>
            <w:vAlign w:val="center"/>
          </w:tcPr>
          <w:p>
            <w:pPr>
              <w:contextualSpacing/>
              <w:jc w:val="center"/>
              <w:rPr>
                <w:color w:val="auto"/>
                <w:sz w:val="18"/>
                <w:szCs w:val="18"/>
              </w:rPr>
            </w:pPr>
            <w:r>
              <w:rPr>
                <w:rFonts w:hAnsi="宋体"/>
                <w:color w:val="auto"/>
                <w:sz w:val="18"/>
                <w:szCs w:val="18"/>
              </w:rPr>
              <w:t>沥青搅拌站</w:t>
            </w:r>
          </w:p>
        </w:tc>
        <w:tc>
          <w:tcPr>
            <w:tcW w:w="204" w:type="pct"/>
            <w:vMerge w:val="restart"/>
            <w:tcBorders>
              <w:tl2br w:val="nil"/>
              <w:tr2bl w:val="nil"/>
            </w:tcBorders>
            <w:vAlign w:val="center"/>
          </w:tcPr>
          <w:p>
            <w:pPr>
              <w:contextualSpacing/>
              <w:jc w:val="center"/>
              <w:rPr>
                <w:color w:val="auto"/>
                <w:sz w:val="18"/>
                <w:szCs w:val="18"/>
              </w:rPr>
            </w:pPr>
            <w:r>
              <w:rPr>
                <w:rFonts w:hAnsi="宋体"/>
                <w:color w:val="auto"/>
                <w:sz w:val="18"/>
                <w:szCs w:val="18"/>
              </w:rPr>
              <w:t>导热油炉</w:t>
            </w:r>
          </w:p>
        </w:tc>
        <w:tc>
          <w:tcPr>
            <w:tcW w:w="530" w:type="pct"/>
            <w:vMerge w:val="restart"/>
            <w:tcBorders>
              <w:tl2br w:val="nil"/>
              <w:tr2bl w:val="nil"/>
            </w:tcBorders>
            <w:shd w:val="clear" w:color="auto" w:fill="auto"/>
            <w:vAlign w:val="center"/>
          </w:tcPr>
          <w:p>
            <w:pPr>
              <w:contextualSpacing/>
              <w:jc w:val="center"/>
              <w:rPr>
                <w:color w:val="auto"/>
                <w:sz w:val="18"/>
                <w:szCs w:val="18"/>
              </w:rPr>
            </w:pPr>
            <w:r>
              <w:rPr>
                <w:color w:val="auto"/>
                <w:sz w:val="18"/>
                <w:szCs w:val="18"/>
              </w:rPr>
              <w:t>导热油炉</w:t>
            </w:r>
            <w:r>
              <w:rPr>
                <w:rFonts w:hint="eastAsia"/>
                <w:color w:val="auto"/>
                <w:sz w:val="18"/>
                <w:szCs w:val="18"/>
                <w:lang w:val="en-US" w:eastAsia="zh-CN"/>
              </w:rPr>
              <w:t>废气</w:t>
            </w:r>
            <w:r>
              <w:rPr>
                <w:color w:val="auto"/>
                <w:sz w:val="18"/>
                <w:szCs w:val="18"/>
              </w:rPr>
              <w:t>（</w:t>
            </w:r>
            <w:r>
              <w:rPr>
                <w:rFonts w:hint="eastAsia"/>
                <w:color w:val="auto"/>
                <w:sz w:val="18"/>
                <w:szCs w:val="18"/>
              </w:rPr>
              <w:t>DA002</w:t>
            </w:r>
            <w:r>
              <w:rPr>
                <w:color w:val="auto"/>
                <w:sz w:val="18"/>
                <w:szCs w:val="18"/>
              </w:rPr>
              <w:t>）</w:t>
            </w:r>
          </w:p>
        </w:tc>
        <w:tc>
          <w:tcPr>
            <w:tcW w:w="280" w:type="pct"/>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default" w:eastAsia="宋体"/>
                <w:color w:val="auto"/>
                <w:sz w:val="18"/>
                <w:szCs w:val="18"/>
                <w:lang w:val="en-US" w:eastAsia="zh-CN"/>
              </w:rPr>
              <w:t>颗粒物</w:t>
            </w:r>
          </w:p>
        </w:tc>
        <w:tc>
          <w:tcPr>
            <w:tcW w:w="284" w:type="pct"/>
            <w:vMerge w:val="restart"/>
            <w:tcBorders>
              <w:tl2br w:val="nil"/>
              <w:tr2bl w:val="nil"/>
            </w:tcBorders>
            <w:shd w:val="clear" w:color="auto" w:fill="FFFFFF"/>
            <w:vAlign w:val="center"/>
          </w:tcPr>
          <w:p>
            <w:pPr>
              <w:contextualSpacing/>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1595.4</w:t>
            </w:r>
          </w:p>
        </w:tc>
        <w:tc>
          <w:tcPr>
            <w:tcW w:w="284" w:type="pct"/>
            <w:tcBorders>
              <w:tl2br w:val="nil"/>
              <w:tr2bl w:val="nil"/>
            </w:tcBorders>
            <w:shd w:val="clear" w:color="auto" w:fill="auto"/>
            <w:vAlign w:val="center"/>
          </w:tcPr>
          <w:p>
            <w:pPr>
              <w:contextualSpacing/>
              <w:jc w:val="center"/>
              <w:rPr>
                <w:rFonts w:hint="eastAsia" w:eastAsia="宋体"/>
                <w:color w:val="auto"/>
                <w:sz w:val="18"/>
                <w:szCs w:val="18"/>
                <w:lang w:val="en-US" w:eastAsia="zh-CN"/>
              </w:rPr>
            </w:pPr>
            <w:r>
              <w:rPr>
                <w:rFonts w:hint="default" w:eastAsia="宋体"/>
                <w:color w:val="auto"/>
                <w:sz w:val="18"/>
                <w:szCs w:val="18"/>
                <w:lang w:val="en-US" w:eastAsia="zh-CN"/>
              </w:rPr>
              <w:t>20.37</w:t>
            </w:r>
          </w:p>
        </w:tc>
        <w:tc>
          <w:tcPr>
            <w:tcW w:w="594" w:type="pct"/>
            <w:tcBorders>
              <w:tl2br w:val="nil"/>
              <w:tr2bl w:val="nil"/>
            </w:tcBorders>
            <w:shd w:val="clear" w:color="auto" w:fill="auto"/>
            <w:vAlign w:val="center"/>
          </w:tcPr>
          <w:p>
            <w:pPr>
              <w:contextualSpacing/>
              <w:jc w:val="center"/>
              <w:rPr>
                <w:rFonts w:hint="eastAsia" w:eastAsia="宋体"/>
                <w:color w:val="auto"/>
                <w:sz w:val="18"/>
                <w:szCs w:val="18"/>
                <w:lang w:val="en-US" w:eastAsia="zh-CN"/>
              </w:rPr>
            </w:pPr>
            <w:r>
              <w:rPr>
                <w:rFonts w:hint="default" w:eastAsia="宋体"/>
                <w:color w:val="auto"/>
                <w:sz w:val="18"/>
                <w:szCs w:val="18"/>
                <w:lang w:val="en-US" w:eastAsia="zh-CN"/>
              </w:rPr>
              <w:t>0.0325</w:t>
            </w:r>
          </w:p>
        </w:tc>
        <w:tc>
          <w:tcPr>
            <w:tcW w:w="657" w:type="pct"/>
            <w:vMerge w:val="restart"/>
            <w:tcBorders>
              <w:tl2br w:val="nil"/>
              <w:tr2bl w:val="nil"/>
            </w:tcBorders>
            <w:vAlign w:val="center"/>
          </w:tcPr>
          <w:p>
            <w:pPr>
              <w:contextualSpacing/>
              <w:jc w:val="center"/>
              <w:rPr>
                <w:color w:val="auto"/>
                <w:spacing w:val="-6"/>
                <w:sz w:val="18"/>
                <w:szCs w:val="18"/>
              </w:rPr>
            </w:pPr>
            <w:r>
              <w:rPr>
                <w:rFonts w:hAnsi="宋体"/>
                <w:color w:val="auto"/>
                <w:sz w:val="18"/>
                <w:szCs w:val="18"/>
              </w:rPr>
              <w:t>导热油炉</w:t>
            </w:r>
            <w:r>
              <w:rPr>
                <w:rFonts w:hAnsi="宋体"/>
                <w:bCs/>
                <w:color w:val="auto"/>
                <w:sz w:val="18"/>
                <w:szCs w:val="18"/>
              </w:rPr>
              <w:t>烟气</w:t>
            </w:r>
            <w:r>
              <w:rPr>
                <w:rFonts w:hint="eastAsia" w:hAnsi="宋体"/>
                <w:bCs/>
                <w:color w:val="auto"/>
                <w:sz w:val="18"/>
                <w:szCs w:val="18"/>
                <w:lang w:val="en-US" w:eastAsia="zh-CN"/>
              </w:rPr>
              <w:t>经布袋除尘器和低氮燃烧后，</w:t>
            </w:r>
            <w:r>
              <w:rPr>
                <w:rFonts w:hint="eastAsia" w:hAnsi="宋体"/>
                <w:bCs/>
                <w:color w:val="auto"/>
                <w:sz w:val="18"/>
                <w:szCs w:val="18"/>
              </w:rPr>
              <w:t>由1根</w:t>
            </w:r>
            <w:r>
              <w:rPr>
                <w:rFonts w:hint="eastAsia" w:hAnsi="宋体"/>
                <w:bCs/>
                <w:color w:val="auto"/>
                <w:sz w:val="18"/>
                <w:szCs w:val="18"/>
                <w:lang w:val="en-US" w:eastAsia="zh-CN"/>
              </w:rPr>
              <w:t>15</w:t>
            </w:r>
            <w:r>
              <w:rPr>
                <w:rFonts w:hint="eastAsia" w:hAnsi="宋体"/>
                <w:bCs/>
                <w:color w:val="auto"/>
                <w:sz w:val="18"/>
                <w:szCs w:val="18"/>
                <w:lang w:eastAsia="zh-CN"/>
              </w:rPr>
              <w:t>m</w:t>
            </w:r>
            <w:r>
              <w:rPr>
                <w:rFonts w:hint="eastAsia" w:hAnsi="宋体"/>
                <w:bCs/>
                <w:color w:val="auto"/>
                <w:sz w:val="18"/>
                <w:szCs w:val="18"/>
              </w:rPr>
              <w:t>高排气筒（DA002）排放</w:t>
            </w:r>
          </w:p>
        </w:tc>
        <w:tc>
          <w:tcPr>
            <w:tcW w:w="329" w:type="pct"/>
            <w:tcBorders>
              <w:tl2br w:val="nil"/>
              <w:tr2bl w:val="nil"/>
            </w:tcBorders>
            <w:vAlign w:val="center"/>
          </w:tcPr>
          <w:p>
            <w:pPr>
              <w:contextualSpacing/>
              <w:jc w:val="center"/>
              <w:rPr>
                <w:rFonts w:hint="default" w:eastAsiaTheme="minorEastAsia"/>
                <w:color w:val="auto"/>
                <w:spacing w:val="-6"/>
                <w:sz w:val="18"/>
                <w:szCs w:val="18"/>
                <w:lang w:val="en-US" w:eastAsia="zh-CN"/>
              </w:rPr>
            </w:pPr>
            <w:r>
              <w:rPr>
                <w:rFonts w:hint="eastAsia"/>
                <w:color w:val="auto"/>
                <w:spacing w:val="-6"/>
                <w:sz w:val="18"/>
                <w:szCs w:val="18"/>
                <w:lang w:val="en-US" w:eastAsia="zh-CN"/>
              </w:rPr>
              <w:t>99%</w:t>
            </w:r>
          </w:p>
        </w:tc>
        <w:tc>
          <w:tcPr>
            <w:tcW w:w="281" w:type="pct"/>
            <w:vMerge w:val="restart"/>
            <w:tcBorders>
              <w:tl2br w:val="nil"/>
              <w:tr2bl w:val="nil"/>
            </w:tcBorders>
            <w:vAlign w:val="center"/>
          </w:tcPr>
          <w:p>
            <w:pPr>
              <w:contextualSpacing/>
              <w:jc w:val="center"/>
              <w:rPr>
                <w:color w:val="auto"/>
                <w:sz w:val="18"/>
                <w:szCs w:val="18"/>
              </w:rPr>
            </w:pPr>
            <w:r>
              <w:rPr>
                <w:rFonts w:hint="eastAsia" w:eastAsia="宋体"/>
                <w:color w:val="auto"/>
                <w:sz w:val="18"/>
                <w:szCs w:val="18"/>
                <w:lang w:val="en-US" w:eastAsia="zh-CN"/>
              </w:rPr>
              <w:t>1595.4</w:t>
            </w:r>
          </w:p>
        </w:tc>
        <w:tc>
          <w:tcPr>
            <w:tcW w:w="425"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0.02</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default" w:eastAsia="宋体"/>
                <w:color w:val="auto"/>
                <w:sz w:val="18"/>
                <w:szCs w:val="18"/>
                <w:lang w:val="en-US" w:eastAsia="zh-CN"/>
              </w:rPr>
              <w:t>0.0</w:t>
            </w:r>
            <w:r>
              <w:rPr>
                <w:rFonts w:hint="eastAsia"/>
                <w:color w:val="auto"/>
                <w:sz w:val="18"/>
                <w:szCs w:val="18"/>
                <w:lang w:val="en-US" w:eastAsia="zh-CN"/>
              </w:rPr>
              <w:t>0033</w:t>
            </w:r>
          </w:p>
        </w:tc>
        <w:tc>
          <w:tcPr>
            <w:tcW w:w="387" w:type="pct"/>
            <w:vMerge w:val="restar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lang w:val="en-US" w:eastAsia="zh-CN"/>
              </w:rPr>
              <w:t>12</w:t>
            </w:r>
            <w:r>
              <w:rPr>
                <w:rFonts w:hint="eastAsia"/>
                <w:color w:val="auto"/>
                <w:sz w:val="18"/>
                <w:szCs w:val="18"/>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vMerge w:val="continue"/>
            <w:tcBorders>
              <w:tl2br w:val="nil"/>
              <w:tr2bl w:val="nil"/>
            </w:tcBorders>
            <w:vAlign w:val="center"/>
          </w:tcPr>
          <w:p>
            <w:pPr>
              <w:contextualSpacing/>
              <w:jc w:val="center"/>
              <w:rPr>
                <w:color w:val="auto"/>
                <w:sz w:val="18"/>
                <w:szCs w:val="18"/>
              </w:rPr>
            </w:pP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default" w:eastAsia="宋体"/>
                <w:color w:val="auto"/>
                <w:sz w:val="18"/>
                <w:szCs w:val="18"/>
                <w:lang w:val="en-US" w:eastAsia="zh-CN"/>
              </w:rPr>
              <w:t>SO</w:t>
            </w:r>
            <w:r>
              <w:rPr>
                <w:rFonts w:hint="default" w:eastAsia="宋体"/>
                <w:color w:val="auto"/>
                <w:sz w:val="18"/>
                <w:szCs w:val="18"/>
                <w:vertAlign w:val="subscript"/>
                <w:lang w:val="en-US" w:eastAsia="zh-CN"/>
              </w:rPr>
              <w:t>2</w:t>
            </w:r>
          </w:p>
        </w:tc>
        <w:tc>
          <w:tcPr>
            <w:tcW w:w="284" w:type="pct"/>
            <w:vMerge w:val="continue"/>
            <w:tcBorders>
              <w:tl2br w:val="nil"/>
              <w:tr2bl w:val="nil"/>
            </w:tcBorders>
            <w:shd w:val="clear" w:color="auto" w:fill="FFFFFF"/>
            <w:vAlign w:val="center"/>
          </w:tcPr>
          <w:p>
            <w:pPr>
              <w:contextualSpacing/>
              <w:jc w:val="center"/>
              <w:rPr>
                <w:rFonts w:hint="default" w:eastAsia="宋体"/>
                <w:color w:val="auto"/>
                <w:sz w:val="18"/>
                <w:szCs w:val="18"/>
                <w:lang w:val="en-US" w:eastAsia="zh-CN"/>
              </w:rPr>
            </w:pPr>
          </w:p>
        </w:tc>
        <w:tc>
          <w:tcPr>
            <w:tcW w:w="284" w:type="pct"/>
            <w:tcBorders>
              <w:tl2br w:val="nil"/>
              <w:tr2bl w:val="nil"/>
            </w:tcBorders>
            <w:shd w:val="clear" w:color="auto" w:fill="auto"/>
            <w:vAlign w:val="center"/>
          </w:tcPr>
          <w:p>
            <w:pPr>
              <w:contextualSpacing/>
              <w:jc w:val="center"/>
              <w:rPr>
                <w:rFonts w:hint="eastAsia" w:eastAsia="宋体"/>
                <w:color w:val="auto"/>
                <w:sz w:val="18"/>
                <w:szCs w:val="18"/>
                <w:lang w:val="en-US" w:eastAsia="zh-CN"/>
              </w:rPr>
            </w:pPr>
            <w:r>
              <w:rPr>
                <w:rFonts w:hint="default" w:eastAsia="宋体"/>
                <w:color w:val="auto"/>
                <w:sz w:val="18"/>
                <w:szCs w:val="18"/>
                <w:lang w:val="en-US" w:eastAsia="zh-CN"/>
              </w:rPr>
              <w:t>52.1</w:t>
            </w:r>
          </w:p>
        </w:tc>
        <w:tc>
          <w:tcPr>
            <w:tcW w:w="594" w:type="pct"/>
            <w:tcBorders>
              <w:tl2br w:val="nil"/>
              <w:tr2bl w:val="nil"/>
            </w:tcBorders>
            <w:shd w:val="clear" w:color="auto" w:fill="auto"/>
            <w:vAlign w:val="center"/>
          </w:tcPr>
          <w:p>
            <w:pPr>
              <w:contextualSpacing/>
              <w:jc w:val="center"/>
              <w:rPr>
                <w:rFonts w:hint="eastAsia" w:eastAsia="宋体"/>
                <w:color w:val="auto"/>
                <w:sz w:val="18"/>
                <w:szCs w:val="18"/>
                <w:lang w:val="en-US" w:eastAsia="zh-CN"/>
              </w:rPr>
            </w:pPr>
            <w:r>
              <w:rPr>
                <w:rFonts w:hint="default" w:eastAsia="宋体"/>
                <w:color w:val="auto"/>
                <w:sz w:val="18"/>
                <w:szCs w:val="18"/>
                <w:lang w:val="en-US" w:eastAsia="zh-CN"/>
              </w:rPr>
              <w:t>0.083</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tcBorders>
              <w:tl2br w:val="nil"/>
              <w:tr2bl w:val="nil"/>
            </w:tcBorders>
            <w:vAlign w:val="center"/>
          </w:tcPr>
          <w:p>
            <w:pPr>
              <w:contextualSpacing/>
              <w:jc w:val="center"/>
              <w:rPr>
                <w:color w:val="auto"/>
                <w:spacing w:val="-6"/>
                <w:sz w:val="18"/>
                <w:szCs w:val="18"/>
              </w:rPr>
            </w:pPr>
            <w:r>
              <w:rPr>
                <w:color w:val="auto"/>
                <w:spacing w:val="-6"/>
                <w:sz w:val="18"/>
                <w:szCs w:val="18"/>
              </w:rPr>
              <w:t>/</w:t>
            </w:r>
          </w:p>
        </w:tc>
        <w:tc>
          <w:tcPr>
            <w:tcW w:w="281" w:type="pct"/>
            <w:vMerge w:val="continue"/>
            <w:tcBorders>
              <w:tl2br w:val="nil"/>
              <w:tr2bl w:val="nil"/>
            </w:tcBorders>
            <w:vAlign w:val="center"/>
          </w:tcPr>
          <w:p>
            <w:pPr>
              <w:contextualSpacing/>
              <w:jc w:val="center"/>
              <w:rPr>
                <w:color w:val="auto"/>
                <w:sz w:val="18"/>
                <w:szCs w:val="18"/>
              </w:rPr>
            </w:pPr>
          </w:p>
        </w:tc>
        <w:tc>
          <w:tcPr>
            <w:tcW w:w="425" w:type="pct"/>
            <w:tcBorders>
              <w:tl2br w:val="nil"/>
              <w:tr2bl w:val="nil"/>
            </w:tcBorders>
            <w:vAlign w:val="center"/>
          </w:tcPr>
          <w:p>
            <w:pPr>
              <w:contextualSpacing/>
              <w:jc w:val="center"/>
              <w:rPr>
                <w:rFonts w:hint="eastAsia"/>
                <w:color w:val="auto"/>
                <w:sz w:val="18"/>
                <w:szCs w:val="18"/>
                <w:lang w:val="en-US" w:eastAsia="zh-CN"/>
              </w:rPr>
            </w:pPr>
            <w:r>
              <w:rPr>
                <w:rFonts w:hint="default" w:eastAsia="宋体"/>
                <w:color w:val="auto"/>
                <w:sz w:val="18"/>
                <w:szCs w:val="18"/>
                <w:lang w:val="en-US" w:eastAsia="zh-CN"/>
              </w:rPr>
              <w:t>52.1</w:t>
            </w:r>
          </w:p>
        </w:tc>
        <w:tc>
          <w:tcPr>
            <w:tcW w:w="529" w:type="pct"/>
            <w:tcBorders>
              <w:tl2br w:val="nil"/>
              <w:tr2bl w:val="nil"/>
            </w:tcBorders>
            <w:vAlign w:val="center"/>
          </w:tcPr>
          <w:p>
            <w:pPr>
              <w:contextualSpacing/>
              <w:jc w:val="center"/>
              <w:rPr>
                <w:rFonts w:hint="eastAsia"/>
                <w:color w:val="auto"/>
                <w:sz w:val="18"/>
                <w:szCs w:val="18"/>
                <w:lang w:val="en-US" w:eastAsia="zh-CN"/>
              </w:rPr>
            </w:pPr>
            <w:r>
              <w:rPr>
                <w:rFonts w:hint="default" w:eastAsia="宋体"/>
                <w:color w:val="auto"/>
                <w:sz w:val="18"/>
                <w:szCs w:val="18"/>
                <w:lang w:val="en-US" w:eastAsia="zh-CN"/>
              </w:rPr>
              <w:t>0.083</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vMerge w:val="continue"/>
            <w:tcBorders>
              <w:tl2br w:val="nil"/>
              <w:tr2bl w:val="nil"/>
            </w:tcBorders>
            <w:vAlign w:val="center"/>
          </w:tcPr>
          <w:p>
            <w:pPr>
              <w:contextualSpacing/>
              <w:jc w:val="center"/>
              <w:rPr>
                <w:color w:val="auto"/>
                <w:sz w:val="18"/>
                <w:szCs w:val="18"/>
              </w:rPr>
            </w:pP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default" w:eastAsia="宋体"/>
                <w:color w:val="auto"/>
                <w:sz w:val="18"/>
                <w:szCs w:val="18"/>
                <w:lang w:val="en-US" w:eastAsia="zh-CN"/>
              </w:rPr>
              <w:t>NO</w:t>
            </w:r>
            <w:r>
              <w:rPr>
                <w:rFonts w:hint="default" w:eastAsia="宋体"/>
                <w:color w:val="auto"/>
                <w:sz w:val="18"/>
                <w:szCs w:val="18"/>
                <w:vertAlign w:val="subscript"/>
                <w:lang w:val="en-US" w:eastAsia="zh-CN"/>
              </w:rPr>
              <w:t>X</w:t>
            </w:r>
          </w:p>
        </w:tc>
        <w:tc>
          <w:tcPr>
            <w:tcW w:w="284" w:type="pct"/>
            <w:vMerge w:val="continue"/>
            <w:tcBorders>
              <w:tl2br w:val="nil"/>
              <w:tr2bl w:val="nil"/>
            </w:tcBorders>
            <w:shd w:val="clear" w:color="auto" w:fill="FFFFFF"/>
            <w:vAlign w:val="center"/>
          </w:tcPr>
          <w:p>
            <w:pPr>
              <w:contextualSpacing/>
              <w:jc w:val="center"/>
              <w:rPr>
                <w:rFonts w:hint="default" w:eastAsia="宋体"/>
                <w:color w:val="auto"/>
                <w:sz w:val="18"/>
                <w:szCs w:val="18"/>
                <w:lang w:val="en-US" w:eastAsia="zh-CN"/>
              </w:rPr>
            </w:pPr>
          </w:p>
        </w:tc>
        <w:tc>
          <w:tcPr>
            <w:tcW w:w="284" w:type="pct"/>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default" w:eastAsia="宋体"/>
                <w:color w:val="auto"/>
                <w:sz w:val="18"/>
                <w:szCs w:val="18"/>
                <w:lang w:val="en-US" w:eastAsia="zh-CN"/>
              </w:rPr>
              <w:t>100</w:t>
            </w:r>
          </w:p>
        </w:tc>
        <w:tc>
          <w:tcPr>
            <w:tcW w:w="594" w:type="pct"/>
            <w:tcBorders>
              <w:tl2br w:val="nil"/>
              <w:tr2bl w:val="nil"/>
            </w:tcBorders>
            <w:shd w:val="clear" w:color="auto" w:fill="auto"/>
            <w:vAlign w:val="center"/>
          </w:tcPr>
          <w:p>
            <w:pPr>
              <w:contextualSpacing/>
              <w:jc w:val="center"/>
              <w:rPr>
                <w:rFonts w:hint="eastAsia" w:eastAsia="宋体"/>
                <w:color w:val="auto"/>
                <w:sz w:val="18"/>
                <w:szCs w:val="18"/>
                <w:lang w:val="en-US" w:eastAsia="zh-CN"/>
              </w:rPr>
            </w:pPr>
            <w:r>
              <w:rPr>
                <w:rFonts w:hint="default" w:eastAsia="宋体"/>
                <w:color w:val="auto"/>
                <w:sz w:val="18"/>
                <w:szCs w:val="18"/>
                <w:lang w:val="en-US" w:eastAsia="zh-CN"/>
              </w:rPr>
              <w:t>0.159</w:t>
            </w:r>
          </w:p>
        </w:tc>
        <w:tc>
          <w:tcPr>
            <w:tcW w:w="657" w:type="pct"/>
            <w:vMerge w:val="continue"/>
            <w:tcBorders>
              <w:tl2br w:val="nil"/>
              <w:tr2bl w:val="nil"/>
            </w:tcBorders>
            <w:vAlign w:val="center"/>
          </w:tcPr>
          <w:p>
            <w:pPr>
              <w:contextualSpacing/>
              <w:jc w:val="center"/>
              <w:rPr>
                <w:rFonts w:hint="eastAsia"/>
                <w:color w:val="auto"/>
                <w:sz w:val="18"/>
                <w:szCs w:val="18"/>
                <w:lang w:val="en-US" w:eastAsia="zh-CN"/>
              </w:rPr>
            </w:pPr>
          </w:p>
        </w:tc>
        <w:tc>
          <w:tcPr>
            <w:tcW w:w="329" w:type="pct"/>
            <w:tcBorders>
              <w:tl2br w:val="nil"/>
              <w:tr2bl w:val="nil"/>
            </w:tcBorders>
            <w:vAlign w:val="center"/>
          </w:tcPr>
          <w:p>
            <w:pPr>
              <w:contextualSpacing/>
              <w:jc w:val="center"/>
              <w:rPr>
                <w:rFonts w:hint="eastAsia"/>
                <w:color w:val="auto"/>
                <w:sz w:val="18"/>
                <w:szCs w:val="18"/>
                <w:lang w:val="en-US" w:eastAsia="zh-CN"/>
              </w:rPr>
            </w:pPr>
            <w:r>
              <w:rPr>
                <w:color w:val="auto"/>
                <w:spacing w:val="-6"/>
                <w:sz w:val="18"/>
                <w:szCs w:val="18"/>
              </w:rPr>
              <w:t>/</w:t>
            </w:r>
          </w:p>
        </w:tc>
        <w:tc>
          <w:tcPr>
            <w:tcW w:w="281" w:type="pct"/>
            <w:vMerge w:val="continue"/>
            <w:tcBorders>
              <w:tl2br w:val="nil"/>
              <w:tr2bl w:val="nil"/>
            </w:tcBorders>
            <w:vAlign w:val="center"/>
          </w:tcPr>
          <w:p>
            <w:pPr>
              <w:contextualSpacing/>
              <w:jc w:val="center"/>
              <w:rPr>
                <w:rFonts w:hint="eastAsia"/>
                <w:color w:val="auto"/>
                <w:sz w:val="18"/>
                <w:szCs w:val="18"/>
                <w:lang w:val="en-US" w:eastAsia="zh-CN"/>
              </w:rPr>
            </w:pPr>
          </w:p>
        </w:tc>
        <w:tc>
          <w:tcPr>
            <w:tcW w:w="425"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70</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ascii="Times New Roman" w:hAnsi="Times New Roman" w:eastAsia="宋体" w:cs="Times New Roman"/>
                <w:color w:val="auto"/>
                <w:sz w:val="18"/>
                <w:szCs w:val="18"/>
                <w:lang w:val="en-US" w:eastAsia="zh-CN"/>
              </w:rPr>
              <w:t>0.112</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ind w:firstLine="420"/>
              <w:contextualSpacing/>
              <w:jc w:val="center"/>
              <w:rPr>
                <w:color w:val="auto"/>
                <w:sz w:val="18"/>
                <w:szCs w:val="18"/>
              </w:rPr>
            </w:pPr>
          </w:p>
        </w:tc>
        <w:tc>
          <w:tcPr>
            <w:tcW w:w="204" w:type="pct"/>
            <w:vMerge w:val="continue"/>
            <w:tcBorders>
              <w:tl2br w:val="nil"/>
              <w:tr2bl w:val="nil"/>
            </w:tcBorders>
            <w:vAlign w:val="center"/>
          </w:tcPr>
          <w:p>
            <w:pPr>
              <w:contextualSpacing/>
              <w:jc w:val="center"/>
              <w:rPr>
                <w:color w:val="auto"/>
                <w:sz w:val="18"/>
                <w:szCs w:val="18"/>
              </w:rPr>
            </w:pPr>
          </w:p>
        </w:tc>
        <w:tc>
          <w:tcPr>
            <w:tcW w:w="530" w:type="pct"/>
            <w:vMerge w:val="continue"/>
            <w:tcBorders>
              <w:tl2br w:val="nil"/>
              <w:tr2bl w:val="nil"/>
            </w:tcBorders>
            <w:shd w:val="clear" w:color="auto" w:fill="auto"/>
            <w:vAlign w:val="center"/>
          </w:tcPr>
          <w:p>
            <w:pPr>
              <w:contextualSpacing/>
              <w:jc w:val="center"/>
              <w:rPr>
                <w:color w:val="auto"/>
                <w:sz w:val="18"/>
                <w:szCs w:val="18"/>
              </w:rPr>
            </w:pPr>
          </w:p>
        </w:tc>
        <w:tc>
          <w:tcPr>
            <w:tcW w:w="280" w:type="pct"/>
            <w:tcBorders>
              <w:tl2br w:val="nil"/>
              <w:tr2bl w:val="nil"/>
            </w:tcBorders>
            <w:shd w:val="clear" w:color="auto" w:fill="auto"/>
            <w:vAlign w:val="center"/>
          </w:tcPr>
          <w:p>
            <w:pPr>
              <w:jc w:val="center"/>
              <w:rPr>
                <w:color w:val="auto"/>
                <w:sz w:val="18"/>
                <w:szCs w:val="18"/>
              </w:rPr>
            </w:pPr>
            <w:r>
              <w:rPr>
                <w:color w:val="auto"/>
                <w:sz w:val="18"/>
                <w:szCs w:val="18"/>
              </w:rPr>
              <w:t>林格曼黑度</w:t>
            </w:r>
          </w:p>
        </w:tc>
        <w:tc>
          <w:tcPr>
            <w:tcW w:w="284" w:type="pct"/>
            <w:vMerge w:val="continue"/>
            <w:tcBorders>
              <w:tl2br w:val="nil"/>
              <w:tr2bl w:val="nil"/>
            </w:tcBorders>
            <w:shd w:val="clear" w:color="auto" w:fill="FFFFFF"/>
            <w:vAlign w:val="center"/>
          </w:tcPr>
          <w:p>
            <w:pPr>
              <w:shd w:val="clear" w:color="auto" w:fill="FFFFFF"/>
              <w:contextualSpacing/>
              <w:jc w:val="center"/>
              <w:rPr>
                <w:color w:val="auto"/>
                <w:sz w:val="18"/>
                <w:szCs w:val="18"/>
              </w:rPr>
            </w:pPr>
          </w:p>
        </w:tc>
        <w:tc>
          <w:tcPr>
            <w:tcW w:w="878" w:type="pct"/>
            <w:gridSpan w:val="2"/>
            <w:tcBorders>
              <w:tl2br w:val="nil"/>
              <w:tr2bl w:val="nil"/>
            </w:tcBorders>
            <w:vAlign w:val="center"/>
          </w:tcPr>
          <w:p>
            <w:pPr>
              <w:contextualSpacing/>
              <w:jc w:val="center"/>
              <w:rPr>
                <w:color w:val="auto"/>
                <w:sz w:val="18"/>
                <w:szCs w:val="18"/>
              </w:rPr>
            </w:pPr>
            <w:r>
              <w:rPr>
                <w:rFonts w:hint="eastAsia"/>
                <w:color w:val="auto"/>
                <w:sz w:val="18"/>
                <w:szCs w:val="18"/>
              </w:rPr>
              <w:t>&lt;1</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tcBorders>
              <w:tl2br w:val="nil"/>
              <w:tr2bl w:val="nil"/>
            </w:tcBorders>
            <w:vAlign w:val="center"/>
          </w:tcPr>
          <w:p>
            <w:pPr>
              <w:contextualSpacing/>
              <w:jc w:val="center"/>
              <w:rPr>
                <w:color w:val="auto"/>
                <w:spacing w:val="-6"/>
                <w:sz w:val="18"/>
                <w:szCs w:val="18"/>
              </w:rPr>
            </w:pPr>
            <w:r>
              <w:rPr>
                <w:color w:val="auto"/>
                <w:spacing w:val="-6"/>
                <w:sz w:val="18"/>
                <w:szCs w:val="18"/>
              </w:rPr>
              <w:t>/</w:t>
            </w:r>
          </w:p>
        </w:tc>
        <w:tc>
          <w:tcPr>
            <w:tcW w:w="281" w:type="pct"/>
            <w:vMerge w:val="continue"/>
            <w:tcBorders>
              <w:tl2br w:val="nil"/>
              <w:tr2bl w:val="nil"/>
            </w:tcBorders>
            <w:vAlign w:val="center"/>
          </w:tcPr>
          <w:p>
            <w:pPr>
              <w:contextualSpacing/>
              <w:jc w:val="center"/>
              <w:rPr>
                <w:color w:val="auto"/>
                <w:sz w:val="18"/>
                <w:szCs w:val="18"/>
              </w:rPr>
            </w:pPr>
          </w:p>
        </w:tc>
        <w:tc>
          <w:tcPr>
            <w:tcW w:w="425" w:type="pct"/>
            <w:tcBorders>
              <w:tl2br w:val="nil"/>
              <w:tr2bl w:val="nil"/>
            </w:tcBorders>
            <w:vAlign w:val="center"/>
          </w:tcPr>
          <w:p>
            <w:pPr>
              <w:contextualSpacing/>
              <w:jc w:val="center"/>
              <w:rPr>
                <w:color w:val="auto"/>
                <w:sz w:val="18"/>
                <w:szCs w:val="18"/>
              </w:rPr>
            </w:pPr>
            <w:r>
              <w:rPr>
                <w:rFonts w:hint="eastAsia"/>
                <w:color w:val="auto"/>
                <w:sz w:val="18"/>
                <w:szCs w:val="18"/>
              </w:rPr>
              <w:t>&lt;1</w:t>
            </w:r>
          </w:p>
        </w:tc>
        <w:tc>
          <w:tcPr>
            <w:tcW w:w="916" w:type="pct"/>
            <w:gridSpan w:val="2"/>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restart"/>
            <w:tcBorders>
              <w:tl2br w:val="nil"/>
              <w:tr2bl w:val="nil"/>
            </w:tcBorders>
            <w:vAlign w:val="center"/>
          </w:tcPr>
          <w:p>
            <w:pPr>
              <w:contextualSpacing/>
              <w:jc w:val="center"/>
              <w:rPr>
                <w:rFonts w:hAnsi="宋体"/>
                <w:color w:val="auto"/>
                <w:spacing w:val="-14"/>
                <w:sz w:val="18"/>
                <w:szCs w:val="18"/>
              </w:rPr>
            </w:pPr>
            <w:r>
              <w:rPr>
                <w:rFonts w:hAnsi="宋体"/>
                <w:color w:val="auto"/>
                <w:spacing w:val="-14"/>
                <w:sz w:val="18"/>
                <w:szCs w:val="18"/>
              </w:rPr>
              <w:t>搅拌缸</w:t>
            </w:r>
          </w:p>
          <w:p>
            <w:pPr>
              <w:contextualSpacing/>
              <w:jc w:val="center"/>
              <w:rPr>
                <w:color w:val="auto"/>
                <w:sz w:val="18"/>
                <w:szCs w:val="18"/>
              </w:rPr>
            </w:pPr>
            <w:r>
              <w:rPr>
                <w:rFonts w:hAnsi="宋体"/>
                <w:color w:val="auto"/>
                <w:spacing w:val="-14"/>
                <w:sz w:val="18"/>
                <w:szCs w:val="18"/>
              </w:rPr>
              <w:t>沥青储罐</w:t>
            </w:r>
          </w:p>
        </w:tc>
        <w:tc>
          <w:tcPr>
            <w:tcW w:w="530" w:type="pct"/>
            <w:vMerge w:val="restart"/>
            <w:tcBorders>
              <w:tl2br w:val="nil"/>
              <w:tr2bl w:val="nil"/>
            </w:tcBorders>
            <w:shd w:val="clear" w:color="auto" w:fill="auto"/>
            <w:vAlign w:val="center"/>
          </w:tcPr>
          <w:p>
            <w:pPr>
              <w:contextualSpacing/>
              <w:jc w:val="center"/>
              <w:rPr>
                <w:color w:val="auto"/>
                <w:sz w:val="18"/>
                <w:szCs w:val="18"/>
              </w:rPr>
            </w:pPr>
            <w:r>
              <w:rPr>
                <w:rFonts w:hint="eastAsia"/>
                <w:bCs/>
                <w:color w:val="auto"/>
                <w:sz w:val="18"/>
                <w:szCs w:val="18"/>
                <w:lang w:val="en-US" w:eastAsia="zh-CN"/>
              </w:rPr>
              <w:t>沥青预处理系统、拌合系统废气</w:t>
            </w:r>
            <w:r>
              <w:rPr>
                <w:color w:val="auto"/>
                <w:sz w:val="18"/>
                <w:szCs w:val="18"/>
              </w:rPr>
              <w:t>（</w:t>
            </w:r>
            <w:r>
              <w:rPr>
                <w:rFonts w:hint="eastAsia"/>
                <w:color w:val="auto"/>
                <w:sz w:val="18"/>
                <w:szCs w:val="18"/>
              </w:rPr>
              <w:t>DA001</w:t>
            </w:r>
            <w:r>
              <w:rPr>
                <w:color w:val="auto"/>
                <w:sz w:val="18"/>
                <w:szCs w:val="18"/>
              </w:rPr>
              <w:t>）</w:t>
            </w:r>
          </w:p>
        </w:tc>
        <w:tc>
          <w:tcPr>
            <w:tcW w:w="280" w:type="pc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沥青烟</w:t>
            </w:r>
          </w:p>
        </w:tc>
        <w:tc>
          <w:tcPr>
            <w:tcW w:w="284" w:type="pct"/>
            <w:vMerge w:val="restart"/>
            <w:tcBorders>
              <w:tl2br w:val="nil"/>
              <w:tr2bl w:val="nil"/>
            </w:tcBorders>
            <w:shd w:val="clear" w:color="auto" w:fill="FFFFFF"/>
            <w:vAlign w:val="center"/>
          </w:tcPr>
          <w:p>
            <w:pPr>
              <w:shd w:val="clear" w:color="auto" w:fill="FFFFFF"/>
              <w:contextualSpacing/>
              <w:jc w:val="center"/>
              <w:rPr>
                <w:color w:val="auto"/>
                <w:sz w:val="18"/>
                <w:szCs w:val="18"/>
              </w:rPr>
            </w:pPr>
            <w:r>
              <w:rPr>
                <w:rFonts w:hint="eastAsia"/>
                <w:color w:val="auto"/>
                <w:sz w:val="18"/>
                <w:szCs w:val="18"/>
              </w:rPr>
              <w:t>40000</w:t>
            </w:r>
          </w:p>
        </w:tc>
        <w:tc>
          <w:tcPr>
            <w:tcW w:w="284" w:type="pct"/>
            <w:tcBorders>
              <w:tl2br w:val="nil"/>
              <w:tr2bl w:val="nil"/>
            </w:tcBorders>
            <w:vAlign w:val="center"/>
          </w:tcPr>
          <w:p>
            <w:pPr>
              <w:contextualSpacing/>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594" w:type="pct"/>
            <w:tcBorders>
              <w:tl2br w:val="nil"/>
              <w:tr2bl w:val="nil"/>
            </w:tcBorders>
            <w:vAlign w:val="center"/>
          </w:tcPr>
          <w:p>
            <w:pPr>
              <w:contextualSpacing/>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0.36</w:t>
            </w:r>
          </w:p>
        </w:tc>
        <w:tc>
          <w:tcPr>
            <w:tcW w:w="657" w:type="pct"/>
            <w:vMerge w:val="restart"/>
            <w:tcBorders>
              <w:tl2br w:val="nil"/>
              <w:tr2bl w:val="nil"/>
            </w:tcBorders>
            <w:vAlign w:val="center"/>
          </w:tcPr>
          <w:p>
            <w:pPr>
              <w:contextualSpacing/>
              <w:jc w:val="center"/>
              <w:rPr>
                <w:color w:val="auto"/>
                <w:spacing w:val="-6"/>
                <w:sz w:val="18"/>
                <w:szCs w:val="18"/>
              </w:rPr>
            </w:pPr>
            <w:r>
              <w:rPr>
                <w:rFonts w:hAnsi="宋体"/>
                <w:bCs/>
                <w:color w:val="auto"/>
                <w:sz w:val="18"/>
                <w:szCs w:val="18"/>
              </w:rPr>
              <w:t>搅拌机出料口采用</w:t>
            </w:r>
            <w:r>
              <w:rPr>
                <w:rFonts w:hint="eastAsia" w:hAnsi="宋体"/>
                <w:bCs/>
                <w:color w:val="auto"/>
                <w:sz w:val="18"/>
                <w:szCs w:val="18"/>
                <w:lang w:val="en-US" w:eastAsia="zh-CN"/>
              </w:rPr>
              <w:t>负压</w:t>
            </w:r>
            <w:r>
              <w:rPr>
                <w:rFonts w:hAnsi="宋体"/>
                <w:bCs/>
                <w:color w:val="auto"/>
                <w:sz w:val="18"/>
                <w:szCs w:val="18"/>
              </w:rPr>
              <w:t>集气装置（收集效率9</w:t>
            </w:r>
            <w:r>
              <w:rPr>
                <w:rFonts w:hint="eastAsia" w:hAnsi="宋体"/>
                <w:bCs/>
                <w:color w:val="auto"/>
                <w:sz w:val="18"/>
                <w:szCs w:val="18"/>
                <w:lang w:val="en-US" w:eastAsia="zh-CN"/>
              </w:rPr>
              <w:t>0</w:t>
            </w:r>
            <w:r>
              <w:rPr>
                <w:rFonts w:hAnsi="宋体"/>
                <w:bCs/>
                <w:color w:val="auto"/>
                <w:sz w:val="18"/>
                <w:szCs w:val="18"/>
              </w:rPr>
              <w:t>%）后经</w:t>
            </w:r>
            <w:r>
              <w:rPr>
                <w:rFonts w:hint="eastAsia" w:hAnsi="宋体"/>
                <w:bCs/>
                <w:color w:val="auto"/>
                <w:sz w:val="18"/>
                <w:szCs w:val="18"/>
                <w:lang w:eastAsia="zh-CN"/>
              </w:rPr>
              <w:t>活性炭吸附</w:t>
            </w:r>
            <w:r>
              <w:rPr>
                <w:rFonts w:hint="eastAsia" w:hAnsi="宋体"/>
                <w:bCs/>
                <w:color w:val="auto"/>
                <w:sz w:val="18"/>
                <w:szCs w:val="18"/>
              </w:rPr>
              <w:t>（处理效率95%）处理后，经</w:t>
            </w:r>
            <w:r>
              <w:rPr>
                <w:rFonts w:hint="eastAsia" w:hAnsi="宋体"/>
                <w:bCs/>
                <w:color w:val="auto"/>
                <w:sz w:val="18"/>
                <w:szCs w:val="18"/>
                <w:lang w:val="en-US" w:eastAsia="zh-CN"/>
              </w:rPr>
              <w:t>15</w:t>
            </w:r>
            <w:r>
              <w:rPr>
                <w:rFonts w:hint="eastAsia" w:hAnsi="宋体"/>
                <w:bCs/>
                <w:color w:val="auto"/>
                <w:sz w:val="18"/>
                <w:szCs w:val="18"/>
                <w:lang w:eastAsia="zh-CN"/>
              </w:rPr>
              <w:t>m</w:t>
            </w:r>
            <w:r>
              <w:rPr>
                <w:rFonts w:hint="eastAsia" w:hAnsi="宋体"/>
                <w:bCs/>
                <w:color w:val="auto"/>
                <w:sz w:val="18"/>
                <w:szCs w:val="18"/>
              </w:rPr>
              <w:t>高沥青搅拌排气筒（DA00</w:t>
            </w:r>
            <w:r>
              <w:rPr>
                <w:rFonts w:hint="eastAsia" w:hAnsi="宋体"/>
                <w:bCs/>
                <w:color w:val="auto"/>
                <w:sz w:val="18"/>
                <w:szCs w:val="18"/>
                <w:lang w:val="en-US" w:eastAsia="zh-CN"/>
              </w:rPr>
              <w:t>1</w:t>
            </w:r>
            <w:r>
              <w:rPr>
                <w:rFonts w:hint="eastAsia" w:hAnsi="宋体"/>
                <w:bCs/>
                <w:color w:val="auto"/>
                <w:sz w:val="18"/>
                <w:szCs w:val="18"/>
              </w:rPr>
              <w:t>）排放</w:t>
            </w:r>
          </w:p>
        </w:tc>
        <w:tc>
          <w:tcPr>
            <w:tcW w:w="329" w:type="pct"/>
            <w:vMerge w:val="restart"/>
            <w:tcBorders>
              <w:tl2br w:val="nil"/>
              <w:tr2bl w:val="nil"/>
            </w:tcBorders>
            <w:vAlign w:val="center"/>
          </w:tcPr>
          <w:p>
            <w:pPr>
              <w:jc w:val="center"/>
              <w:rPr>
                <w:color w:val="auto"/>
                <w:sz w:val="18"/>
                <w:szCs w:val="18"/>
              </w:rPr>
            </w:pPr>
            <w:r>
              <w:rPr>
                <w:rFonts w:hint="eastAsia"/>
                <w:color w:val="auto"/>
                <w:sz w:val="18"/>
                <w:szCs w:val="18"/>
              </w:rPr>
              <w:t>95</w:t>
            </w:r>
            <w:r>
              <w:rPr>
                <w:color w:val="auto"/>
                <w:sz w:val="18"/>
                <w:szCs w:val="18"/>
              </w:rPr>
              <w:t>%</w:t>
            </w:r>
          </w:p>
        </w:tc>
        <w:tc>
          <w:tcPr>
            <w:tcW w:w="281" w:type="pct"/>
            <w:vMerge w:val="restart"/>
            <w:tcBorders>
              <w:tl2br w:val="nil"/>
              <w:tr2bl w:val="nil"/>
            </w:tcBorders>
            <w:vAlign w:val="center"/>
          </w:tcPr>
          <w:p>
            <w:pPr>
              <w:contextualSpacing/>
              <w:jc w:val="center"/>
              <w:rPr>
                <w:color w:val="auto"/>
                <w:sz w:val="18"/>
                <w:szCs w:val="18"/>
              </w:rPr>
            </w:pPr>
            <w:r>
              <w:rPr>
                <w:rFonts w:hint="eastAsia"/>
                <w:color w:val="auto"/>
                <w:sz w:val="18"/>
                <w:szCs w:val="18"/>
              </w:rPr>
              <w:t>40000</w:t>
            </w:r>
          </w:p>
        </w:tc>
        <w:tc>
          <w:tcPr>
            <w:tcW w:w="425"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0.45</w:t>
            </w:r>
          </w:p>
        </w:tc>
        <w:tc>
          <w:tcPr>
            <w:tcW w:w="529" w:type="pct"/>
            <w:tcBorders>
              <w:tl2br w:val="nil"/>
              <w:tr2bl w:val="nil"/>
            </w:tcBorders>
            <w:vAlign w:val="center"/>
          </w:tcPr>
          <w:p>
            <w:pPr>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18</w:t>
            </w:r>
          </w:p>
        </w:tc>
        <w:tc>
          <w:tcPr>
            <w:tcW w:w="387" w:type="pct"/>
            <w:vMerge w:val="restar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lang w:val="en-US" w:eastAsia="zh-CN"/>
              </w:rPr>
              <w:t>12</w:t>
            </w:r>
            <w:r>
              <w:rPr>
                <w:rFonts w:hint="eastAsia"/>
                <w:color w:val="auto"/>
                <w:sz w:val="18"/>
                <w:szCs w:val="18"/>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continue"/>
            <w:tcBorders>
              <w:tl2br w:val="nil"/>
              <w:tr2bl w:val="nil"/>
            </w:tcBorders>
            <w:vAlign w:val="center"/>
          </w:tcPr>
          <w:p>
            <w:pPr>
              <w:ind w:firstLine="420"/>
              <w:contextualSpacing/>
              <w:jc w:val="center"/>
              <w:rPr>
                <w:color w:val="auto"/>
                <w:sz w:val="18"/>
                <w:szCs w:val="18"/>
              </w:rPr>
            </w:pPr>
          </w:p>
        </w:tc>
        <w:tc>
          <w:tcPr>
            <w:tcW w:w="530" w:type="pct"/>
            <w:vMerge w:val="continue"/>
            <w:tcBorders>
              <w:tl2br w:val="nil"/>
              <w:tr2bl w:val="nil"/>
            </w:tcBorders>
            <w:shd w:val="clear" w:color="auto" w:fill="auto"/>
            <w:vAlign w:val="center"/>
          </w:tcPr>
          <w:p>
            <w:pPr>
              <w:ind w:firstLine="420"/>
              <w:contextualSpacing/>
              <w:jc w:val="center"/>
              <w:rPr>
                <w:color w:val="auto"/>
                <w:sz w:val="18"/>
                <w:szCs w:val="18"/>
              </w:rPr>
            </w:pPr>
          </w:p>
        </w:tc>
        <w:tc>
          <w:tcPr>
            <w:tcW w:w="280" w:type="pc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苯并[a]芘</w:t>
            </w:r>
          </w:p>
        </w:tc>
        <w:tc>
          <w:tcPr>
            <w:tcW w:w="284" w:type="pct"/>
            <w:vMerge w:val="continue"/>
            <w:tcBorders>
              <w:tl2br w:val="nil"/>
              <w:tr2bl w:val="nil"/>
            </w:tcBorders>
            <w:shd w:val="clear" w:color="auto" w:fill="FFFFFF"/>
            <w:vAlign w:val="center"/>
          </w:tcPr>
          <w:p>
            <w:pPr>
              <w:shd w:val="clear" w:color="auto" w:fill="FFFFFF"/>
              <w:contextualSpacing/>
              <w:jc w:val="center"/>
              <w:rPr>
                <w:color w:val="auto"/>
                <w:sz w:val="18"/>
                <w:szCs w:val="18"/>
              </w:rPr>
            </w:pPr>
          </w:p>
        </w:tc>
        <w:tc>
          <w:tcPr>
            <w:tcW w:w="284" w:type="pct"/>
            <w:tcBorders>
              <w:tl2br w:val="nil"/>
              <w:tr2bl w:val="nil"/>
            </w:tcBorders>
            <w:vAlign w:val="center"/>
          </w:tcPr>
          <w:p>
            <w:pPr>
              <w:contextualSpacing/>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0.0002</w:t>
            </w:r>
          </w:p>
        </w:tc>
        <w:tc>
          <w:tcPr>
            <w:tcW w:w="594"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7.5</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w:t>
            </w:r>
            <w:r>
              <w:rPr>
                <w:rFonts w:hint="eastAsia" w:ascii="Times New Roman" w:hAnsi="Times New Roman" w:cs="Times New Roman"/>
                <w:color w:val="auto"/>
                <w:sz w:val="18"/>
                <w:szCs w:val="18"/>
                <w:vertAlign w:val="superscript"/>
                <w:lang w:val="en-US" w:eastAsia="zh-CN"/>
              </w:rPr>
              <w:t>6</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continue"/>
            <w:tcBorders>
              <w:tl2br w:val="nil"/>
              <w:tr2bl w:val="nil"/>
            </w:tcBorders>
            <w:vAlign w:val="center"/>
          </w:tcPr>
          <w:p>
            <w:pPr>
              <w:jc w:val="center"/>
              <w:rPr>
                <w:color w:val="auto"/>
                <w:sz w:val="18"/>
                <w:szCs w:val="18"/>
              </w:rPr>
            </w:pPr>
          </w:p>
        </w:tc>
        <w:tc>
          <w:tcPr>
            <w:tcW w:w="281" w:type="pct"/>
            <w:vMerge w:val="continue"/>
            <w:tcBorders>
              <w:tl2br w:val="nil"/>
              <w:tr2bl w:val="nil"/>
            </w:tcBorders>
            <w:vAlign w:val="center"/>
          </w:tcPr>
          <w:p>
            <w:pPr>
              <w:contextualSpacing/>
              <w:jc w:val="center"/>
              <w:rPr>
                <w:color w:val="auto"/>
                <w:sz w:val="18"/>
                <w:szCs w:val="18"/>
              </w:rPr>
            </w:pPr>
          </w:p>
        </w:tc>
        <w:tc>
          <w:tcPr>
            <w:tcW w:w="425" w:type="pct"/>
            <w:tcBorders>
              <w:tl2br w:val="nil"/>
              <w:tr2bl w:val="nil"/>
            </w:tcBorders>
            <w:vAlign w:val="center"/>
          </w:tcPr>
          <w:p>
            <w:pPr>
              <w:contextualSpacing/>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0.00001</w:t>
            </w:r>
          </w:p>
        </w:tc>
        <w:tc>
          <w:tcPr>
            <w:tcW w:w="529" w:type="pct"/>
            <w:tcBorders>
              <w:tl2br w:val="nil"/>
              <w:tr2bl w:val="nil"/>
            </w:tcBorders>
            <w:vAlign w:val="center"/>
          </w:tcPr>
          <w:p>
            <w:pPr>
              <w:contextualSpacing/>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3.75</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vertAlign w:val="superscript"/>
                <w:lang w:val="en-US" w:eastAsia="zh-CN"/>
              </w:rPr>
              <w:t>7</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continue"/>
            <w:tcBorders>
              <w:tl2br w:val="nil"/>
              <w:tr2bl w:val="nil"/>
            </w:tcBorders>
            <w:vAlign w:val="center"/>
          </w:tcPr>
          <w:p>
            <w:pPr>
              <w:ind w:firstLine="420"/>
              <w:contextualSpacing/>
              <w:jc w:val="center"/>
              <w:rPr>
                <w:color w:val="auto"/>
                <w:sz w:val="18"/>
                <w:szCs w:val="18"/>
              </w:rPr>
            </w:pPr>
          </w:p>
        </w:tc>
        <w:tc>
          <w:tcPr>
            <w:tcW w:w="530" w:type="pct"/>
            <w:vMerge w:val="continue"/>
            <w:tcBorders>
              <w:tl2br w:val="nil"/>
              <w:tr2bl w:val="nil"/>
            </w:tcBorders>
            <w:shd w:val="clear" w:color="auto" w:fill="auto"/>
            <w:vAlign w:val="center"/>
          </w:tcPr>
          <w:p>
            <w:pPr>
              <w:ind w:firstLine="420"/>
              <w:contextualSpacing/>
              <w:jc w:val="center"/>
              <w:rPr>
                <w:color w:val="auto"/>
                <w:sz w:val="18"/>
                <w:szCs w:val="18"/>
              </w:rPr>
            </w:pPr>
          </w:p>
        </w:tc>
        <w:tc>
          <w:tcPr>
            <w:tcW w:w="280" w:type="pc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非甲烷总烃</w:t>
            </w:r>
          </w:p>
        </w:tc>
        <w:tc>
          <w:tcPr>
            <w:tcW w:w="284" w:type="pct"/>
            <w:vMerge w:val="continue"/>
            <w:tcBorders>
              <w:tl2br w:val="nil"/>
              <w:tr2bl w:val="nil"/>
            </w:tcBorders>
            <w:shd w:val="clear" w:color="auto" w:fill="FFFFFF"/>
            <w:vAlign w:val="center"/>
          </w:tcPr>
          <w:p>
            <w:pPr>
              <w:shd w:val="clear" w:color="auto" w:fill="FFFFFF"/>
              <w:contextualSpacing/>
              <w:jc w:val="center"/>
              <w:rPr>
                <w:color w:val="auto"/>
                <w:sz w:val="18"/>
                <w:szCs w:val="18"/>
              </w:rPr>
            </w:pPr>
          </w:p>
        </w:tc>
        <w:tc>
          <w:tcPr>
            <w:tcW w:w="284" w:type="pct"/>
            <w:tcBorders>
              <w:tl2br w:val="nil"/>
              <w:tr2bl w:val="nil"/>
            </w:tcBorders>
            <w:vAlign w:val="center"/>
          </w:tcPr>
          <w:p>
            <w:pPr>
              <w:contextualSpacing/>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w:t>
            </w:r>
          </w:p>
        </w:tc>
        <w:tc>
          <w:tcPr>
            <w:tcW w:w="594" w:type="pct"/>
            <w:tcBorders>
              <w:tl2br w:val="nil"/>
              <w:tr2bl w:val="nil"/>
            </w:tcBorders>
            <w:vAlign w:val="center"/>
          </w:tcPr>
          <w:p>
            <w:pPr>
              <w:contextualSpacing/>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0.02</w:t>
            </w:r>
          </w:p>
        </w:tc>
        <w:tc>
          <w:tcPr>
            <w:tcW w:w="657" w:type="pct"/>
            <w:vMerge w:val="continue"/>
            <w:tcBorders>
              <w:tl2br w:val="nil"/>
              <w:tr2bl w:val="nil"/>
            </w:tcBorders>
            <w:vAlign w:val="center"/>
          </w:tcPr>
          <w:p>
            <w:pPr>
              <w:contextualSpacing/>
              <w:jc w:val="center"/>
              <w:rPr>
                <w:color w:val="auto"/>
                <w:spacing w:val="-6"/>
                <w:sz w:val="18"/>
                <w:szCs w:val="18"/>
              </w:rPr>
            </w:pPr>
          </w:p>
        </w:tc>
        <w:tc>
          <w:tcPr>
            <w:tcW w:w="329" w:type="pct"/>
            <w:vMerge w:val="continue"/>
            <w:tcBorders>
              <w:tl2br w:val="nil"/>
              <w:tr2bl w:val="nil"/>
            </w:tcBorders>
            <w:vAlign w:val="center"/>
          </w:tcPr>
          <w:p>
            <w:pPr>
              <w:jc w:val="center"/>
              <w:rPr>
                <w:color w:val="auto"/>
                <w:sz w:val="18"/>
                <w:szCs w:val="18"/>
              </w:rPr>
            </w:pPr>
          </w:p>
        </w:tc>
        <w:tc>
          <w:tcPr>
            <w:tcW w:w="281" w:type="pct"/>
            <w:vMerge w:val="continue"/>
            <w:tcBorders>
              <w:tl2br w:val="nil"/>
              <w:tr2bl w:val="nil"/>
            </w:tcBorders>
            <w:vAlign w:val="center"/>
          </w:tcPr>
          <w:p>
            <w:pPr>
              <w:contextualSpacing/>
              <w:jc w:val="center"/>
              <w:rPr>
                <w:color w:val="auto"/>
                <w:sz w:val="18"/>
                <w:szCs w:val="18"/>
              </w:rPr>
            </w:pPr>
          </w:p>
        </w:tc>
        <w:tc>
          <w:tcPr>
            <w:tcW w:w="425" w:type="pct"/>
            <w:tcBorders>
              <w:tl2br w:val="nil"/>
              <w:tr2bl w:val="nil"/>
            </w:tcBorders>
            <w:vAlign w:val="center"/>
          </w:tcPr>
          <w:p>
            <w:pPr>
              <w:contextualSpacing/>
              <w:jc w:val="center"/>
              <w:rPr>
                <w:rFonts w:hint="default"/>
                <w:color w:val="auto"/>
                <w:sz w:val="18"/>
                <w:szCs w:val="18"/>
                <w:lang w:val="en-US"/>
              </w:rPr>
            </w:pPr>
            <w:r>
              <w:rPr>
                <w:rFonts w:hint="eastAsia" w:ascii="Times New Roman" w:hAnsi="Times New Roman" w:cs="Times New Roman"/>
                <w:color w:val="auto"/>
                <w:sz w:val="18"/>
                <w:szCs w:val="18"/>
                <w:lang w:val="en-US" w:eastAsia="zh-CN"/>
              </w:rPr>
              <w:t>0.025</w:t>
            </w:r>
          </w:p>
        </w:tc>
        <w:tc>
          <w:tcPr>
            <w:tcW w:w="529" w:type="pct"/>
            <w:tcBorders>
              <w:tl2br w:val="nil"/>
              <w:tr2bl w:val="nil"/>
            </w:tcBorders>
            <w:vAlign w:val="center"/>
          </w:tcPr>
          <w:p>
            <w:pPr>
              <w:contextualSpacing/>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w:t>
            </w:r>
            <w:r>
              <w:rPr>
                <w:rFonts w:hint="default" w:ascii="Times New Roman" w:hAnsi="Times New Roman" w:cs="Times New Roman"/>
                <w:color w:val="auto"/>
                <w:sz w:val="18"/>
                <w:szCs w:val="18"/>
                <w:lang w:val="en-US" w:eastAsia="zh-CN"/>
              </w:rPr>
              <w:t>1</w:t>
            </w:r>
          </w:p>
        </w:tc>
        <w:tc>
          <w:tcPr>
            <w:tcW w:w="387" w:type="pct"/>
            <w:vMerge w:val="continue"/>
            <w:tcBorders>
              <w:tl2br w:val="nil"/>
              <w:tr2bl w:val="nil"/>
            </w:tcBorders>
            <w:shd w:val="clear" w:color="auto" w:fill="auto"/>
            <w:vAlign w:val="center"/>
          </w:tcPr>
          <w:p>
            <w:pPr>
              <w:contextualSpacing/>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restart"/>
            <w:tcBorders>
              <w:tl2br w:val="nil"/>
              <w:tr2bl w:val="nil"/>
            </w:tcBorders>
            <w:vAlign w:val="center"/>
          </w:tcPr>
          <w:p>
            <w:pPr>
              <w:contextualSpacing/>
              <w:jc w:val="center"/>
              <w:rPr>
                <w:rFonts w:hint="eastAsia" w:eastAsia="宋体"/>
                <w:color w:val="auto"/>
                <w:sz w:val="18"/>
                <w:szCs w:val="18"/>
                <w:lang w:val="en-US" w:eastAsia="zh-CN"/>
              </w:rPr>
            </w:pPr>
            <w:r>
              <w:rPr>
                <w:rFonts w:hint="eastAsia"/>
                <w:color w:val="auto"/>
                <w:sz w:val="18"/>
                <w:szCs w:val="18"/>
                <w:lang w:val="en-US" w:eastAsia="zh-CN"/>
              </w:rPr>
              <w:t>无组织</w:t>
            </w:r>
          </w:p>
        </w:tc>
        <w:tc>
          <w:tcPr>
            <w:tcW w:w="204" w:type="pct"/>
            <w:tcBorders>
              <w:tl2br w:val="nil"/>
              <w:tr2bl w:val="nil"/>
            </w:tcBorders>
            <w:vAlign w:val="center"/>
          </w:tcPr>
          <w:p>
            <w:pPr>
              <w:contextualSpacing/>
              <w:jc w:val="center"/>
              <w:rPr>
                <w:color w:val="auto"/>
                <w:sz w:val="18"/>
                <w:szCs w:val="18"/>
              </w:rPr>
            </w:pPr>
            <w:r>
              <w:rPr>
                <w:color w:val="auto"/>
                <w:sz w:val="18"/>
                <w:szCs w:val="18"/>
              </w:rPr>
              <w:t>堆场</w:t>
            </w:r>
          </w:p>
        </w:tc>
        <w:tc>
          <w:tcPr>
            <w:tcW w:w="530" w:type="pct"/>
            <w:tcBorders>
              <w:tl2br w:val="nil"/>
              <w:tr2bl w:val="nil"/>
            </w:tcBorders>
            <w:shd w:val="clear" w:color="auto" w:fill="auto"/>
            <w:vAlign w:val="center"/>
          </w:tcPr>
          <w:p>
            <w:pPr>
              <w:contextualSpacing/>
              <w:jc w:val="center"/>
              <w:rPr>
                <w:color w:val="auto"/>
                <w:sz w:val="18"/>
                <w:szCs w:val="18"/>
              </w:rPr>
            </w:pPr>
            <w:r>
              <w:rPr>
                <w:color w:val="auto"/>
                <w:sz w:val="18"/>
                <w:szCs w:val="18"/>
              </w:rPr>
              <w:t>无组织</w:t>
            </w:r>
          </w:p>
        </w:tc>
        <w:tc>
          <w:tcPr>
            <w:tcW w:w="280" w:type="pc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颗粒物</w:t>
            </w:r>
          </w:p>
        </w:tc>
        <w:tc>
          <w:tcPr>
            <w:tcW w:w="284" w:type="pct"/>
            <w:tcBorders>
              <w:tl2br w:val="nil"/>
              <w:tr2bl w:val="nil"/>
            </w:tcBorders>
            <w:shd w:val="clear" w:color="auto" w:fill="FFFFFF"/>
            <w:vAlign w:val="center"/>
          </w:tcPr>
          <w:p>
            <w:pPr>
              <w:shd w:val="clear" w:color="auto" w:fill="FFFFFF"/>
              <w:contextualSpacing/>
              <w:jc w:val="center"/>
              <w:rPr>
                <w:color w:val="auto"/>
                <w:sz w:val="18"/>
                <w:szCs w:val="18"/>
              </w:rPr>
            </w:pPr>
            <w:r>
              <w:rPr>
                <w:rFonts w:hint="eastAsia"/>
                <w:color w:val="auto"/>
                <w:sz w:val="18"/>
                <w:szCs w:val="18"/>
              </w:rPr>
              <w:t>/</w:t>
            </w:r>
          </w:p>
        </w:tc>
        <w:tc>
          <w:tcPr>
            <w:tcW w:w="284" w:type="pct"/>
            <w:tcBorders>
              <w:tl2br w:val="nil"/>
              <w:tr2bl w:val="nil"/>
            </w:tcBorders>
            <w:vAlign w:val="center"/>
          </w:tcPr>
          <w:p>
            <w:pPr>
              <w:contextualSpacing/>
              <w:jc w:val="center"/>
              <w:rPr>
                <w:rFonts w:hAnsi="宋体"/>
                <w:color w:val="auto"/>
                <w:spacing w:val="-14"/>
                <w:sz w:val="18"/>
                <w:szCs w:val="18"/>
              </w:rPr>
            </w:pPr>
            <w:r>
              <w:rPr>
                <w:rFonts w:hint="eastAsia" w:hAnsi="宋体"/>
                <w:color w:val="auto"/>
                <w:spacing w:val="-14"/>
                <w:sz w:val="18"/>
                <w:szCs w:val="18"/>
              </w:rPr>
              <w:t>/</w:t>
            </w:r>
          </w:p>
        </w:tc>
        <w:tc>
          <w:tcPr>
            <w:tcW w:w="594"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0.046</w:t>
            </w:r>
          </w:p>
        </w:tc>
        <w:tc>
          <w:tcPr>
            <w:tcW w:w="657" w:type="pct"/>
            <w:tcBorders>
              <w:tl2br w:val="nil"/>
              <w:tr2bl w:val="nil"/>
            </w:tcBorders>
            <w:vAlign w:val="center"/>
          </w:tcPr>
          <w:p>
            <w:pPr>
              <w:contextualSpacing/>
              <w:jc w:val="center"/>
              <w:rPr>
                <w:bCs/>
                <w:color w:val="auto"/>
                <w:sz w:val="18"/>
                <w:szCs w:val="18"/>
              </w:rPr>
            </w:pPr>
            <w:r>
              <w:rPr>
                <w:rFonts w:hint="eastAsia" w:hAnsi="宋体"/>
                <w:bCs/>
                <w:color w:val="auto"/>
                <w:spacing w:val="-6"/>
                <w:sz w:val="18"/>
                <w:szCs w:val="18"/>
              </w:rPr>
              <w:t>洒水抑尘</w:t>
            </w:r>
            <w:r>
              <w:rPr>
                <w:rFonts w:hAnsi="宋体"/>
                <w:bCs/>
                <w:color w:val="auto"/>
                <w:spacing w:val="-6"/>
                <w:sz w:val="18"/>
                <w:szCs w:val="18"/>
              </w:rPr>
              <w:t>防风抑尘网</w:t>
            </w:r>
          </w:p>
        </w:tc>
        <w:tc>
          <w:tcPr>
            <w:tcW w:w="329" w:type="pct"/>
            <w:tcBorders>
              <w:tl2br w:val="nil"/>
              <w:tr2bl w:val="nil"/>
            </w:tcBorders>
            <w:vAlign w:val="center"/>
          </w:tcPr>
          <w:p>
            <w:pPr>
              <w:jc w:val="center"/>
              <w:rPr>
                <w:color w:val="auto"/>
                <w:sz w:val="18"/>
                <w:szCs w:val="18"/>
              </w:rPr>
            </w:pPr>
            <w:r>
              <w:rPr>
                <w:rFonts w:hint="eastAsia"/>
                <w:color w:val="auto"/>
                <w:sz w:val="18"/>
                <w:szCs w:val="18"/>
              </w:rPr>
              <w:t>52</w:t>
            </w:r>
            <w:r>
              <w:rPr>
                <w:color w:val="auto"/>
                <w:sz w:val="18"/>
                <w:szCs w:val="18"/>
              </w:rPr>
              <w:t>%</w:t>
            </w:r>
          </w:p>
        </w:tc>
        <w:tc>
          <w:tcPr>
            <w:tcW w:w="281" w:type="pct"/>
            <w:tcBorders>
              <w:tl2br w:val="nil"/>
              <w:tr2bl w:val="nil"/>
            </w:tcBorders>
            <w:vAlign w:val="center"/>
          </w:tcPr>
          <w:p>
            <w:pPr>
              <w:contextualSpacing/>
              <w:jc w:val="center"/>
              <w:rPr>
                <w:color w:val="auto"/>
                <w:sz w:val="18"/>
                <w:szCs w:val="18"/>
              </w:rPr>
            </w:pPr>
            <w:r>
              <w:rPr>
                <w:rFonts w:hint="eastAsia"/>
                <w:color w:val="auto"/>
                <w:sz w:val="18"/>
                <w:szCs w:val="18"/>
              </w:rPr>
              <w:t>/</w:t>
            </w:r>
          </w:p>
        </w:tc>
        <w:tc>
          <w:tcPr>
            <w:tcW w:w="425" w:type="pct"/>
            <w:tcBorders>
              <w:tl2br w:val="nil"/>
              <w:tr2bl w:val="nil"/>
            </w:tcBorders>
            <w:vAlign w:val="center"/>
          </w:tcPr>
          <w:p>
            <w:pPr>
              <w:shd w:val="clear" w:color="auto" w:fill="FFFFFF"/>
              <w:contextualSpacing/>
              <w:jc w:val="center"/>
              <w:rPr>
                <w:color w:val="auto"/>
                <w:sz w:val="18"/>
                <w:szCs w:val="18"/>
              </w:rPr>
            </w:pPr>
            <w:r>
              <w:rPr>
                <w:rFonts w:hint="eastAsia"/>
                <w:color w:val="auto"/>
                <w:sz w:val="18"/>
                <w:szCs w:val="18"/>
              </w:rPr>
              <w:t>/</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0.022</w:t>
            </w:r>
          </w:p>
        </w:tc>
        <w:tc>
          <w:tcPr>
            <w:tcW w:w="387" w:type="pct"/>
            <w:tcBorders>
              <w:tl2br w:val="nil"/>
              <w:tr2bl w:val="nil"/>
            </w:tcBorders>
            <w:shd w:val="clear" w:color="auto" w:fill="auto"/>
            <w:vAlign w:val="center"/>
          </w:tcPr>
          <w:p>
            <w:pPr>
              <w:contextualSpacing/>
              <w:jc w:val="center"/>
              <w:rPr>
                <w:rFonts w:hint="default"/>
                <w:color w:val="auto"/>
                <w:sz w:val="18"/>
                <w:szCs w:val="18"/>
                <w:lang w:val="en-US"/>
              </w:rPr>
            </w:pPr>
            <w:r>
              <w:rPr>
                <w:rFonts w:hint="eastAsia"/>
                <w:color w:val="auto"/>
                <w:sz w:val="18"/>
                <w:szCs w:val="18"/>
                <w:lang w:val="en-US" w:eastAsia="zh-CN"/>
              </w:rPr>
              <w:t>2880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tcBorders>
              <w:tl2br w:val="nil"/>
              <w:tr2bl w:val="nil"/>
            </w:tcBorders>
            <w:vAlign w:val="center"/>
          </w:tcPr>
          <w:p>
            <w:pPr>
              <w:contextualSpacing/>
              <w:jc w:val="center"/>
              <w:rPr>
                <w:color w:val="auto"/>
                <w:sz w:val="18"/>
                <w:szCs w:val="18"/>
              </w:rPr>
            </w:pPr>
            <w:r>
              <w:rPr>
                <w:color w:val="auto"/>
                <w:sz w:val="18"/>
                <w:szCs w:val="18"/>
              </w:rPr>
              <w:t>铲装集堆</w:t>
            </w:r>
          </w:p>
        </w:tc>
        <w:tc>
          <w:tcPr>
            <w:tcW w:w="530" w:type="pct"/>
            <w:tcBorders>
              <w:tl2br w:val="nil"/>
              <w:tr2bl w:val="nil"/>
            </w:tcBorders>
            <w:shd w:val="clear" w:color="auto" w:fill="auto"/>
            <w:vAlign w:val="center"/>
          </w:tcPr>
          <w:p>
            <w:pPr>
              <w:contextualSpacing/>
              <w:jc w:val="center"/>
              <w:rPr>
                <w:color w:val="auto"/>
                <w:sz w:val="18"/>
                <w:szCs w:val="18"/>
              </w:rPr>
            </w:pPr>
            <w:r>
              <w:rPr>
                <w:color w:val="auto"/>
                <w:sz w:val="18"/>
                <w:szCs w:val="18"/>
              </w:rPr>
              <w:t>无组织</w:t>
            </w:r>
          </w:p>
        </w:tc>
        <w:tc>
          <w:tcPr>
            <w:tcW w:w="280" w:type="pc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颗粒物</w:t>
            </w:r>
          </w:p>
        </w:tc>
        <w:tc>
          <w:tcPr>
            <w:tcW w:w="284" w:type="pct"/>
            <w:tcBorders>
              <w:tl2br w:val="nil"/>
              <w:tr2bl w:val="nil"/>
            </w:tcBorders>
            <w:shd w:val="clear" w:color="auto" w:fill="FFFFFF"/>
            <w:vAlign w:val="center"/>
          </w:tcPr>
          <w:p>
            <w:pPr>
              <w:shd w:val="clear" w:color="auto" w:fill="FFFFFF"/>
              <w:contextualSpacing/>
              <w:jc w:val="center"/>
              <w:rPr>
                <w:color w:val="auto"/>
                <w:sz w:val="18"/>
                <w:szCs w:val="18"/>
              </w:rPr>
            </w:pPr>
            <w:r>
              <w:rPr>
                <w:rFonts w:hint="eastAsia"/>
                <w:color w:val="auto"/>
                <w:sz w:val="18"/>
                <w:szCs w:val="18"/>
              </w:rPr>
              <w:t>/</w:t>
            </w:r>
          </w:p>
        </w:tc>
        <w:tc>
          <w:tcPr>
            <w:tcW w:w="284" w:type="pct"/>
            <w:tcBorders>
              <w:tl2br w:val="nil"/>
              <w:tr2bl w:val="nil"/>
            </w:tcBorders>
            <w:vAlign w:val="center"/>
          </w:tcPr>
          <w:p>
            <w:pPr>
              <w:contextualSpacing/>
              <w:jc w:val="center"/>
              <w:rPr>
                <w:rFonts w:hAnsi="宋体"/>
                <w:color w:val="auto"/>
                <w:spacing w:val="-14"/>
                <w:sz w:val="18"/>
                <w:szCs w:val="18"/>
              </w:rPr>
            </w:pPr>
            <w:r>
              <w:rPr>
                <w:rFonts w:hint="eastAsia" w:hAnsi="宋体"/>
                <w:color w:val="auto"/>
                <w:spacing w:val="-14"/>
                <w:sz w:val="18"/>
                <w:szCs w:val="18"/>
              </w:rPr>
              <w:t>/</w:t>
            </w:r>
          </w:p>
        </w:tc>
        <w:tc>
          <w:tcPr>
            <w:tcW w:w="594"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0.23</w:t>
            </w:r>
          </w:p>
        </w:tc>
        <w:tc>
          <w:tcPr>
            <w:tcW w:w="657" w:type="pct"/>
            <w:tcBorders>
              <w:tl2br w:val="nil"/>
              <w:tr2bl w:val="nil"/>
            </w:tcBorders>
            <w:vAlign w:val="center"/>
          </w:tcPr>
          <w:p>
            <w:pPr>
              <w:contextualSpacing/>
              <w:jc w:val="center"/>
              <w:rPr>
                <w:bCs/>
                <w:color w:val="auto"/>
                <w:sz w:val="18"/>
                <w:szCs w:val="18"/>
              </w:rPr>
            </w:pPr>
            <w:r>
              <w:rPr>
                <w:rFonts w:hAnsi="宋体"/>
                <w:bCs/>
                <w:color w:val="auto"/>
                <w:spacing w:val="-6"/>
                <w:sz w:val="18"/>
                <w:szCs w:val="18"/>
              </w:rPr>
              <w:t>洒水喷淋</w:t>
            </w:r>
          </w:p>
        </w:tc>
        <w:tc>
          <w:tcPr>
            <w:tcW w:w="329" w:type="pct"/>
            <w:tcBorders>
              <w:tl2br w:val="nil"/>
              <w:tr2bl w:val="nil"/>
            </w:tcBorders>
            <w:vAlign w:val="center"/>
          </w:tcPr>
          <w:p>
            <w:pPr>
              <w:jc w:val="center"/>
              <w:rPr>
                <w:color w:val="auto"/>
                <w:sz w:val="18"/>
                <w:szCs w:val="18"/>
              </w:rPr>
            </w:pPr>
            <w:r>
              <w:rPr>
                <w:rFonts w:hint="eastAsia"/>
                <w:color w:val="auto"/>
                <w:sz w:val="18"/>
                <w:szCs w:val="18"/>
              </w:rPr>
              <w:t>74</w:t>
            </w:r>
            <w:r>
              <w:rPr>
                <w:color w:val="auto"/>
                <w:sz w:val="18"/>
                <w:szCs w:val="18"/>
              </w:rPr>
              <w:t>%</w:t>
            </w:r>
          </w:p>
        </w:tc>
        <w:tc>
          <w:tcPr>
            <w:tcW w:w="281" w:type="pct"/>
            <w:tcBorders>
              <w:tl2br w:val="nil"/>
              <w:tr2bl w:val="nil"/>
            </w:tcBorders>
            <w:vAlign w:val="center"/>
          </w:tcPr>
          <w:p>
            <w:pPr>
              <w:contextualSpacing/>
              <w:jc w:val="center"/>
              <w:rPr>
                <w:color w:val="auto"/>
                <w:sz w:val="18"/>
                <w:szCs w:val="18"/>
              </w:rPr>
            </w:pPr>
            <w:r>
              <w:rPr>
                <w:rFonts w:hint="eastAsia"/>
                <w:color w:val="auto"/>
                <w:sz w:val="18"/>
                <w:szCs w:val="18"/>
              </w:rPr>
              <w:t>/</w:t>
            </w:r>
          </w:p>
        </w:tc>
        <w:tc>
          <w:tcPr>
            <w:tcW w:w="425" w:type="pct"/>
            <w:tcBorders>
              <w:tl2br w:val="nil"/>
              <w:tr2bl w:val="nil"/>
            </w:tcBorders>
            <w:vAlign w:val="center"/>
          </w:tcPr>
          <w:p>
            <w:pPr>
              <w:shd w:val="clear" w:color="auto" w:fill="FFFFFF"/>
              <w:contextualSpacing/>
              <w:jc w:val="center"/>
              <w:rPr>
                <w:color w:val="auto"/>
                <w:sz w:val="18"/>
                <w:szCs w:val="18"/>
              </w:rPr>
            </w:pPr>
            <w:r>
              <w:rPr>
                <w:rFonts w:hint="eastAsia"/>
                <w:color w:val="auto"/>
                <w:sz w:val="18"/>
                <w:szCs w:val="18"/>
              </w:rPr>
              <w:t>/</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0.11</w:t>
            </w:r>
          </w:p>
        </w:tc>
        <w:tc>
          <w:tcPr>
            <w:tcW w:w="387" w:type="pct"/>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eastAsia"/>
                <w:color w:val="auto"/>
                <w:sz w:val="18"/>
                <w:szCs w:val="18"/>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205" w:type="pct"/>
            <w:vMerge w:val="continue"/>
            <w:tcBorders>
              <w:tl2br w:val="nil"/>
              <w:tr2bl w:val="nil"/>
            </w:tcBorders>
            <w:vAlign w:val="center"/>
          </w:tcPr>
          <w:p>
            <w:pPr>
              <w:contextualSpacing/>
              <w:rPr>
                <w:color w:val="auto"/>
                <w:sz w:val="18"/>
                <w:szCs w:val="18"/>
              </w:rPr>
            </w:pPr>
          </w:p>
        </w:tc>
        <w:tc>
          <w:tcPr>
            <w:tcW w:w="204" w:type="pct"/>
            <w:tcBorders>
              <w:tl2br w:val="nil"/>
              <w:tr2bl w:val="nil"/>
            </w:tcBorders>
            <w:vAlign w:val="center"/>
          </w:tcPr>
          <w:p>
            <w:pPr>
              <w:contextualSpacing/>
              <w:jc w:val="center"/>
              <w:rPr>
                <w:color w:val="auto"/>
                <w:sz w:val="18"/>
                <w:szCs w:val="18"/>
              </w:rPr>
            </w:pPr>
            <w:r>
              <w:rPr>
                <w:color w:val="auto"/>
                <w:sz w:val="18"/>
                <w:szCs w:val="18"/>
              </w:rPr>
              <w:t>上料</w:t>
            </w:r>
          </w:p>
        </w:tc>
        <w:tc>
          <w:tcPr>
            <w:tcW w:w="530" w:type="pct"/>
            <w:tcBorders>
              <w:tl2br w:val="nil"/>
              <w:tr2bl w:val="nil"/>
            </w:tcBorders>
            <w:shd w:val="clear" w:color="auto" w:fill="auto"/>
            <w:vAlign w:val="center"/>
          </w:tcPr>
          <w:p>
            <w:pPr>
              <w:contextualSpacing/>
              <w:jc w:val="center"/>
              <w:rPr>
                <w:color w:val="auto"/>
                <w:sz w:val="18"/>
                <w:szCs w:val="18"/>
              </w:rPr>
            </w:pPr>
            <w:r>
              <w:rPr>
                <w:color w:val="auto"/>
                <w:sz w:val="18"/>
                <w:szCs w:val="18"/>
              </w:rPr>
              <w:t>无组织</w:t>
            </w:r>
          </w:p>
        </w:tc>
        <w:tc>
          <w:tcPr>
            <w:tcW w:w="280" w:type="pc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颗粒物</w:t>
            </w:r>
          </w:p>
        </w:tc>
        <w:tc>
          <w:tcPr>
            <w:tcW w:w="284" w:type="pct"/>
            <w:tcBorders>
              <w:tl2br w:val="nil"/>
              <w:tr2bl w:val="nil"/>
            </w:tcBorders>
            <w:shd w:val="clear" w:color="auto" w:fill="FFFFFF"/>
            <w:vAlign w:val="center"/>
          </w:tcPr>
          <w:p>
            <w:pPr>
              <w:shd w:val="clear" w:color="auto" w:fill="FFFFFF"/>
              <w:contextualSpacing/>
              <w:jc w:val="center"/>
              <w:rPr>
                <w:color w:val="auto"/>
                <w:sz w:val="18"/>
                <w:szCs w:val="18"/>
              </w:rPr>
            </w:pPr>
            <w:r>
              <w:rPr>
                <w:rFonts w:hint="eastAsia"/>
                <w:color w:val="auto"/>
                <w:sz w:val="18"/>
                <w:szCs w:val="18"/>
              </w:rPr>
              <w:t>/</w:t>
            </w:r>
          </w:p>
        </w:tc>
        <w:tc>
          <w:tcPr>
            <w:tcW w:w="284" w:type="pct"/>
            <w:tcBorders>
              <w:tl2br w:val="nil"/>
              <w:tr2bl w:val="nil"/>
            </w:tcBorders>
            <w:vAlign w:val="center"/>
          </w:tcPr>
          <w:p>
            <w:pPr>
              <w:contextualSpacing/>
              <w:jc w:val="center"/>
              <w:rPr>
                <w:rFonts w:hAnsi="宋体"/>
                <w:color w:val="auto"/>
                <w:spacing w:val="-14"/>
                <w:sz w:val="18"/>
                <w:szCs w:val="18"/>
              </w:rPr>
            </w:pPr>
            <w:r>
              <w:rPr>
                <w:rFonts w:hint="eastAsia" w:hAnsi="宋体"/>
                <w:color w:val="auto"/>
                <w:spacing w:val="-14"/>
                <w:sz w:val="18"/>
                <w:szCs w:val="18"/>
              </w:rPr>
              <w:t>/</w:t>
            </w:r>
          </w:p>
        </w:tc>
        <w:tc>
          <w:tcPr>
            <w:tcW w:w="594"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0.0027</w:t>
            </w:r>
          </w:p>
        </w:tc>
        <w:tc>
          <w:tcPr>
            <w:tcW w:w="657" w:type="pct"/>
            <w:tcBorders>
              <w:tl2br w:val="nil"/>
              <w:tr2bl w:val="nil"/>
            </w:tcBorders>
            <w:vAlign w:val="center"/>
          </w:tcPr>
          <w:p>
            <w:pPr>
              <w:contextualSpacing/>
              <w:jc w:val="center"/>
              <w:rPr>
                <w:rFonts w:hAnsi="宋体"/>
                <w:bCs/>
                <w:color w:val="auto"/>
                <w:spacing w:val="-6"/>
                <w:sz w:val="18"/>
                <w:szCs w:val="18"/>
              </w:rPr>
            </w:pPr>
            <w:r>
              <w:rPr>
                <w:color w:val="auto"/>
                <w:sz w:val="18"/>
                <w:szCs w:val="18"/>
              </w:rPr>
              <w:t>/</w:t>
            </w:r>
          </w:p>
        </w:tc>
        <w:tc>
          <w:tcPr>
            <w:tcW w:w="329" w:type="pct"/>
            <w:tcBorders>
              <w:tl2br w:val="nil"/>
              <w:tr2bl w:val="nil"/>
            </w:tcBorders>
            <w:vAlign w:val="center"/>
          </w:tcPr>
          <w:p>
            <w:pPr>
              <w:jc w:val="center"/>
              <w:rPr>
                <w:color w:val="auto"/>
                <w:sz w:val="18"/>
                <w:szCs w:val="18"/>
              </w:rPr>
            </w:pPr>
            <w:r>
              <w:rPr>
                <w:color w:val="auto"/>
                <w:sz w:val="18"/>
                <w:szCs w:val="18"/>
              </w:rPr>
              <w:t>/</w:t>
            </w:r>
          </w:p>
        </w:tc>
        <w:tc>
          <w:tcPr>
            <w:tcW w:w="281" w:type="pct"/>
            <w:tcBorders>
              <w:tl2br w:val="nil"/>
              <w:tr2bl w:val="nil"/>
            </w:tcBorders>
            <w:vAlign w:val="center"/>
          </w:tcPr>
          <w:p>
            <w:pPr>
              <w:contextualSpacing/>
              <w:jc w:val="center"/>
              <w:rPr>
                <w:color w:val="auto"/>
                <w:sz w:val="18"/>
                <w:szCs w:val="18"/>
              </w:rPr>
            </w:pPr>
            <w:r>
              <w:rPr>
                <w:rFonts w:hint="eastAsia"/>
                <w:color w:val="auto"/>
                <w:sz w:val="18"/>
                <w:szCs w:val="18"/>
              </w:rPr>
              <w:t>/</w:t>
            </w:r>
          </w:p>
        </w:tc>
        <w:tc>
          <w:tcPr>
            <w:tcW w:w="425" w:type="pct"/>
            <w:tcBorders>
              <w:tl2br w:val="nil"/>
              <w:tr2bl w:val="nil"/>
            </w:tcBorders>
            <w:vAlign w:val="center"/>
          </w:tcPr>
          <w:p>
            <w:pPr>
              <w:shd w:val="clear" w:color="auto" w:fill="FFFFFF"/>
              <w:contextualSpacing/>
              <w:jc w:val="center"/>
              <w:rPr>
                <w:color w:val="auto"/>
                <w:sz w:val="18"/>
                <w:szCs w:val="18"/>
              </w:rPr>
            </w:pPr>
            <w:r>
              <w:rPr>
                <w:color w:val="auto"/>
                <w:sz w:val="18"/>
                <w:szCs w:val="18"/>
              </w:rPr>
              <w:t>/</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0.0027</w:t>
            </w:r>
          </w:p>
        </w:tc>
        <w:tc>
          <w:tcPr>
            <w:tcW w:w="387" w:type="pc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lang w:val="en-US" w:eastAsia="zh-CN"/>
              </w:rPr>
              <w:t>12</w:t>
            </w:r>
            <w:r>
              <w:rPr>
                <w:rFonts w:hint="eastAsia"/>
                <w:color w:val="auto"/>
                <w:sz w:val="18"/>
                <w:szCs w:val="18"/>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tcBorders>
              <w:tl2br w:val="nil"/>
              <w:tr2bl w:val="nil"/>
            </w:tcBorders>
            <w:vAlign w:val="center"/>
          </w:tcPr>
          <w:p>
            <w:pPr>
              <w:contextualSpacing/>
              <w:jc w:val="center"/>
              <w:rPr>
                <w:rFonts w:hint="eastAsia" w:eastAsia="宋体"/>
                <w:color w:val="auto"/>
                <w:sz w:val="18"/>
                <w:szCs w:val="18"/>
                <w:lang w:val="en-US" w:eastAsia="zh-CN"/>
              </w:rPr>
            </w:pPr>
            <w:r>
              <w:rPr>
                <w:rFonts w:hint="eastAsia"/>
                <w:color w:val="auto"/>
                <w:sz w:val="18"/>
                <w:szCs w:val="18"/>
                <w:lang w:val="en-US" w:eastAsia="zh-CN"/>
              </w:rPr>
              <w:t>储油罐</w:t>
            </w:r>
          </w:p>
        </w:tc>
        <w:tc>
          <w:tcPr>
            <w:tcW w:w="530" w:type="pct"/>
            <w:tcBorders>
              <w:tl2br w:val="nil"/>
              <w:tr2bl w:val="nil"/>
            </w:tcBorders>
            <w:shd w:val="clear" w:color="auto" w:fill="auto"/>
            <w:vAlign w:val="center"/>
          </w:tcPr>
          <w:p>
            <w:pPr>
              <w:contextualSpacing/>
              <w:jc w:val="center"/>
              <w:rPr>
                <w:color w:val="auto"/>
                <w:sz w:val="18"/>
                <w:szCs w:val="18"/>
              </w:rPr>
            </w:pPr>
            <w:r>
              <w:rPr>
                <w:rFonts w:hAnsi="宋体"/>
                <w:color w:val="auto"/>
                <w:sz w:val="18"/>
                <w:szCs w:val="18"/>
              </w:rPr>
              <w:t>无组织</w:t>
            </w:r>
          </w:p>
        </w:tc>
        <w:tc>
          <w:tcPr>
            <w:tcW w:w="280" w:type="pct"/>
            <w:tcBorders>
              <w:tl2br w:val="nil"/>
              <w:tr2bl w:val="nil"/>
            </w:tcBorders>
            <w:shd w:val="clear" w:color="auto" w:fill="auto"/>
            <w:vAlign w:val="center"/>
          </w:tcPr>
          <w:p>
            <w:pPr>
              <w:contextualSpacing/>
              <w:jc w:val="center"/>
              <w:rPr>
                <w:rFonts w:hint="eastAsia" w:hAnsi="宋体"/>
                <w:color w:val="auto"/>
                <w:sz w:val="18"/>
                <w:szCs w:val="18"/>
              </w:rPr>
            </w:pPr>
            <w:r>
              <w:rPr>
                <w:rFonts w:hint="eastAsia" w:hAnsi="宋体"/>
                <w:color w:val="auto"/>
                <w:sz w:val="18"/>
                <w:szCs w:val="18"/>
              </w:rPr>
              <w:t>非甲烷总烃</w:t>
            </w:r>
          </w:p>
        </w:tc>
        <w:tc>
          <w:tcPr>
            <w:tcW w:w="284" w:type="pct"/>
            <w:tcBorders>
              <w:tl2br w:val="nil"/>
              <w:tr2bl w:val="nil"/>
            </w:tcBorders>
            <w:shd w:val="clear" w:color="auto" w:fill="FFFFFF"/>
            <w:vAlign w:val="center"/>
          </w:tcPr>
          <w:p>
            <w:pPr>
              <w:shd w:val="clear" w:color="auto" w:fill="FFFFFF"/>
              <w:contextualSpacing/>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84" w:type="pct"/>
            <w:tcBorders>
              <w:tl2br w:val="nil"/>
              <w:tr2bl w:val="nil"/>
            </w:tcBorders>
            <w:shd w:val="clear" w:color="auto" w:fill="auto"/>
            <w:vAlign w:val="center"/>
          </w:tcPr>
          <w:p>
            <w:pPr>
              <w:contextualSpacing/>
              <w:jc w:val="center"/>
              <w:rPr>
                <w:rFonts w:ascii="Times New Roman" w:hAnsi="宋体" w:eastAsia="宋体" w:cs="Times New Roman"/>
                <w:color w:val="auto"/>
                <w:spacing w:val="-14"/>
                <w:kern w:val="2"/>
                <w:sz w:val="18"/>
                <w:szCs w:val="18"/>
                <w:lang w:val="en-US" w:eastAsia="zh-CN" w:bidi="ar-SA"/>
              </w:rPr>
            </w:pPr>
            <w:r>
              <w:rPr>
                <w:rFonts w:hAnsi="宋体"/>
                <w:color w:val="auto"/>
                <w:spacing w:val="-14"/>
                <w:sz w:val="18"/>
                <w:szCs w:val="18"/>
              </w:rPr>
              <w:t>/</w:t>
            </w:r>
          </w:p>
        </w:tc>
        <w:tc>
          <w:tcPr>
            <w:tcW w:w="594" w:type="pct"/>
            <w:tcBorders>
              <w:tl2br w:val="nil"/>
              <w:tr2bl w:val="nil"/>
            </w:tcBorders>
            <w:vAlign w:val="center"/>
          </w:tcPr>
          <w:p>
            <w:pPr>
              <w:contextualSpacing/>
              <w:jc w:val="center"/>
              <w:rPr>
                <w:rFonts w:hint="eastAsia"/>
                <w:color w:val="auto"/>
                <w:sz w:val="18"/>
                <w:szCs w:val="18"/>
              </w:rPr>
            </w:pPr>
            <w:r>
              <w:rPr>
                <w:rFonts w:hint="eastAsia"/>
                <w:color w:val="auto"/>
                <w:sz w:val="18"/>
                <w:szCs w:val="18"/>
                <w:lang w:val="en-US" w:eastAsia="zh-CN"/>
              </w:rPr>
              <w:t>0.3</w:t>
            </w:r>
          </w:p>
        </w:tc>
        <w:tc>
          <w:tcPr>
            <w:tcW w:w="657" w:type="pct"/>
            <w:tcBorders>
              <w:tl2br w:val="nil"/>
              <w:tr2bl w:val="nil"/>
            </w:tcBorders>
            <w:shd w:val="clear" w:color="auto" w:fill="auto"/>
            <w:vAlign w:val="center"/>
          </w:tcPr>
          <w:p>
            <w:pPr>
              <w:contextualSpacing/>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329" w:type="pct"/>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81" w:type="pct"/>
            <w:tcBorders>
              <w:tl2br w:val="nil"/>
              <w:tr2bl w:val="nil"/>
            </w:tcBorders>
            <w:shd w:val="clear" w:color="auto" w:fill="auto"/>
            <w:vAlign w:val="center"/>
          </w:tcPr>
          <w:p>
            <w:pPr>
              <w:contextualSpacing/>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425" w:type="pct"/>
            <w:tcBorders>
              <w:tl2br w:val="nil"/>
              <w:tr2bl w:val="nil"/>
            </w:tcBorders>
            <w:shd w:val="clear" w:color="auto" w:fill="auto"/>
            <w:vAlign w:val="center"/>
          </w:tcPr>
          <w:p>
            <w:pPr>
              <w:shd w:val="clear" w:color="auto" w:fill="FFFFFF"/>
              <w:contextualSpacing/>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529" w:type="pct"/>
            <w:tcBorders>
              <w:tl2br w:val="nil"/>
              <w:tr2bl w:val="nil"/>
            </w:tcBorders>
            <w:vAlign w:val="center"/>
          </w:tcPr>
          <w:p>
            <w:pPr>
              <w:contextualSpacing/>
              <w:jc w:val="center"/>
              <w:rPr>
                <w:rFonts w:hint="eastAsia"/>
                <w:color w:val="auto"/>
                <w:sz w:val="18"/>
                <w:szCs w:val="18"/>
              </w:rPr>
            </w:pPr>
            <w:r>
              <w:rPr>
                <w:rFonts w:hint="eastAsia"/>
                <w:color w:val="auto"/>
                <w:sz w:val="18"/>
                <w:szCs w:val="18"/>
                <w:lang w:val="en-US" w:eastAsia="zh-CN"/>
              </w:rPr>
              <w:t>0.3</w:t>
            </w:r>
          </w:p>
        </w:tc>
        <w:tc>
          <w:tcPr>
            <w:tcW w:w="395" w:type="pct"/>
            <w:gridSpan w:val="2"/>
            <w:tcBorders>
              <w:tl2br w:val="nil"/>
              <w:tr2bl w:val="nil"/>
            </w:tcBorders>
            <w:shd w:val="clear" w:color="auto" w:fill="auto"/>
            <w:vAlign w:val="center"/>
          </w:tcPr>
          <w:p>
            <w:pPr>
              <w:contextualSpacing/>
              <w:jc w:val="center"/>
              <w:rPr>
                <w:rFonts w:hint="default" w:eastAsia="宋体"/>
                <w:color w:val="auto"/>
                <w:sz w:val="18"/>
                <w:szCs w:val="18"/>
                <w:lang w:val="en-US" w:eastAsia="zh-CN"/>
              </w:rPr>
            </w:pPr>
            <w:r>
              <w:rPr>
                <w:rFonts w:hint="eastAsia"/>
                <w:color w:val="auto"/>
                <w:sz w:val="18"/>
                <w:szCs w:val="18"/>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restart"/>
            <w:tcBorders>
              <w:tl2br w:val="nil"/>
              <w:tr2bl w:val="nil"/>
            </w:tcBorders>
            <w:vAlign w:val="center"/>
          </w:tcPr>
          <w:p>
            <w:pPr>
              <w:contextualSpacing/>
              <w:jc w:val="center"/>
              <w:rPr>
                <w:rFonts w:hAnsi="宋体"/>
                <w:color w:val="auto"/>
                <w:spacing w:val="-14"/>
                <w:sz w:val="18"/>
                <w:szCs w:val="18"/>
              </w:rPr>
            </w:pPr>
            <w:r>
              <w:rPr>
                <w:rFonts w:hAnsi="宋体"/>
                <w:color w:val="auto"/>
                <w:spacing w:val="-14"/>
                <w:sz w:val="18"/>
                <w:szCs w:val="18"/>
              </w:rPr>
              <w:t>搅拌缸</w:t>
            </w:r>
          </w:p>
          <w:p>
            <w:pPr>
              <w:contextualSpacing/>
              <w:jc w:val="center"/>
              <w:rPr>
                <w:rFonts w:hint="eastAsia"/>
                <w:color w:val="auto"/>
                <w:sz w:val="18"/>
                <w:szCs w:val="18"/>
                <w:lang w:val="en-US" w:eastAsia="zh-CN"/>
              </w:rPr>
            </w:pPr>
            <w:r>
              <w:rPr>
                <w:rFonts w:hAnsi="宋体"/>
                <w:color w:val="auto"/>
                <w:spacing w:val="-14"/>
                <w:sz w:val="18"/>
                <w:szCs w:val="18"/>
              </w:rPr>
              <w:t>沥青储罐</w:t>
            </w:r>
          </w:p>
        </w:tc>
        <w:tc>
          <w:tcPr>
            <w:tcW w:w="530" w:type="pct"/>
            <w:vMerge w:val="restart"/>
            <w:tcBorders>
              <w:tl2br w:val="nil"/>
              <w:tr2bl w:val="nil"/>
            </w:tcBorders>
            <w:shd w:val="clear" w:color="auto" w:fill="auto"/>
            <w:vAlign w:val="center"/>
          </w:tcPr>
          <w:p>
            <w:pPr>
              <w:contextualSpacing/>
              <w:jc w:val="center"/>
              <w:rPr>
                <w:rFonts w:hAnsi="宋体"/>
                <w:color w:val="auto"/>
                <w:sz w:val="18"/>
                <w:szCs w:val="18"/>
              </w:rPr>
            </w:pPr>
            <w:r>
              <w:rPr>
                <w:rFonts w:hAnsi="宋体"/>
                <w:color w:val="auto"/>
                <w:sz w:val="18"/>
                <w:szCs w:val="18"/>
              </w:rPr>
              <w:t>无组织</w:t>
            </w:r>
          </w:p>
        </w:tc>
        <w:tc>
          <w:tcPr>
            <w:tcW w:w="280" w:type="pct"/>
            <w:tcBorders>
              <w:tl2br w:val="nil"/>
              <w:tr2bl w:val="nil"/>
            </w:tcBorders>
            <w:shd w:val="clear" w:color="auto" w:fill="auto"/>
            <w:vAlign w:val="center"/>
          </w:tcPr>
          <w:p>
            <w:pPr>
              <w:contextualSpacing/>
              <w:jc w:val="center"/>
              <w:rPr>
                <w:rFonts w:hint="eastAsia" w:hAnsi="宋体"/>
                <w:color w:val="auto"/>
                <w:sz w:val="18"/>
                <w:szCs w:val="18"/>
              </w:rPr>
            </w:pPr>
            <w:r>
              <w:rPr>
                <w:rFonts w:hAnsi="宋体"/>
                <w:color w:val="auto"/>
                <w:sz w:val="18"/>
                <w:szCs w:val="18"/>
              </w:rPr>
              <w:t>沥青烟</w:t>
            </w:r>
          </w:p>
        </w:tc>
        <w:tc>
          <w:tcPr>
            <w:tcW w:w="284" w:type="pct"/>
            <w:tcBorders>
              <w:tl2br w:val="nil"/>
              <w:tr2bl w:val="nil"/>
            </w:tcBorders>
            <w:shd w:val="clear" w:color="auto" w:fill="FFFFFF"/>
            <w:vAlign w:val="center"/>
          </w:tcPr>
          <w:p>
            <w:pPr>
              <w:shd w:val="clear" w:color="auto" w:fill="FFFFFF"/>
              <w:contextualSpacing/>
              <w:jc w:val="center"/>
              <w:rPr>
                <w:color w:val="auto"/>
                <w:sz w:val="18"/>
                <w:szCs w:val="18"/>
              </w:rPr>
            </w:pPr>
            <w:r>
              <w:rPr>
                <w:rFonts w:hint="eastAsia"/>
                <w:color w:val="auto"/>
                <w:sz w:val="18"/>
                <w:szCs w:val="18"/>
              </w:rPr>
              <w:t>/</w:t>
            </w:r>
          </w:p>
        </w:tc>
        <w:tc>
          <w:tcPr>
            <w:tcW w:w="284" w:type="pct"/>
            <w:tcBorders>
              <w:tl2br w:val="nil"/>
              <w:tr2bl w:val="nil"/>
            </w:tcBorders>
            <w:shd w:val="clear" w:color="auto" w:fill="auto"/>
            <w:vAlign w:val="center"/>
          </w:tcPr>
          <w:p>
            <w:pPr>
              <w:contextualSpacing/>
              <w:jc w:val="center"/>
              <w:rPr>
                <w:rFonts w:hAnsi="宋体"/>
                <w:color w:val="auto"/>
                <w:spacing w:val="-14"/>
                <w:sz w:val="18"/>
                <w:szCs w:val="18"/>
              </w:rPr>
            </w:pPr>
            <w:r>
              <w:rPr>
                <w:rFonts w:hint="eastAsia" w:hAnsi="宋体"/>
                <w:color w:val="auto"/>
                <w:spacing w:val="-14"/>
                <w:sz w:val="18"/>
                <w:szCs w:val="18"/>
              </w:rPr>
              <w:t>/</w:t>
            </w:r>
          </w:p>
        </w:tc>
        <w:tc>
          <w:tcPr>
            <w:tcW w:w="1683" w:type="dxa"/>
            <w:tcBorders>
              <w:tl2br w:val="nil"/>
              <w:tr2bl w:val="nil"/>
            </w:tcBorders>
            <w:vAlign w:val="center"/>
          </w:tcPr>
          <w:p>
            <w:pPr>
              <w:contextualSpacing/>
              <w:jc w:val="center"/>
              <w:rPr>
                <w:rFonts w:hint="eastAsia"/>
                <w:color w:val="auto"/>
                <w:sz w:val="18"/>
                <w:szCs w:val="18"/>
                <w:lang w:val="en-US" w:eastAsia="zh-CN"/>
              </w:rPr>
            </w:pPr>
            <w:r>
              <w:rPr>
                <w:rFonts w:hint="eastAsia"/>
                <w:color w:val="auto"/>
                <w:sz w:val="18"/>
                <w:szCs w:val="18"/>
                <w:lang w:val="en-US" w:eastAsia="zh-CN"/>
              </w:rPr>
              <w:t>0.04</w:t>
            </w:r>
          </w:p>
        </w:tc>
        <w:tc>
          <w:tcPr>
            <w:tcW w:w="657" w:type="pct"/>
            <w:tcBorders>
              <w:tl2br w:val="nil"/>
              <w:tr2bl w:val="nil"/>
            </w:tcBorders>
            <w:shd w:val="clear" w:color="auto" w:fill="auto"/>
            <w:vAlign w:val="center"/>
          </w:tcPr>
          <w:p>
            <w:pPr>
              <w:contextualSpacing/>
              <w:jc w:val="center"/>
              <w:rPr>
                <w:color w:val="auto"/>
                <w:sz w:val="18"/>
                <w:szCs w:val="18"/>
              </w:rPr>
            </w:pPr>
            <w:r>
              <w:rPr>
                <w:color w:val="auto"/>
                <w:sz w:val="18"/>
                <w:szCs w:val="18"/>
              </w:rPr>
              <w:t>/</w:t>
            </w:r>
          </w:p>
        </w:tc>
        <w:tc>
          <w:tcPr>
            <w:tcW w:w="329" w:type="pct"/>
            <w:tcBorders>
              <w:tl2br w:val="nil"/>
              <w:tr2bl w:val="nil"/>
            </w:tcBorders>
            <w:shd w:val="clear" w:color="auto" w:fill="auto"/>
            <w:vAlign w:val="center"/>
          </w:tcPr>
          <w:p>
            <w:pPr>
              <w:jc w:val="center"/>
              <w:rPr>
                <w:color w:val="auto"/>
                <w:sz w:val="18"/>
                <w:szCs w:val="18"/>
              </w:rPr>
            </w:pPr>
            <w:r>
              <w:rPr>
                <w:color w:val="auto"/>
                <w:sz w:val="18"/>
                <w:szCs w:val="18"/>
              </w:rPr>
              <w:t>/</w:t>
            </w:r>
          </w:p>
        </w:tc>
        <w:tc>
          <w:tcPr>
            <w:tcW w:w="281" w:type="pc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rPr>
              <w:t>/</w:t>
            </w:r>
          </w:p>
        </w:tc>
        <w:tc>
          <w:tcPr>
            <w:tcW w:w="425" w:type="pct"/>
            <w:tcBorders>
              <w:tl2br w:val="nil"/>
              <w:tr2bl w:val="nil"/>
            </w:tcBorders>
            <w:shd w:val="clear" w:color="auto" w:fill="auto"/>
            <w:vAlign w:val="center"/>
          </w:tcPr>
          <w:p>
            <w:pPr>
              <w:shd w:val="clear" w:color="auto" w:fill="FFFFFF"/>
              <w:contextualSpacing/>
              <w:jc w:val="center"/>
              <w:rPr>
                <w:color w:val="auto"/>
                <w:sz w:val="18"/>
                <w:szCs w:val="18"/>
              </w:rPr>
            </w:pPr>
            <w:r>
              <w:rPr>
                <w:rFonts w:hint="eastAsia"/>
                <w:color w:val="auto"/>
                <w:sz w:val="18"/>
                <w:szCs w:val="18"/>
              </w:rPr>
              <w:t>/</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0.04</w:t>
            </w:r>
          </w:p>
        </w:tc>
        <w:tc>
          <w:tcPr>
            <w:tcW w:w="395" w:type="pct"/>
            <w:gridSpan w:val="2"/>
            <w:vMerge w:val="restart"/>
            <w:tcBorders>
              <w:tl2br w:val="nil"/>
              <w:tr2bl w:val="nil"/>
            </w:tcBorders>
            <w:shd w:val="clear" w:color="auto" w:fill="auto"/>
            <w:vAlign w:val="center"/>
          </w:tcPr>
          <w:p>
            <w:pPr>
              <w:contextualSpacing/>
              <w:jc w:val="center"/>
              <w:rPr>
                <w:rFonts w:hint="eastAsia"/>
                <w:color w:val="auto"/>
                <w:sz w:val="18"/>
                <w:szCs w:val="18"/>
                <w:lang w:val="en-US" w:eastAsia="zh-CN"/>
              </w:rPr>
            </w:pPr>
            <w:r>
              <w:rPr>
                <w:rFonts w:hint="eastAsia"/>
                <w:color w:val="auto"/>
                <w:sz w:val="18"/>
                <w:szCs w:val="18"/>
                <w:lang w:val="en-US" w:eastAsia="zh-CN"/>
              </w:rPr>
              <w:t>12</w:t>
            </w:r>
            <w:r>
              <w:rPr>
                <w:rFonts w:hint="eastAsia"/>
                <w:color w:val="auto"/>
                <w:sz w:val="18"/>
                <w:szCs w:val="18"/>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continue"/>
            <w:tcBorders>
              <w:tl2br w:val="nil"/>
              <w:tr2bl w:val="nil"/>
            </w:tcBorders>
            <w:vAlign w:val="center"/>
          </w:tcPr>
          <w:p>
            <w:pPr>
              <w:contextualSpacing/>
              <w:jc w:val="center"/>
              <w:rPr>
                <w:rFonts w:hint="eastAsia"/>
                <w:color w:val="auto"/>
                <w:sz w:val="18"/>
                <w:szCs w:val="18"/>
                <w:lang w:val="en-US" w:eastAsia="zh-CN"/>
              </w:rPr>
            </w:pPr>
          </w:p>
        </w:tc>
        <w:tc>
          <w:tcPr>
            <w:tcW w:w="530" w:type="pct"/>
            <w:vMerge w:val="continue"/>
            <w:tcBorders>
              <w:tl2br w:val="nil"/>
              <w:tr2bl w:val="nil"/>
            </w:tcBorders>
            <w:shd w:val="clear" w:color="auto" w:fill="auto"/>
            <w:vAlign w:val="center"/>
          </w:tcPr>
          <w:p>
            <w:pPr>
              <w:contextualSpacing/>
              <w:jc w:val="center"/>
              <w:rPr>
                <w:rFonts w:hAnsi="宋体"/>
                <w:color w:val="auto"/>
                <w:sz w:val="18"/>
                <w:szCs w:val="18"/>
              </w:rPr>
            </w:pPr>
          </w:p>
        </w:tc>
        <w:tc>
          <w:tcPr>
            <w:tcW w:w="280" w:type="pct"/>
            <w:tcBorders>
              <w:tl2br w:val="nil"/>
              <w:tr2bl w:val="nil"/>
            </w:tcBorders>
            <w:shd w:val="clear" w:color="auto" w:fill="auto"/>
            <w:vAlign w:val="center"/>
          </w:tcPr>
          <w:p>
            <w:pPr>
              <w:contextualSpacing/>
              <w:jc w:val="center"/>
              <w:rPr>
                <w:rFonts w:hint="eastAsia" w:hAnsi="宋体"/>
                <w:color w:val="auto"/>
                <w:sz w:val="18"/>
                <w:szCs w:val="18"/>
              </w:rPr>
            </w:pPr>
            <w:r>
              <w:rPr>
                <w:rFonts w:hAnsi="宋体"/>
                <w:color w:val="auto"/>
                <w:sz w:val="18"/>
                <w:szCs w:val="18"/>
              </w:rPr>
              <w:t>苯并[a]芘</w:t>
            </w:r>
          </w:p>
        </w:tc>
        <w:tc>
          <w:tcPr>
            <w:tcW w:w="284" w:type="pct"/>
            <w:tcBorders>
              <w:tl2br w:val="nil"/>
              <w:tr2bl w:val="nil"/>
            </w:tcBorders>
            <w:shd w:val="clear" w:color="auto" w:fill="FFFFFF"/>
            <w:vAlign w:val="center"/>
          </w:tcPr>
          <w:p>
            <w:pPr>
              <w:shd w:val="clear" w:color="auto" w:fill="FFFFFF"/>
              <w:contextualSpacing/>
              <w:jc w:val="center"/>
              <w:rPr>
                <w:color w:val="auto"/>
                <w:sz w:val="18"/>
                <w:szCs w:val="18"/>
              </w:rPr>
            </w:pPr>
            <w:r>
              <w:rPr>
                <w:rFonts w:hint="eastAsia"/>
                <w:color w:val="auto"/>
                <w:sz w:val="18"/>
                <w:szCs w:val="18"/>
              </w:rPr>
              <w:t>/</w:t>
            </w:r>
          </w:p>
        </w:tc>
        <w:tc>
          <w:tcPr>
            <w:tcW w:w="284" w:type="pct"/>
            <w:tcBorders>
              <w:tl2br w:val="nil"/>
              <w:tr2bl w:val="nil"/>
            </w:tcBorders>
            <w:shd w:val="clear" w:color="auto" w:fill="auto"/>
            <w:vAlign w:val="center"/>
          </w:tcPr>
          <w:p>
            <w:pPr>
              <w:contextualSpacing/>
              <w:jc w:val="center"/>
              <w:rPr>
                <w:rFonts w:hAnsi="宋体"/>
                <w:color w:val="auto"/>
                <w:spacing w:val="-14"/>
                <w:sz w:val="18"/>
                <w:szCs w:val="18"/>
              </w:rPr>
            </w:pPr>
            <w:r>
              <w:rPr>
                <w:rFonts w:hint="eastAsia" w:hAnsi="宋体"/>
                <w:color w:val="auto"/>
                <w:spacing w:val="-14"/>
                <w:sz w:val="18"/>
                <w:szCs w:val="18"/>
              </w:rPr>
              <w:t>/</w:t>
            </w:r>
          </w:p>
        </w:tc>
        <w:tc>
          <w:tcPr>
            <w:tcW w:w="1683" w:type="dxa"/>
            <w:tcBorders>
              <w:tl2br w:val="nil"/>
              <w:tr2bl w:val="nil"/>
            </w:tcBorders>
            <w:vAlign w:val="center"/>
          </w:tcPr>
          <w:p>
            <w:pPr>
              <w:contextualSpacing/>
              <w:jc w:val="center"/>
              <w:rPr>
                <w:rFonts w:hint="eastAsia"/>
                <w:color w:val="auto"/>
                <w:sz w:val="18"/>
                <w:szCs w:val="18"/>
                <w:lang w:val="en-US" w:eastAsia="zh-CN"/>
              </w:rPr>
            </w:pPr>
            <w:r>
              <w:rPr>
                <w:rFonts w:hint="eastAsia"/>
                <w:color w:val="auto"/>
                <w:sz w:val="18"/>
                <w:szCs w:val="18"/>
                <w:lang w:val="en-US" w:eastAsia="zh-CN"/>
              </w:rPr>
              <w:t>0.0000008</w:t>
            </w:r>
          </w:p>
        </w:tc>
        <w:tc>
          <w:tcPr>
            <w:tcW w:w="657" w:type="pct"/>
            <w:tcBorders>
              <w:tl2br w:val="nil"/>
              <w:tr2bl w:val="nil"/>
            </w:tcBorders>
            <w:shd w:val="clear" w:color="auto" w:fill="auto"/>
            <w:vAlign w:val="center"/>
          </w:tcPr>
          <w:p>
            <w:pPr>
              <w:contextualSpacing/>
              <w:jc w:val="center"/>
              <w:rPr>
                <w:color w:val="auto"/>
                <w:sz w:val="18"/>
                <w:szCs w:val="18"/>
              </w:rPr>
            </w:pPr>
            <w:r>
              <w:rPr>
                <w:color w:val="auto"/>
                <w:sz w:val="18"/>
                <w:szCs w:val="18"/>
              </w:rPr>
              <w:t>/</w:t>
            </w:r>
          </w:p>
        </w:tc>
        <w:tc>
          <w:tcPr>
            <w:tcW w:w="329" w:type="pct"/>
            <w:tcBorders>
              <w:tl2br w:val="nil"/>
              <w:tr2bl w:val="nil"/>
            </w:tcBorders>
            <w:shd w:val="clear" w:color="auto" w:fill="auto"/>
            <w:vAlign w:val="center"/>
          </w:tcPr>
          <w:p>
            <w:pPr>
              <w:jc w:val="center"/>
              <w:rPr>
                <w:color w:val="auto"/>
                <w:sz w:val="18"/>
                <w:szCs w:val="18"/>
              </w:rPr>
            </w:pPr>
            <w:r>
              <w:rPr>
                <w:color w:val="auto"/>
                <w:sz w:val="18"/>
                <w:szCs w:val="18"/>
              </w:rPr>
              <w:t>/</w:t>
            </w:r>
          </w:p>
        </w:tc>
        <w:tc>
          <w:tcPr>
            <w:tcW w:w="281" w:type="pct"/>
            <w:tcBorders>
              <w:tl2br w:val="nil"/>
              <w:tr2bl w:val="nil"/>
            </w:tcBorders>
            <w:shd w:val="clear" w:color="auto" w:fill="auto"/>
            <w:vAlign w:val="center"/>
          </w:tcPr>
          <w:p>
            <w:pPr>
              <w:contextualSpacing/>
              <w:jc w:val="center"/>
              <w:rPr>
                <w:color w:val="auto"/>
                <w:sz w:val="18"/>
                <w:szCs w:val="18"/>
              </w:rPr>
            </w:pPr>
            <w:r>
              <w:rPr>
                <w:color w:val="auto"/>
                <w:sz w:val="18"/>
                <w:szCs w:val="18"/>
              </w:rPr>
              <w:t>/</w:t>
            </w:r>
          </w:p>
        </w:tc>
        <w:tc>
          <w:tcPr>
            <w:tcW w:w="425" w:type="pct"/>
            <w:tcBorders>
              <w:tl2br w:val="nil"/>
              <w:tr2bl w:val="nil"/>
            </w:tcBorders>
            <w:shd w:val="clear" w:color="auto" w:fill="auto"/>
            <w:vAlign w:val="center"/>
          </w:tcPr>
          <w:p>
            <w:pPr>
              <w:shd w:val="clear" w:color="auto" w:fill="FFFFFF"/>
              <w:contextualSpacing/>
              <w:jc w:val="center"/>
              <w:rPr>
                <w:color w:val="auto"/>
                <w:sz w:val="18"/>
                <w:szCs w:val="18"/>
              </w:rPr>
            </w:pPr>
            <w:r>
              <w:rPr>
                <w:color w:val="auto"/>
                <w:sz w:val="18"/>
                <w:szCs w:val="18"/>
              </w:rPr>
              <w:t>/</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0.0000008</w:t>
            </w:r>
          </w:p>
        </w:tc>
        <w:tc>
          <w:tcPr>
            <w:tcW w:w="395" w:type="pct"/>
            <w:gridSpan w:val="2"/>
            <w:vMerge w:val="continue"/>
            <w:tcBorders>
              <w:tl2br w:val="nil"/>
              <w:tr2bl w:val="nil"/>
            </w:tcBorders>
            <w:shd w:val="clear" w:color="auto" w:fill="auto"/>
            <w:vAlign w:val="center"/>
          </w:tcPr>
          <w:p>
            <w:pPr>
              <w:contextualSpacing/>
              <w:jc w:val="center"/>
              <w:rPr>
                <w:rFonts w:hint="eastAsia"/>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 w:type="pct"/>
            <w:vMerge w:val="continue"/>
            <w:tcBorders>
              <w:tl2br w:val="nil"/>
              <w:tr2bl w:val="nil"/>
            </w:tcBorders>
            <w:vAlign w:val="center"/>
          </w:tcPr>
          <w:p>
            <w:pPr>
              <w:contextualSpacing/>
              <w:jc w:val="center"/>
              <w:rPr>
                <w:color w:val="auto"/>
                <w:sz w:val="18"/>
                <w:szCs w:val="18"/>
              </w:rPr>
            </w:pPr>
          </w:p>
        </w:tc>
        <w:tc>
          <w:tcPr>
            <w:tcW w:w="204" w:type="pct"/>
            <w:vMerge w:val="continue"/>
            <w:tcBorders>
              <w:tl2br w:val="nil"/>
              <w:tr2bl w:val="nil"/>
            </w:tcBorders>
            <w:vAlign w:val="center"/>
          </w:tcPr>
          <w:p>
            <w:pPr>
              <w:contextualSpacing/>
              <w:jc w:val="center"/>
              <w:rPr>
                <w:rFonts w:hint="eastAsia"/>
                <w:color w:val="auto"/>
                <w:sz w:val="18"/>
                <w:szCs w:val="18"/>
                <w:lang w:val="en-US" w:eastAsia="zh-CN"/>
              </w:rPr>
            </w:pPr>
          </w:p>
        </w:tc>
        <w:tc>
          <w:tcPr>
            <w:tcW w:w="530" w:type="pct"/>
            <w:vMerge w:val="continue"/>
            <w:tcBorders>
              <w:tl2br w:val="nil"/>
              <w:tr2bl w:val="nil"/>
            </w:tcBorders>
            <w:shd w:val="clear" w:color="auto" w:fill="auto"/>
            <w:vAlign w:val="center"/>
          </w:tcPr>
          <w:p>
            <w:pPr>
              <w:contextualSpacing/>
              <w:jc w:val="center"/>
              <w:rPr>
                <w:rFonts w:hAnsi="宋体"/>
                <w:color w:val="auto"/>
                <w:sz w:val="18"/>
                <w:szCs w:val="18"/>
              </w:rPr>
            </w:pPr>
          </w:p>
        </w:tc>
        <w:tc>
          <w:tcPr>
            <w:tcW w:w="280" w:type="pct"/>
            <w:tcBorders>
              <w:tl2br w:val="nil"/>
              <w:tr2bl w:val="nil"/>
            </w:tcBorders>
            <w:shd w:val="clear" w:color="auto" w:fill="auto"/>
            <w:vAlign w:val="center"/>
          </w:tcPr>
          <w:p>
            <w:pPr>
              <w:contextualSpacing/>
              <w:jc w:val="center"/>
              <w:rPr>
                <w:rFonts w:hint="eastAsia" w:hAnsi="宋体"/>
                <w:color w:val="auto"/>
                <w:sz w:val="18"/>
                <w:szCs w:val="18"/>
              </w:rPr>
            </w:pPr>
            <w:r>
              <w:rPr>
                <w:rFonts w:hAnsi="宋体"/>
                <w:color w:val="auto"/>
                <w:sz w:val="18"/>
                <w:szCs w:val="18"/>
              </w:rPr>
              <w:t>非甲烷总烃</w:t>
            </w:r>
          </w:p>
        </w:tc>
        <w:tc>
          <w:tcPr>
            <w:tcW w:w="284" w:type="pct"/>
            <w:tcBorders>
              <w:tl2br w:val="nil"/>
              <w:tr2bl w:val="nil"/>
            </w:tcBorders>
            <w:shd w:val="clear" w:color="auto" w:fill="FFFFFF"/>
            <w:vAlign w:val="center"/>
          </w:tcPr>
          <w:p>
            <w:pPr>
              <w:shd w:val="clear" w:color="auto" w:fill="FFFFFF"/>
              <w:contextualSpacing/>
              <w:jc w:val="center"/>
              <w:rPr>
                <w:color w:val="auto"/>
                <w:sz w:val="18"/>
                <w:szCs w:val="18"/>
              </w:rPr>
            </w:pPr>
            <w:r>
              <w:rPr>
                <w:color w:val="auto"/>
                <w:sz w:val="18"/>
                <w:szCs w:val="18"/>
              </w:rPr>
              <w:t>/</w:t>
            </w:r>
          </w:p>
        </w:tc>
        <w:tc>
          <w:tcPr>
            <w:tcW w:w="284" w:type="pct"/>
            <w:tcBorders>
              <w:tl2br w:val="nil"/>
              <w:tr2bl w:val="nil"/>
            </w:tcBorders>
            <w:shd w:val="clear" w:color="auto" w:fill="auto"/>
            <w:vAlign w:val="center"/>
          </w:tcPr>
          <w:p>
            <w:pPr>
              <w:contextualSpacing/>
              <w:jc w:val="center"/>
              <w:rPr>
                <w:rFonts w:hAnsi="宋体"/>
                <w:color w:val="auto"/>
                <w:spacing w:val="-14"/>
                <w:sz w:val="18"/>
                <w:szCs w:val="18"/>
              </w:rPr>
            </w:pPr>
            <w:r>
              <w:rPr>
                <w:rFonts w:hAnsi="宋体"/>
                <w:color w:val="auto"/>
                <w:spacing w:val="-14"/>
                <w:sz w:val="18"/>
                <w:szCs w:val="18"/>
              </w:rPr>
              <w:t>/</w:t>
            </w:r>
          </w:p>
        </w:tc>
        <w:tc>
          <w:tcPr>
            <w:tcW w:w="1683" w:type="dxa"/>
            <w:tcBorders>
              <w:tl2br w:val="nil"/>
              <w:tr2bl w:val="nil"/>
            </w:tcBorders>
            <w:vAlign w:val="center"/>
          </w:tcPr>
          <w:p>
            <w:pPr>
              <w:contextualSpacing/>
              <w:jc w:val="center"/>
              <w:rPr>
                <w:rFonts w:hint="eastAsia"/>
                <w:color w:val="auto"/>
                <w:sz w:val="18"/>
                <w:szCs w:val="18"/>
                <w:lang w:val="en-US" w:eastAsia="zh-CN"/>
              </w:rPr>
            </w:pPr>
            <w:r>
              <w:rPr>
                <w:rFonts w:hint="eastAsia"/>
                <w:color w:val="auto"/>
                <w:sz w:val="18"/>
                <w:szCs w:val="18"/>
                <w:lang w:val="en-US" w:eastAsia="zh-CN"/>
              </w:rPr>
              <w:t>0.00225</w:t>
            </w:r>
          </w:p>
        </w:tc>
        <w:tc>
          <w:tcPr>
            <w:tcW w:w="657" w:type="pct"/>
            <w:tcBorders>
              <w:tl2br w:val="nil"/>
              <w:tr2bl w:val="nil"/>
            </w:tcBorders>
            <w:shd w:val="clear" w:color="auto" w:fill="auto"/>
            <w:vAlign w:val="center"/>
          </w:tcPr>
          <w:p>
            <w:pPr>
              <w:contextualSpacing/>
              <w:jc w:val="center"/>
              <w:rPr>
                <w:color w:val="auto"/>
                <w:sz w:val="18"/>
                <w:szCs w:val="18"/>
              </w:rPr>
            </w:pPr>
            <w:r>
              <w:rPr>
                <w:color w:val="auto"/>
                <w:sz w:val="18"/>
                <w:szCs w:val="18"/>
              </w:rPr>
              <w:t>/</w:t>
            </w:r>
          </w:p>
        </w:tc>
        <w:tc>
          <w:tcPr>
            <w:tcW w:w="329" w:type="pct"/>
            <w:tcBorders>
              <w:tl2br w:val="nil"/>
              <w:tr2bl w:val="nil"/>
            </w:tcBorders>
            <w:shd w:val="clear" w:color="auto" w:fill="auto"/>
            <w:vAlign w:val="center"/>
          </w:tcPr>
          <w:p>
            <w:pPr>
              <w:jc w:val="center"/>
              <w:rPr>
                <w:color w:val="auto"/>
                <w:sz w:val="18"/>
                <w:szCs w:val="18"/>
              </w:rPr>
            </w:pPr>
            <w:r>
              <w:rPr>
                <w:color w:val="auto"/>
                <w:sz w:val="18"/>
                <w:szCs w:val="18"/>
              </w:rPr>
              <w:t>/</w:t>
            </w:r>
          </w:p>
        </w:tc>
        <w:tc>
          <w:tcPr>
            <w:tcW w:w="281" w:type="pct"/>
            <w:tcBorders>
              <w:tl2br w:val="nil"/>
              <w:tr2bl w:val="nil"/>
            </w:tcBorders>
            <w:shd w:val="clear" w:color="auto" w:fill="auto"/>
            <w:vAlign w:val="center"/>
          </w:tcPr>
          <w:p>
            <w:pPr>
              <w:contextualSpacing/>
              <w:jc w:val="center"/>
              <w:rPr>
                <w:color w:val="auto"/>
                <w:sz w:val="18"/>
                <w:szCs w:val="18"/>
              </w:rPr>
            </w:pPr>
            <w:r>
              <w:rPr>
                <w:rFonts w:hint="eastAsia"/>
                <w:color w:val="auto"/>
                <w:sz w:val="18"/>
                <w:szCs w:val="18"/>
              </w:rPr>
              <w:t>/</w:t>
            </w:r>
          </w:p>
        </w:tc>
        <w:tc>
          <w:tcPr>
            <w:tcW w:w="425" w:type="pct"/>
            <w:tcBorders>
              <w:tl2br w:val="nil"/>
              <w:tr2bl w:val="nil"/>
            </w:tcBorders>
            <w:shd w:val="clear" w:color="auto" w:fill="auto"/>
            <w:vAlign w:val="center"/>
          </w:tcPr>
          <w:p>
            <w:pPr>
              <w:shd w:val="clear" w:color="auto" w:fill="FFFFFF"/>
              <w:contextualSpacing/>
              <w:jc w:val="center"/>
              <w:rPr>
                <w:color w:val="auto"/>
                <w:sz w:val="18"/>
                <w:szCs w:val="18"/>
              </w:rPr>
            </w:pPr>
            <w:r>
              <w:rPr>
                <w:color w:val="auto"/>
                <w:sz w:val="18"/>
                <w:szCs w:val="18"/>
              </w:rPr>
              <w:t>/</w:t>
            </w:r>
          </w:p>
        </w:tc>
        <w:tc>
          <w:tcPr>
            <w:tcW w:w="529" w:type="pct"/>
            <w:tcBorders>
              <w:tl2br w:val="nil"/>
              <w:tr2bl w:val="nil"/>
            </w:tcBorders>
            <w:vAlign w:val="center"/>
          </w:tcPr>
          <w:p>
            <w:pPr>
              <w:contextualSpacing/>
              <w:jc w:val="center"/>
              <w:rPr>
                <w:rFonts w:hint="default"/>
                <w:color w:val="auto"/>
                <w:sz w:val="18"/>
                <w:szCs w:val="18"/>
                <w:lang w:val="en-US" w:eastAsia="zh-CN"/>
              </w:rPr>
            </w:pPr>
            <w:r>
              <w:rPr>
                <w:rFonts w:hint="eastAsia"/>
                <w:color w:val="auto"/>
                <w:sz w:val="18"/>
                <w:szCs w:val="18"/>
                <w:lang w:val="en-US" w:eastAsia="zh-CN"/>
              </w:rPr>
              <w:t>0.00225</w:t>
            </w:r>
          </w:p>
        </w:tc>
        <w:tc>
          <w:tcPr>
            <w:tcW w:w="395" w:type="pct"/>
            <w:gridSpan w:val="2"/>
            <w:vMerge w:val="continue"/>
            <w:tcBorders>
              <w:tl2br w:val="nil"/>
              <w:tr2bl w:val="nil"/>
            </w:tcBorders>
            <w:shd w:val="clear" w:color="auto" w:fill="auto"/>
            <w:vAlign w:val="center"/>
          </w:tcPr>
          <w:p>
            <w:pPr>
              <w:contextualSpacing/>
              <w:jc w:val="center"/>
              <w:rPr>
                <w:rFonts w:hint="eastAsia"/>
                <w:color w:val="auto"/>
                <w:sz w:val="18"/>
                <w:szCs w:val="18"/>
                <w:lang w:val="en-US" w:eastAsia="zh-CN"/>
              </w:rPr>
            </w:pPr>
          </w:p>
        </w:tc>
      </w:tr>
    </w:tbl>
    <w:p>
      <w:pPr>
        <w:pStyle w:val="124"/>
        <w:rPr>
          <w:color w:val="auto"/>
          <w:highlight w:val="none"/>
        </w:rPr>
      </w:pPr>
    </w:p>
    <w:p>
      <w:pPr>
        <w:pStyle w:val="124"/>
        <w:rPr>
          <w:color w:val="auto"/>
          <w:highlight w:val="none"/>
        </w:rPr>
      </w:pPr>
    </w:p>
    <w:p>
      <w:pPr>
        <w:pStyle w:val="117"/>
        <w:bidi w:val="0"/>
        <w:rPr>
          <w:rFonts w:hint="default"/>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17"/>
        <w:bidi w:val="0"/>
        <w:rPr>
          <w:rFonts w:hint="default"/>
          <w:color w:val="auto"/>
          <w:lang w:val="en-US" w:eastAsia="zh-CN"/>
        </w:rPr>
      </w:pPr>
      <w:r>
        <w:rPr>
          <w:rFonts w:hint="eastAsia"/>
          <w:color w:val="auto"/>
          <w:lang w:val="en-US" w:eastAsia="zh-CN"/>
        </w:rPr>
        <w:t>Ⅱ</w:t>
      </w:r>
      <w:r>
        <w:rPr>
          <w:color w:val="auto"/>
          <w:highlight w:val="none"/>
        </w:rPr>
        <w:t>非正常工况</w:t>
      </w:r>
    </w:p>
    <w:p>
      <w:pPr>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ascii="宋体" w:hAnsi="宋体"/>
          <w:color w:val="auto"/>
          <w:sz w:val="24"/>
        </w:rPr>
        <w:t>①</w:t>
      </w:r>
      <w:r>
        <w:rPr>
          <w:color w:val="auto"/>
          <w:sz w:val="24"/>
        </w:rPr>
        <w:fldChar w:fldCharType="end"/>
      </w:r>
      <w:r>
        <w:rPr>
          <w:rFonts w:hAnsi="宋体"/>
          <w:color w:val="auto"/>
          <w:sz w:val="24"/>
        </w:rPr>
        <w:t>粉尘</w:t>
      </w:r>
    </w:p>
    <w:p>
      <w:pPr>
        <w:pStyle w:val="86"/>
        <w:jc w:val="left"/>
        <w:rPr>
          <w:color w:val="auto"/>
        </w:rPr>
      </w:pPr>
      <w:r>
        <w:rPr>
          <w:rFonts w:hAnsi="宋体"/>
          <w:color w:val="auto"/>
        </w:rPr>
        <w:t>假定除尘系统布袋破损，</w:t>
      </w:r>
      <w:r>
        <w:rPr>
          <w:rFonts w:hint="eastAsia" w:hAnsi="宋体"/>
          <w:color w:val="auto"/>
          <w:sz w:val="24"/>
          <w:lang w:val="en-US" w:eastAsia="zh-CN"/>
        </w:rPr>
        <w:t>除尘</w:t>
      </w:r>
      <w:r>
        <w:rPr>
          <w:rFonts w:hAnsi="宋体"/>
          <w:color w:val="auto"/>
          <w:sz w:val="24"/>
        </w:rPr>
        <w:t>效率按</w:t>
      </w:r>
      <w:r>
        <w:rPr>
          <w:color w:val="auto"/>
          <w:sz w:val="24"/>
        </w:rPr>
        <w:t>50%</w:t>
      </w:r>
      <w:r>
        <w:rPr>
          <w:rFonts w:hAnsi="宋体"/>
          <w:color w:val="auto"/>
          <w:sz w:val="24"/>
        </w:rPr>
        <w:t>考虑</w:t>
      </w:r>
      <w:r>
        <w:rPr>
          <w:color w:val="auto"/>
        </w:rPr>
        <w:t>。</w:t>
      </w:r>
    </w:p>
    <w:p>
      <w:pPr>
        <w:spacing w:line="360" w:lineRule="auto"/>
        <w:ind w:firstLine="480" w:firstLineChars="200"/>
        <w:rPr>
          <w:color w:val="auto"/>
          <w:sz w:val="24"/>
          <w:lang w:bidi="zh-CN"/>
        </w:rPr>
      </w:pPr>
      <w:r>
        <w:rPr>
          <w:color w:val="auto"/>
          <w:sz w:val="24"/>
          <w:lang w:bidi="zh-CN"/>
        </w:rPr>
        <w:fldChar w:fldCharType="begin"/>
      </w:r>
      <w:r>
        <w:rPr>
          <w:color w:val="auto"/>
          <w:sz w:val="24"/>
          <w:lang w:bidi="zh-CN"/>
        </w:rPr>
        <w:instrText xml:space="preserve"> = 2 \* GB3 </w:instrText>
      </w:r>
      <w:r>
        <w:rPr>
          <w:color w:val="auto"/>
          <w:sz w:val="24"/>
          <w:lang w:bidi="zh-CN"/>
        </w:rPr>
        <w:fldChar w:fldCharType="separate"/>
      </w:r>
      <w:r>
        <w:rPr>
          <w:rFonts w:ascii="宋体" w:hAnsi="宋体"/>
          <w:color w:val="auto"/>
          <w:sz w:val="24"/>
          <w:lang w:bidi="zh-CN"/>
        </w:rPr>
        <w:t>②</w:t>
      </w:r>
      <w:r>
        <w:rPr>
          <w:color w:val="auto"/>
          <w:sz w:val="24"/>
          <w:lang w:bidi="zh-CN"/>
        </w:rPr>
        <w:fldChar w:fldCharType="end"/>
      </w:r>
      <w:r>
        <w:rPr>
          <w:rFonts w:hAnsi="宋体"/>
          <w:color w:val="auto"/>
          <w:sz w:val="24"/>
          <w:lang w:bidi="zh-CN"/>
        </w:rPr>
        <w:t>沥青烟、苯并</w:t>
      </w:r>
      <w:r>
        <w:rPr>
          <w:color w:val="auto"/>
          <w:sz w:val="24"/>
          <w:lang w:bidi="zh-CN"/>
        </w:rPr>
        <w:t>[a]</w:t>
      </w:r>
      <w:r>
        <w:rPr>
          <w:rFonts w:hAnsi="宋体"/>
          <w:color w:val="auto"/>
          <w:sz w:val="24"/>
          <w:lang w:bidi="zh-CN"/>
        </w:rPr>
        <w:t>芘、非甲烷总烃</w:t>
      </w:r>
    </w:p>
    <w:p>
      <w:pPr>
        <w:pStyle w:val="117"/>
        <w:ind w:firstLine="480"/>
        <w:rPr>
          <w:color w:val="auto"/>
          <w:highlight w:val="none"/>
        </w:rPr>
      </w:pPr>
      <w:r>
        <w:rPr>
          <w:rFonts w:hAnsi="宋体"/>
          <w:color w:val="auto"/>
          <w:sz w:val="24"/>
        </w:rPr>
        <w:t>当</w:t>
      </w:r>
      <w:r>
        <w:rPr>
          <w:rFonts w:hint="eastAsia" w:eastAsiaTheme="minorEastAsia"/>
          <w:bCs/>
          <w:color w:val="auto"/>
          <w:szCs w:val="21"/>
          <w:lang w:eastAsia="zh-CN"/>
        </w:rPr>
        <w:t>活性炭吸附</w:t>
      </w:r>
      <w:r>
        <w:rPr>
          <w:rFonts w:hint="eastAsia" w:hAnsi="宋体"/>
          <w:color w:val="auto"/>
          <w:sz w:val="24"/>
        </w:rPr>
        <w:t>废气处理设备故障，废气</w:t>
      </w:r>
      <w:r>
        <w:rPr>
          <w:rFonts w:hAnsi="宋体"/>
          <w:color w:val="auto"/>
          <w:sz w:val="24"/>
        </w:rPr>
        <w:t>处理装置异味处理效率下降，</w:t>
      </w:r>
      <w:r>
        <w:rPr>
          <w:rFonts w:hint="eastAsia" w:hAnsi="宋体"/>
          <w:color w:val="auto"/>
          <w:sz w:val="24"/>
        </w:rPr>
        <w:t>处理</w:t>
      </w:r>
      <w:r>
        <w:rPr>
          <w:rFonts w:hAnsi="宋体"/>
          <w:color w:val="auto"/>
          <w:sz w:val="24"/>
        </w:rPr>
        <w:t>效率按</w:t>
      </w:r>
      <w:r>
        <w:rPr>
          <w:color w:val="auto"/>
          <w:sz w:val="24"/>
        </w:rPr>
        <w:t>50%</w:t>
      </w:r>
      <w:r>
        <w:rPr>
          <w:rFonts w:hAnsi="宋体"/>
          <w:color w:val="auto"/>
          <w:sz w:val="24"/>
        </w:rPr>
        <w:t>考虑，</w:t>
      </w:r>
      <w:r>
        <w:rPr>
          <w:rFonts w:hAnsi="宋体"/>
          <w:color w:val="auto"/>
          <w:sz w:val="24"/>
          <w:lang w:bidi="zh-CN"/>
        </w:rPr>
        <w:t>得出非正常工况下</w:t>
      </w:r>
      <w:r>
        <w:rPr>
          <w:color w:val="auto"/>
          <w:sz w:val="24"/>
          <w:lang w:bidi="zh-CN"/>
        </w:rPr>
        <w:t>沥青搅拌排气筒（</w:t>
      </w:r>
      <w:r>
        <w:rPr>
          <w:rFonts w:hint="eastAsia"/>
          <w:color w:val="auto"/>
          <w:sz w:val="24"/>
          <w:lang w:bidi="zh-CN"/>
        </w:rPr>
        <w:t>DA003</w:t>
      </w:r>
      <w:r>
        <w:rPr>
          <w:color w:val="auto"/>
          <w:sz w:val="24"/>
          <w:lang w:bidi="zh-CN"/>
        </w:rPr>
        <w:t>）</w:t>
      </w:r>
      <w:r>
        <w:rPr>
          <w:rFonts w:hAnsi="宋体"/>
          <w:color w:val="auto"/>
          <w:sz w:val="24"/>
          <w:lang w:bidi="zh-CN"/>
        </w:rPr>
        <w:t>沥青烟、苯并</w:t>
      </w:r>
      <w:r>
        <w:rPr>
          <w:color w:val="auto"/>
          <w:sz w:val="24"/>
          <w:lang w:bidi="zh-CN"/>
        </w:rPr>
        <w:t>[a]</w:t>
      </w:r>
      <w:r>
        <w:rPr>
          <w:rFonts w:hAnsi="宋体"/>
          <w:color w:val="auto"/>
          <w:sz w:val="24"/>
          <w:lang w:bidi="zh-CN"/>
        </w:rPr>
        <w:t>芘、非甲烷总烃排放速率</w:t>
      </w:r>
      <w:r>
        <w:rPr>
          <w:rFonts w:hint="eastAsia"/>
          <w:color w:val="auto"/>
          <w:highlight w:val="none"/>
        </w:rPr>
        <w:t>。</w:t>
      </w:r>
    </w:p>
    <w:p>
      <w:pPr>
        <w:pStyle w:val="135"/>
        <w:tabs>
          <w:tab w:val="clear" w:pos="5400"/>
        </w:tabs>
        <w:rPr>
          <w:color w:val="auto"/>
          <w:highlight w:val="none"/>
        </w:rPr>
      </w:pPr>
      <w:r>
        <w:rPr>
          <w:color w:val="auto"/>
          <w:highlight w:val="none"/>
        </w:rPr>
        <w:t>表</w:t>
      </w:r>
      <w:r>
        <w:rPr>
          <w:rFonts w:hint="eastAsia"/>
          <w:color w:val="auto"/>
          <w:highlight w:val="none"/>
          <w:lang w:val="en-US" w:eastAsia="zh-CN"/>
        </w:rPr>
        <w:t>2-8</w:t>
      </w:r>
      <w:r>
        <w:rPr>
          <w:color w:val="auto"/>
          <w:highlight w:val="none"/>
        </w:rPr>
        <w:t xml:space="preserve"> 非正常排放参数表</w:t>
      </w:r>
    </w:p>
    <w:tbl>
      <w:tblPr>
        <w:tblStyle w:val="34"/>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01"/>
        <w:gridCol w:w="1891"/>
        <w:gridCol w:w="957"/>
        <w:gridCol w:w="1306"/>
        <w:gridCol w:w="1177"/>
        <w:gridCol w:w="924"/>
        <w:gridCol w:w="96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763" w:type="pct"/>
            <w:vAlign w:val="center"/>
          </w:tcPr>
          <w:p>
            <w:pPr>
              <w:pStyle w:val="86"/>
              <w:spacing w:line="240" w:lineRule="auto"/>
              <w:ind w:firstLine="0" w:firstLineChars="0"/>
              <w:jc w:val="center"/>
              <w:rPr>
                <w:color w:val="auto"/>
                <w:sz w:val="21"/>
                <w:szCs w:val="21"/>
              </w:rPr>
            </w:pPr>
            <w:r>
              <w:rPr>
                <w:rFonts w:hAnsi="宋体"/>
                <w:color w:val="auto"/>
                <w:sz w:val="21"/>
                <w:szCs w:val="21"/>
              </w:rPr>
              <w:t>非正常排放源</w:t>
            </w:r>
          </w:p>
        </w:tc>
        <w:tc>
          <w:tcPr>
            <w:tcW w:w="1109" w:type="pct"/>
            <w:vAlign w:val="center"/>
          </w:tcPr>
          <w:p>
            <w:pPr>
              <w:pStyle w:val="86"/>
              <w:spacing w:line="240" w:lineRule="auto"/>
              <w:ind w:firstLine="0" w:firstLineChars="0"/>
              <w:jc w:val="center"/>
              <w:rPr>
                <w:color w:val="auto"/>
                <w:sz w:val="21"/>
                <w:szCs w:val="21"/>
              </w:rPr>
            </w:pPr>
            <w:r>
              <w:rPr>
                <w:rFonts w:hAnsi="宋体"/>
                <w:color w:val="auto"/>
                <w:sz w:val="21"/>
                <w:szCs w:val="21"/>
              </w:rPr>
              <w:t>非正常排放原因</w:t>
            </w:r>
          </w:p>
        </w:tc>
        <w:tc>
          <w:tcPr>
            <w:tcW w:w="561" w:type="pct"/>
            <w:vAlign w:val="center"/>
          </w:tcPr>
          <w:p>
            <w:pPr>
              <w:pStyle w:val="86"/>
              <w:spacing w:line="240" w:lineRule="auto"/>
              <w:ind w:firstLine="0" w:firstLineChars="0"/>
              <w:jc w:val="center"/>
              <w:rPr>
                <w:color w:val="auto"/>
                <w:sz w:val="21"/>
                <w:szCs w:val="21"/>
              </w:rPr>
            </w:pPr>
            <w:r>
              <w:rPr>
                <w:rFonts w:hAnsi="宋体"/>
                <w:color w:val="auto"/>
                <w:sz w:val="21"/>
                <w:szCs w:val="21"/>
              </w:rPr>
              <w:t>污染物</w:t>
            </w:r>
          </w:p>
        </w:tc>
        <w:tc>
          <w:tcPr>
            <w:tcW w:w="766" w:type="pct"/>
            <w:vAlign w:val="center"/>
          </w:tcPr>
          <w:p>
            <w:pPr>
              <w:pStyle w:val="86"/>
              <w:spacing w:line="240" w:lineRule="auto"/>
              <w:ind w:firstLine="0" w:firstLineChars="0"/>
              <w:jc w:val="center"/>
              <w:rPr>
                <w:color w:val="auto"/>
                <w:sz w:val="21"/>
                <w:szCs w:val="21"/>
              </w:rPr>
            </w:pPr>
            <w:r>
              <w:rPr>
                <w:rFonts w:hAnsi="宋体"/>
                <w:color w:val="auto"/>
                <w:sz w:val="21"/>
                <w:szCs w:val="21"/>
              </w:rPr>
              <w:t>非正常排放速率（</w:t>
            </w:r>
            <w:r>
              <w:rPr>
                <w:color w:val="auto"/>
                <w:sz w:val="21"/>
                <w:szCs w:val="21"/>
              </w:rPr>
              <w:t>kg/h</w:t>
            </w:r>
            <w:r>
              <w:rPr>
                <w:rFonts w:hAnsi="宋体"/>
                <w:color w:val="auto"/>
                <w:sz w:val="21"/>
                <w:szCs w:val="21"/>
              </w:rPr>
              <w:t>）</w:t>
            </w:r>
          </w:p>
        </w:tc>
        <w:tc>
          <w:tcPr>
            <w:tcW w:w="690" w:type="pct"/>
            <w:vAlign w:val="center"/>
          </w:tcPr>
          <w:p>
            <w:pPr>
              <w:adjustRightInd w:val="0"/>
              <w:snapToGrid w:val="0"/>
              <w:jc w:val="center"/>
              <w:rPr>
                <w:snapToGrid w:val="0"/>
                <w:color w:val="auto"/>
                <w:szCs w:val="21"/>
              </w:rPr>
            </w:pPr>
            <w:r>
              <w:rPr>
                <w:snapToGrid w:val="0"/>
                <w:color w:val="auto"/>
                <w:szCs w:val="21"/>
              </w:rPr>
              <w:t>非正常排放浓度/</w:t>
            </w:r>
            <w:r>
              <w:rPr>
                <w:rFonts w:hint="eastAsia"/>
                <w:snapToGrid w:val="0"/>
                <w:color w:val="auto"/>
                <w:szCs w:val="21"/>
              </w:rPr>
              <w:t>m</w:t>
            </w:r>
            <w:r>
              <w:rPr>
                <w:snapToGrid w:val="0"/>
                <w:color w:val="auto"/>
                <w:szCs w:val="21"/>
              </w:rPr>
              <w:t>g/m</w:t>
            </w:r>
            <w:r>
              <w:rPr>
                <w:snapToGrid w:val="0"/>
                <w:color w:val="auto"/>
                <w:szCs w:val="21"/>
                <w:vertAlign w:val="superscript"/>
              </w:rPr>
              <w:t>3</w:t>
            </w:r>
          </w:p>
        </w:tc>
        <w:tc>
          <w:tcPr>
            <w:tcW w:w="542" w:type="pct"/>
            <w:vAlign w:val="center"/>
          </w:tcPr>
          <w:p>
            <w:pPr>
              <w:pStyle w:val="86"/>
              <w:spacing w:line="240" w:lineRule="auto"/>
              <w:ind w:firstLine="0" w:firstLineChars="0"/>
              <w:jc w:val="center"/>
              <w:rPr>
                <w:color w:val="auto"/>
                <w:sz w:val="21"/>
                <w:szCs w:val="21"/>
              </w:rPr>
            </w:pPr>
            <w:r>
              <w:rPr>
                <w:rFonts w:hAnsi="宋体"/>
                <w:color w:val="auto"/>
                <w:sz w:val="21"/>
                <w:szCs w:val="21"/>
              </w:rPr>
              <w:t>单次持续时间</w:t>
            </w:r>
            <w:r>
              <w:rPr>
                <w:color w:val="auto"/>
                <w:sz w:val="21"/>
                <w:szCs w:val="21"/>
              </w:rPr>
              <w:t>/</w:t>
            </w:r>
          </w:p>
        </w:tc>
        <w:tc>
          <w:tcPr>
            <w:tcW w:w="565" w:type="pct"/>
            <w:vAlign w:val="center"/>
          </w:tcPr>
          <w:p>
            <w:pPr>
              <w:pStyle w:val="86"/>
              <w:spacing w:line="240" w:lineRule="auto"/>
              <w:ind w:firstLine="0" w:firstLineChars="0"/>
              <w:jc w:val="center"/>
              <w:rPr>
                <w:color w:val="auto"/>
                <w:sz w:val="21"/>
                <w:szCs w:val="21"/>
              </w:rPr>
            </w:pPr>
            <w:r>
              <w:rPr>
                <w:rFonts w:hAnsi="宋体"/>
                <w:color w:val="auto"/>
                <w:sz w:val="21"/>
                <w:szCs w:val="21"/>
              </w:rPr>
              <w:t>年发生频次</w:t>
            </w:r>
            <w:r>
              <w:rPr>
                <w:color w:val="auto"/>
                <w:sz w:val="21"/>
                <w:szCs w:val="21"/>
              </w:rPr>
              <w:t>/</w:t>
            </w:r>
            <w:r>
              <w:rPr>
                <w:rFonts w:hAnsi="宋体"/>
                <w:color w:val="auto"/>
                <w:sz w:val="21"/>
                <w:szCs w:val="21"/>
              </w:rPr>
              <w:t>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763" w:type="pct"/>
            <w:vAlign w:val="center"/>
          </w:tcPr>
          <w:p>
            <w:pPr>
              <w:spacing w:line="0" w:lineRule="atLeast"/>
              <w:contextualSpacing/>
              <w:jc w:val="center"/>
              <w:rPr>
                <w:color w:val="auto"/>
                <w:szCs w:val="21"/>
              </w:rPr>
            </w:pPr>
            <w:r>
              <w:rPr>
                <w:rFonts w:hint="eastAsia"/>
                <w:color w:val="auto"/>
                <w:szCs w:val="21"/>
                <w:lang w:val="en-US" w:eastAsia="zh-CN"/>
              </w:rPr>
              <w:t>拌合系统粉尘</w:t>
            </w:r>
            <w:r>
              <w:rPr>
                <w:color w:val="auto"/>
                <w:szCs w:val="21"/>
              </w:rPr>
              <w:t>（</w:t>
            </w:r>
            <w:r>
              <w:rPr>
                <w:rFonts w:hint="eastAsia"/>
                <w:color w:val="auto"/>
                <w:szCs w:val="21"/>
              </w:rPr>
              <w:t>DA001</w:t>
            </w:r>
            <w:r>
              <w:rPr>
                <w:color w:val="auto"/>
                <w:szCs w:val="21"/>
              </w:rPr>
              <w:t>）</w:t>
            </w:r>
          </w:p>
        </w:tc>
        <w:tc>
          <w:tcPr>
            <w:tcW w:w="1109" w:type="pct"/>
            <w:vAlign w:val="center"/>
          </w:tcPr>
          <w:p>
            <w:pPr>
              <w:pStyle w:val="86"/>
              <w:spacing w:line="240" w:lineRule="auto"/>
              <w:ind w:firstLine="0" w:firstLineChars="0"/>
              <w:jc w:val="center"/>
              <w:rPr>
                <w:rFonts w:hint="default" w:eastAsia="宋体"/>
                <w:color w:val="auto"/>
                <w:sz w:val="21"/>
                <w:szCs w:val="21"/>
                <w:lang w:val="en-US" w:eastAsia="zh-CN"/>
              </w:rPr>
            </w:pPr>
            <w:r>
              <w:rPr>
                <w:rFonts w:hAnsi="宋体"/>
                <w:color w:val="auto"/>
                <w:sz w:val="21"/>
                <w:szCs w:val="21"/>
              </w:rPr>
              <w:t>当</w:t>
            </w:r>
            <w:r>
              <w:rPr>
                <w:rFonts w:hint="eastAsia" w:hAnsi="宋体"/>
                <w:color w:val="auto"/>
                <w:sz w:val="21"/>
                <w:szCs w:val="21"/>
              </w:rPr>
              <w:t>除尘系统</w:t>
            </w:r>
            <w:r>
              <w:rPr>
                <w:rFonts w:hAnsi="宋体"/>
                <w:color w:val="auto"/>
                <w:sz w:val="21"/>
                <w:szCs w:val="21"/>
              </w:rPr>
              <w:t>滤袋破口</w:t>
            </w:r>
            <w:r>
              <w:rPr>
                <w:rFonts w:hint="eastAsia" w:hAnsi="宋体"/>
                <w:color w:val="auto"/>
                <w:sz w:val="21"/>
                <w:szCs w:val="21"/>
                <w:lang w:eastAsia="zh-CN"/>
              </w:rPr>
              <w:t>，</w:t>
            </w:r>
            <w:r>
              <w:rPr>
                <w:rFonts w:hint="eastAsia" w:hAnsi="宋体"/>
                <w:color w:val="auto"/>
                <w:sz w:val="21"/>
                <w:szCs w:val="21"/>
              </w:rPr>
              <w:t>除尘系统</w:t>
            </w:r>
            <w:r>
              <w:rPr>
                <w:rFonts w:hAnsi="宋体"/>
                <w:color w:val="auto"/>
                <w:sz w:val="21"/>
                <w:szCs w:val="21"/>
              </w:rPr>
              <w:t>处理效率下降</w:t>
            </w:r>
            <w:r>
              <w:rPr>
                <w:rFonts w:hint="eastAsia" w:hAnsi="宋体"/>
                <w:color w:val="auto"/>
                <w:sz w:val="21"/>
                <w:szCs w:val="21"/>
                <w:lang w:val="en-US" w:eastAsia="zh-CN"/>
              </w:rPr>
              <w:t>50%</w:t>
            </w:r>
          </w:p>
        </w:tc>
        <w:tc>
          <w:tcPr>
            <w:tcW w:w="561" w:type="pct"/>
            <w:vAlign w:val="center"/>
          </w:tcPr>
          <w:p>
            <w:pPr>
              <w:pStyle w:val="86"/>
              <w:spacing w:line="240" w:lineRule="auto"/>
              <w:ind w:firstLine="0" w:firstLineChars="0"/>
              <w:jc w:val="center"/>
              <w:rPr>
                <w:color w:val="auto"/>
                <w:sz w:val="21"/>
                <w:szCs w:val="21"/>
              </w:rPr>
            </w:pPr>
            <w:r>
              <w:rPr>
                <w:rFonts w:hAnsi="宋体"/>
                <w:color w:val="auto"/>
                <w:sz w:val="21"/>
                <w:szCs w:val="21"/>
              </w:rPr>
              <w:t>颗粒物</w:t>
            </w:r>
          </w:p>
        </w:tc>
        <w:tc>
          <w:tcPr>
            <w:tcW w:w="766" w:type="pct"/>
            <w:vAlign w:val="center"/>
          </w:tcPr>
          <w:p>
            <w:pPr>
              <w:spacing w:line="0" w:lineRule="atLeast"/>
              <w:contextualSpacing/>
              <w:jc w:val="center"/>
              <w:rPr>
                <w:rFonts w:hint="default" w:ascii="Times New Roman" w:hAnsi="Times New Roman" w:eastAsia="宋体" w:cs="Times New Roman"/>
                <w:color w:val="auto"/>
                <w:szCs w:val="21"/>
                <w:highlight w:val="yellow"/>
                <w:lang w:val="en-US" w:eastAsia="zh-CN"/>
              </w:rPr>
            </w:pPr>
            <w:r>
              <w:rPr>
                <w:rFonts w:hint="default" w:ascii="Times New Roman" w:hAnsi="Times New Roman" w:cs="Times New Roman"/>
                <w:color w:val="auto"/>
                <w:szCs w:val="21"/>
                <w:highlight w:val="none"/>
                <w:lang w:val="en-US" w:eastAsia="zh-CN"/>
              </w:rPr>
              <w:t>25.1</w:t>
            </w:r>
          </w:p>
        </w:tc>
        <w:tc>
          <w:tcPr>
            <w:tcW w:w="690" w:type="pct"/>
            <w:vAlign w:val="center"/>
          </w:tcPr>
          <w:p>
            <w:pPr>
              <w:pStyle w:val="83"/>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920</w:t>
            </w:r>
          </w:p>
        </w:tc>
        <w:tc>
          <w:tcPr>
            <w:tcW w:w="542" w:type="pct"/>
            <w:vMerge w:val="restart"/>
            <w:vAlign w:val="center"/>
          </w:tcPr>
          <w:p>
            <w:pPr>
              <w:pStyle w:val="86"/>
              <w:spacing w:line="240" w:lineRule="auto"/>
              <w:ind w:firstLine="0" w:firstLineChars="0"/>
              <w:jc w:val="center"/>
              <w:rPr>
                <w:color w:val="auto"/>
                <w:sz w:val="21"/>
                <w:szCs w:val="21"/>
              </w:rPr>
            </w:pPr>
            <w:r>
              <w:rPr>
                <w:rFonts w:hAnsi="宋体"/>
                <w:color w:val="auto"/>
                <w:sz w:val="21"/>
                <w:szCs w:val="21"/>
              </w:rPr>
              <w:t>＜</w:t>
            </w:r>
            <w:r>
              <w:rPr>
                <w:color w:val="auto"/>
                <w:sz w:val="21"/>
                <w:szCs w:val="21"/>
              </w:rPr>
              <w:t>1</w:t>
            </w:r>
          </w:p>
        </w:tc>
        <w:tc>
          <w:tcPr>
            <w:tcW w:w="565" w:type="pct"/>
            <w:vMerge w:val="restart"/>
            <w:vAlign w:val="center"/>
          </w:tcPr>
          <w:p>
            <w:pPr>
              <w:pStyle w:val="86"/>
              <w:spacing w:line="240" w:lineRule="auto"/>
              <w:ind w:firstLine="0" w:firstLineChars="0"/>
              <w:jc w:val="center"/>
              <w:rPr>
                <w:color w:val="auto"/>
                <w:sz w:val="21"/>
                <w:szCs w:val="21"/>
              </w:rPr>
            </w:pPr>
            <w:r>
              <w:rPr>
                <w:color w:val="auto"/>
                <w:sz w:val="21"/>
                <w:szCs w:val="21"/>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763" w:type="pct"/>
            <w:vAlign w:val="center"/>
          </w:tcPr>
          <w:p>
            <w:pPr>
              <w:spacing w:line="0" w:lineRule="atLeast"/>
              <w:contextualSpacing/>
              <w:jc w:val="center"/>
              <w:rPr>
                <w:rFonts w:hint="eastAsia"/>
                <w:color w:val="auto"/>
                <w:szCs w:val="21"/>
              </w:rPr>
            </w:pPr>
            <w:r>
              <w:rPr>
                <w:rFonts w:hint="eastAsia"/>
                <w:color w:val="auto"/>
                <w:szCs w:val="21"/>
                <w:lang w:val="en-US" w:eastAsia="zh-CN"/>
              </w:rPr>
              <w:t>导热油炉废气</w:t>
            </w:r>
            <w:r>
              <w:rPr>
                <w:color w:val="auto"/>
                <w:szCs w:val="21"/>
              </w:rPr>
              <w:t>（</w:t>
            </w:r>
            <w:r>
              <w:rPr>
                <w:rFonts w:hint="eastAsia"/>
                <w:color w:val="auto"/>
                <w:szCs w:val="21"/>
              </w:rPr>
              <w:t>DA00</w:t>
            </w:r>
            <w:r>
              <w:rPr>
                <w:rFonts w:hint="eastAsia"/>
                <w:color w:val="auto"/>
                <w:szCs w:val="21"/>
                <w:lang w:val="en-US" w:eastAsia="zh-CN"/>
              </w:rPr>
              <w:t>2</w:t>
            </w:r>
            <w:r>
              <w:rPr>
                <w:color w:val="auto"/>
                <w:szCs w:val="21"/>
              </w:rPr>
              <w:t>）</w:t>
            </w:r>
          </w:p>
        </w:tc>
        <w:tc>
          <w:tcPr>
            <w:tcW w:w="1891" w:type="dxa"/>
            <w:vAlign w:val="center"/>
          </w:tcPr>
          <w:p>
            <w:pPr>
              <w:pStyle w:val="86"/>
              <w:spacing w:line="240" w:lineRule="auto"/>
              <w:ind w:firstLine="0" w:firstLineChars="0"/>
              <w:jc w:val="center"/>
              <w:rPr>
                <w:rFonts w:hAnsi="宋体"/>
                <w:color w:val="auto"/>
                <w:sz w:val="21"/>
                <w:szCs w:val="21"/>
              </w:rPr>
            </w:pPr>
            <w:r>
              <w:rPr>
                <w:rFonts w:hAnsi="宋体"/>
                <w:color w:val="auto"/>
                <w:sz w:val="21"/>
                <w:szCs w:val="21"/>
              </w:rPr>
              <w:t>当</w:t>
            </w:r>
            <w:r>
              <w:rPr>
                <w:rFonts w:hint="eastAsia" w:hAnsi="宋体"/>
                <w:color w:val="auto"/>
                <w:sz w:val="21"/>
                <w:szCs w:val="21"/>
              </w:rPr>
              <w:t>除尘系统</w:t>
            </w:r>
            <w:r>
              <w:rPr>
                <w:rFonts w:hAnsi="宋体"/>
                <w:color w:val="auto"/>
                <w:sz w:val="21"/>
                <w:szCs w:val="21"/>
              </w:rPr>
              <w:t>滤袋破口</w:t>
            </w:r>
            <w:r>
              <w:rPr>
                <w:rFonts w:hint="eastAsia" w:hAnsi="宋体"/>
                <w:color w:val="auto"/>
                <w:sz w:val="21"/>
                <w:szCs w:val="21"/>
                <w:lang w:eastAsia="zh-CN"/>
              </w:rPr>
              <w:t>，</w:t>
            </w:r>
            <w:r>
              <w:rPr>
                <w:rFonts w:hint="eastAsia" w:hAnsi="宋体"/>
                <w:color w:val="auto"/>
                <w:sz w:val="21"/>
                <w:szCs w:val="21"/>
              </w:rPr>
              <w:t>除尘系统</w:t>
            </w:r>
            <w:r>
              <w:rPr>
                <w:rFonts w:hAnsi="宋体"/>
                <w:color w:val="auto"/>
                <w:sz w:val="21"/>
                <w:szCs w:val="21"/>
              </w:rPr>
              <w:t>处理效率下降</w:t>
            </w:r>
            <w:r>
              <w:rPr>
                <w:rFonts w:hint="eastAsia" w:hAnsi="宋体"/>
                <w:color w:val="auto"/>
                <w:sz w:val="21"/>
                <w:szCs w:val="21"/>
                <w:lang w:val="en-US" w:eastAsia="zh-CN"/>
              </w:rPr>
              <w:t>50%</w:t>
            </w:r>
          </w:p>
        </w:tc>
        <w:tc>
          <w:tcPr>
            <w:tcW w:w="957" w:type="dxa"/>
            <w:vAlign w:val="center"/>
          </w:tcPr>
          <w:p>
            <w:pPr>
              <w:pStyle w:val="86"/>
              <w:spacing w:line="240" w:lineRule="auto"/>
              <w:ind w:firstLine="0" w:firstLineChars="0"/>
              <w:jc w:val="center"/>
              <w:rPr>
                <w:rFonts w:hAnsi="宋体"/>
                <w:color w:val="auto"/>
                <w:sz w:val="21"/>
                <w:szCs w:val="21"/>
              </w:rPr>
            </w:pPr>
            <w:r>
              <w:rPr>
                <w:rFonts w:hAnsi="宋体"/>
                <w:color w:val="auto"/>
                <w:sz w:val="21"/>
                <w:szCs w:val="21"/>
              </w:rPr>
              <w:t>颗粒物</w:t>
            </w:r>
          </w:p>
        </w:tc>
        <w:tc>
          <w:tcPr>
            <w:tcW w:w="766" w:type="pct"/>
            <w:vAlign w:val="center"/>
          </w:tcPr>
          <w:p>
            <w:pPr>
              <w:spacing w:line="0" w:lineRule="atLeast"/>
              <w:contextualSpacing/>
              <w:jc w:val="center"/>
              <w:rPr>
                <w:rFonts w:hint="default" w:hAnsi="宋体"/>
                <w:color w:val="auto"/>
                <w:szCs w:val="21"/>
                <w:highlight w:val="none"/>
                <w:lang w:val="en-US" w:eastAsia="zh-CN"/>
              </w:rPr>
            </w:pPr>
            <w:r>
              <w:rPr>
                <w:rFonts w:hint="eastAsia" w:hAnsi="宋体"/>
                <w:color w:val="auto"/>
                <w:szCs w:val="21"/>
                <w:highlight w:val="none"/>
                <w:lang w:val="en-US" w:eastAsia="zh-CN"/>
              </w:rPr>
              <w:t>0.016</w:t>
            </w:r>
          </w:p>
        </w:tc>
        <w:tc>
          <w:tcPr>
            <w:tcW w:w="690" w:type="pct"/>
            <w:vAlign w:val="center"/>
          </w:tcPr>
          <w:p>
            <w:pPr>
              <w:pStyle w:val="83"/>
              <w:rPr>
                <w:rFonts w:hint="default"/>
                <w:color w:val="auto"/>
                <w:sz w:val="21"/>
                <w:szCs w:val="21"/>
                <w:highlight w:val="none"/>
                <w:lang w:val="en-US" w:eastAsia="zh-CN"/>
              </w:rPr>
            </w:pPr>
            <w:r>
              <w:rPr>
                <w:rFonts w:hint="eastAsia" w:hAnsi="宋体"/>
                <w:color w:val="auto"/>
                <w:szCs w:val="21"/>
                <w:highlight w:val="none"/>
                <w:lang w:val="en-US" w:eastAsia="zh-CN"/>
              </w:rPr>
              <w:t>10.18</w:t>
            </w:r>
          </w:p>
        </w:tc>
        <w:tc>
          <w:tcPr>
            <w:tcW w:w="542" w:type="pct"/>
            <w:vMerge w:val="continue"/>
            <w:vAlign w:val="center"/>
          </w:tcPr>
          <w:p>
            <w:pPr>
              <w:pStyle w:val="86"/>
              <w:spacing w:line="240" w:lineRule="auto"/>
              <w:ind w:firstLine="0" w:firstLineChars="0"/>
              <w:jc w:val="center"/>
              <w:rPr>
                <w:rFonts w:hAnsi="宋体"/>
                <w:color w:val="auto"/>
                <w:sz w:val="21"/>
                <w:szCs w:val="21"/>
              </w:rPr>
            </w:pPr>
          </w:p>
        </w:tc>
        <w:tc>
          <w:tcPr>
            <w:tcW w:w="565" w:type="pct"/>
            <w:vMerge w:val="continue"/>
            <w:vAlign w:val="center"/>
          </w:tcPr>
          <w:p>
            <w:pPr>
              <w:pStyle w:val="86"/>
              <w:spacing w:line="240" w:lineRule="auto"/>
              <w:ind w:firstLine="0" w:firstLineChars="0"/>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5" w:hRule="atLeast"/>
          <w:jc w:val="center"/>
        </w:trPr>
        <w:tc>
          <w:tcPr>
            <w:tcW w:w="763" w:type="pct"/>
            <w:vMerge w:val="restart"/>
            <w:vAlign w:val="center"/>
          </w:tcPr>
          <w:p>
            <w:pPr>
              <w:spacing w:line="0" w:lineRule="atLeast"/>
              <w:contextualSpacing/>
              <w:jc w:val="center"/>
              <w:rPr>
                <w:rFonts w:hAnsi="宋体"/>
                <w:color w:val="auto"/>
                <w:szCs w:val="21"/>
              </w:rPr>
            </w:pPr>
            <w:r>
              <w:rPr>
                <w:rFonts w:hint="eastAsia"/>
                <w:bCs/>
                <w:color w:val="auto"/>
                <w:sz w:val="21"/>
                <w:szCs w:val="21"/>
                <w:lang w:val="en-US" w:eastAsia="zh-CN"/>
              </w:rPr>
              <w:t>沥青预处理系统、拌合系统废气</w:t>
            </w:r>
            <w:r>
              <w:rPr>
                <w:rFonts w:hAnsi="宋体"/>
                <w:color w:val="auto"/>
                <w:szCs w:val="21"/>
              </w:rPr>
              <w:t>（</w:t>
            </w:r>
            <w:r>
              <w:rPr>
                <w:rFonts w:hint="eastAsia" w:hAnsi="宋体"/>
                <w:color w:val="auto"/>
                <w:szCs w:val="21"/>
              </w:rPr>
              <w:t>DA00</w:t>
            </w:r>
            <w:r>
              <w:rPr>
                <w:rFonts w:hint="eastAsia" w:hAnsi="宋体"/>
                <w:color w:val="auto"/>
                <w:szCs w:val="21"/>
                <w:lang w:val="en-US" w:eastAsia="zh-CN"/>
              </w:rPr>
              <w:t>1</w:t>
            </w:r>
            <w:r>
              <w:rPr>
                <w:rFonts w:hAnsi="宋体"/>
                <w:color w:val="auto"/>
                <w:szCs w:val="21"/>
              </w:rPr>
              <w:t>）</w:t>
            </w:r>
          </w:p>
        </w:tc>
        <w:tc>
          <w:tcPr>
            <w:tcW w:w="1109" w:type="pct"/>
            <w:vMerge w:val="restart"/>
            <w:vAlign w:val="center"/>
          </w:tcPr>
          <w:p>
            <w:pPr>
              <w:pStyle w:val="86"/>
              <w:spacing w:line="240" w:lineRule="auto"/>
              <w:ind w:firstLine="0" w:firstLineChars="0"/>
              <w:jc w:val="center"/>
              <w:rPr>
                <w:color w:val="auto"/>
                <w:sz w:val="21"/>
                <w:szCs w:val="21"/>
              </w:rPr>
            </w:pPr>
            <w:r>
              <w:rPr>
                <w:rFonts w:hint="eastAsia"/>
                <w:bCs/>
                <w:color w:val="auto"/>
                <w:sz w:val="21"/>
                <w:szCs w:val="21"/>
                <w:lang w:eastAsia="zh-CN"/>
              </w:rPr>
              <w:t>活性炭吸附</w:t>
            </w:r>
            <w:r>
              <w:rPr>
                <w:rFonts w:hint="eastAsia" w:hAnsi="宋体"/>
                <w:color w:val="auto"/>
                <w:sz w:val="21"/>
                <w:szCs w:val="21"/>
              </w:rPr>
              <w:t>废气处理设备故障，处理</w:t>
            </w:r>
            <w:r>
              <w:rPr>
                <w:rFonts w:hAnsi="宋体"/>
                <w:color w:val="auto"/>
                <w:sz w:val="21"/>
                <w:szCs w:val="21"/>
              </w:rPr>
              <w:t>装置异味处理效率下降，本项目异味</w:t>
            </w:r>
            <w:r>
              <w:rPr>
                <w:rFonts w:hint="eastAsia" w:hAnsi="宋体"/>
                <w:color w:val="auto"/>
                <w:sz w:val="21"/>
                <w:szCs w:val="21"/>
              </w:rPr>
              <w:t>处理</w:t>
            </w:r>
            <w:r>
              <w:rPr>
                <w:rFonts w:hAnsi="宋体"/>
                <w:color w:val="auto"/>
                <w:sz w:val="21"/>
                <w:szCs w:val="21"/>
              </w:rPr>
              <w:t>效率按</w:t>
            </w:r>
            <w:r>
              <w:rPr>
                <w:color w:val="auto"/>
                <w:sz w:val="21"/>
                <w:szCs w:val="21"/>
              </w:rPr>
              <w:t>50%</w:t>
            </w:r>
            <w:r>
              <w:rPr>
                <w:rFonts w:hAnsi="宋体"/>
                <w:color w:val="auto"/>
                <w:sz w:val="21"/>
                <w:szCs w:val="21"/>
              </w:rPr>
              <w:t>考虑</w:t>
            </w:r>
          </w:p>
        </w:tc>
        <w:tc>
          <w:tcPr>
            <w:tcW w:w="561" w:type="pct"/>
            <w:vAlign w:val="center"/>
          </w:tcPr>
          <w:p>
            <w:pPr>
              <w:pStyle w:val="86"/>
              <w:spacing w:line="240" w:lineRule="auto"/>
              <w:ind w:firstLine="0" w:firstLineChars="0"/>
              <w:jc w:val="center"/>
              <w:rPr>
                <w:color w:val="auto"/>
                <w:sz w:val="21"/>
                <w:szCs w:val="21"/>
              </w:rPr>
            </w:pPr>
            <w:r>
              <w:rPr>
                <w:rFonts w:hAnsi="宋体"/>
                <w:color w:val="auto"/>
                <w:sz w:val="21"/>
                <w:szCs w:val="21"/>
              </w:rPr>
              <w:t>沥青烟</w:t>
            </w:r>
          </w:p>
        </w:tc>
        <w:tc>
          <w:tcPr>
            <w:tcW w:w="1306" w:type="dxa"/>
            <w:vAlign w:val="center"/>
          </w:tcPr>
          <w:p>
            <w:pPr>
              <w:contextualSpacing/>
              <w:jc w:val="center"/>
              <w:rPr>
                <w:rFonts w:hint="default" w:hAnsi="宋体" w:eastAsia="宋体"/>
                <w:color w:val="auto"/>
                <w:sz w:val="21"/>
                <w:szCs w:val="21"/>
                <w:lang w:val="en-US" w:eastAsia="zh-CN"/>
              </w:rPr>
            </w:pPr>
            <w:r>
              <w:rPr>
                <w:rFonts w:hint="eastAsia" w:cs="Times New Roman"/>
                <w:color w:val="auto"/>
                <w:sz w:val="21"/>
                <w:szCs w:val="21"/>
                <w:lang w:val="en-US" w:eastAsia="zh-CN"/>
              </w:rPr>
              <w:t>0.18</w:t>
            </w:r>
          </w:p>
        </w:tc>
        <w:tc>
          <w:tcPr>
            <w:tcW w:w="1177" w:type="dxa"/>
            <w:vAlign w:val="center"/>
          </w:tcPr>
          <w:p>
            <w:pPr>
              <w:contextualSpacing/>
              <w:jc w:val="center"/>
              <w:rPr>
                <w:rFonts w:hint="default" w:eastAsia="宋体"/>
                <w:color w:val="auto"/>
                <w:sz w:val="21"/>
                <w:szCs w:val="21"/>
                <w:lang w:val="en-US" w:eastAsia="zh-CN"/>
              </w:rPr>
            </w:pPr>
            <w:r>
              <w:rPr>
                <w:rFonts w:hint="eastAsia" w:cs="Times New Roman"/>
                <w:color w:val="auto"/>
                <w:sz w:val="21"/>
                <w:szCs w:val="21"/>
                <w:lang w:val="en-US" w:eastAsia="zh-CN"/>
              </w:rPr>
              <w:t>4.5</w:t>
            </w:r>
          </w:p>
        </w:tc>
        <w:tc>
          <w:tcPr>
            <w:tcW w:w="542" w:type="pct"/>
            <w:vMerge w:val="continue"/>
            <w:vAlign w:val="center"/>
          </w:tcPr>
          <w:p>
            <w:pPr>
              <w:pStyle w:val="86"/>
              <w:spacing w:line="240" w:lineRule="auto"/>
              <w:ind w:firstLine="0" w:firstLineChars="0"/>
              <w:jc w:val="center"/>
              <w:rPr>
                <w:color w:val="auto"/>
                <w:sz w:val="21"/>
                <w:szCs w:val="21"/>
              </w:rPr>
            </w:pPr>
          </w:p>
        </w:tc>
        <w:tc>
          <w:tcPr>
            <w:tcW w:w="565" w:type="pct"/>
            <w:vMerge w:val="continue"/>
            <w:vAlign w:val="center"/>
          </w:tcPr>
          <w:p>
            <w:pPr>
              <w:pStyle w:val="86"/>
              <w:spacing w:line="240" w:lineRule="auto"/>
              <w:ind w:firstLine="0" w:firstLineChars="0"/>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0" w:hRule="atLeast"/>
          <w:jc w:val="center"/>
        </w:trPr>
        <w:tc>
          <w:tcPr>
            <w:tcW w:w="763" w:type="pct"/>
            <w:vMerge w:val="continue"/>
            <w:vAlign w:val="center"/>
          </w:tcPr>
          <w:p>
            <w:pPr>
              <w:spacing w:line="0" w:lineRule="atLeast"/>
              <w:contextualSpacing/>
              <w:jc w:val="center"/>
              <w:rPr>
                <w:rFonts w:hAnsi="宋体"/>
                <w:color w:val="auto"/>
                <w:szCs w:val="21"/>
              </w:rPr>
            </w:pPr>
          </w:p>
        </w:tc>
        <w:tc>
          <w:tcPr>
            <w:tcW w:w="1109" w:type="pct"/>
            <w:vMerge w:val="continue"/>
            <w:vAlign w:val="center"/>
          </w:tcPr>
          <w:p>
            <w:pPr>
              <w:pStyle w:val="86"/>
              <w:spacing w:line="240" w:lineRule="auto"/>
              <w:ind w:firstLine="0" w:firstLineChars="0"/>
              <w:jc w:val="center"/>
              <w:rPr>
                <w:color w:val="auto"/>
                <w:sz w:val="21"/>
                <w:szCs w:val="21"/>
              </w:rPr>
            </w:pPr>
          </w:p>
        </w:tc>
        <w:tc>
          <w:tcPr>
            <w:tcW w:w="561" w:type="pct"/>
            <w:vAlign w:val="center"/>
          </w:tcPr>
          <w:p>
            <w:pPr>
              <w:pStyle w:val="86"/>
              <w:spacing w:line="240" w:lineRule="auto"/>
              <w:ind w:firstLine="0" w:firstLineChars="0"/>
              <w:jc w:val="center"/>
              <w:rPr>
                <w:color w:val="auto"/>
                <w:sz w:val="21"/>
                <w:szCs w:val="21"/>
              </w:rPr>
            </w:pPr>
            <w:r>
              <w:rPr>
                <w:rFonts w:hAnsi="宋体"/>
                <w:color w:val="auto"/>
                <w:sz w:val="21"/>
                <w:szCs w:val="21"/>
              </w:rPr>
              <w:t>苯并</w:t>
            </w:r>
            <w:r>
              <w:rPr>
                <w:color w:val="auto"/>
                <w:sz w:val="21"/>
                <w:szCs w:val="21"/>
              </w:rPr>
              <w:t>[a]</w:t>
            </w:r>
            <w:r>
              <w:rPr>
                <w:rFonts w:hAnsi="宋体"/>
                <w:color w:val="auto"/>
                <w:sz w:val="21"/>
                <w:szCs w:val="21"/>
              </w:rPr>
              <w:t>芘</w:t>
            </w:r>
          </w:p>
        </w:tc>
        <w:tc>
          <w:tcPr>
            <w:tcW w:w="1306" w:type="dxa"/>
            <w:vAlign w:val="center"/>
          </w:tcPr>
          <w:p>
            <w:pPr>
              <w:contextualSpacing/>
              <w:jc w:val="center"/>
              <w:rPr>
                <w:rFonts w:hint="eastAsia" w:hAnsi="宋体" w:eastAsia="宋体"/>
                <w:color w:val="auto"/>
                <w:sz w:val="21"/>
                <w:szCs w:val="21"/>
                <w:lang w:eastAsia="zh-CN"/>
              </w:rPr>
            </w:pPr>
            <w:r>
              <w:rPr>
                <w:rFonts w:hint="eastAsia" w:cs="Times New Roman"/>
                <w:color w:val="auto"/>
                <w:sz w:val="21"/>
                <w:szCs w:val="21"/>
                <w:lang w:val="en-US" w:eastAsia="zh-CN"/>
              </w:rPr>
              <w:t>3.75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6</w:t>
            </w:r>
          </w:p>
        </w:tc>
        <w:tc>
          <w:tcPr>
            <w:tcW w:w="1177" w:type="dxa"/>
            <w:vAlign w:val="center"/>
          </w:tcPr>
          <w:p>
            <w:pPr>
              <w:contextualSpacing/>
              <w:jc w:val="center"/>
              <w:rPr>
                <w:rFonts w:hint="default"/>
                <w:color w:val="auto"/>
                <w:sz w:val="21"/>
                <w:szCs w:val="21"/>
                <w:lang w:val="en-US"/>
              </w:rPr>
            </w:pPr>
            <w:r>
              <w:rPr>
                <w:rFonts w:hint="eastAsia" w:ascii="Times New Roman" w:hAnsi="Times New Roman" w:cs="Times New Roman"/>
                <w:color w:val="auto"/>
                <w:sz w:val="21"/>
                <w:szCs w:val="21"/>
                <w:lang w:val="en-US" w:eastAsia="zh-CN"/>
              </w:rPr>
              <w:t>0.00</w:t>
            </w:r>
            <w:r>
              <w:rPr>
                <w:rFonts w:hint="eastAsia" w:cs="Times New Roman"/>
                <w:color w:val="auto"/>
                <w:sz w:val="21"/>
                <w:szCs w:val="21"/>
                <w:lang w:val="en-US" w:eastAsia="zh-CN"/>
              </w:rPr>
              <w:t>01</w:t>
            </w:r>
          </w:p>
        </w:tc>
        <w:tc>
          <w:tcPr>
            <w:tcW w:w="542" w:type="pct"/>
            <w:vMerge w:val="continue"/>
            <w:vAlign w:val="center"/>
          </w:tcPr>
          <w:p>
            <w:pPr>
              <w:pStyle w:val="86"/>
              <w:spacing w:line="240" w:lineRule="auto"/>
              <w:ind w:firstLine="0" w:firstLineChars="0"/>
              <w:jc w:val="center"/>
              <w:rPr>
                <w:color w:val="auto"/>
                <w:sz w:val="21"/>
                <w:szCs w:val="21"/>
              </w:rPr>
            </w:pPr>
          </w:p>
        </w:tc>
        <w:tc>
          <w:tcPr>
            <w:tcW w:w="565" w:type="pct"/>
            <w:vMerge w:val="continue"/>
            <w:vAlign w:val="center"/>
          </w:tcPr>
          <w:p>
            <w:pPr>
              <w:pStyle w:val="86"/>
              <w:spacing w:line="240" w:lineRule="auto"/>
              <w:ind w:firstLine="0" w:firstLineChars="0"/>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0" w:hRule="atLeast"/>
          <w:jc w:val="center"/>
        </w:trPr>
        <w:tc>
          <w:tcPr>
            <w:tcW w:w="763" w:type="pct"/>
            <w:vMerge w:val="continue"/>
            <w:vAlign w:val="center"/>
          </w:tcPr>
          <w:p>
            <w:pPr>
              <w:spacing w:line="0" w:lineRule="atLeast"/>
              <w:contextualSpacing/>
              <w:jc w:val="center"/>
              <w:rPr>
                <w:rFonts w:hAnsi="宋体"/>
                <w:color w:val="auto"/>
                <w:szCs w:val="21"/>
              </w:rPr>
            </w:pPr>
          </w:p>
        </w:tc>
        <w:tc>
          <w:tcPr>
            <w:tcW w:w="1109" w:type="pct"/>
            <w:vMerge w:val="continue"/>
            <w:vAlign w:val="center"/>
          </w:tcPr>
          <w:p>
            <w:pPr>
              <w:pStyle w:val="86"/>
              <w:spacing w:line="240" w:lineRule="auto"/>
              <w:ind w:firstLine="0" w:firstLineChars="0"/>
              <w:jc w:val="center"/>
              <w:rPr>
                <w:color w:val="auto"/>
                <w:sz w:val="21"/>
                <w:szCs w:val="21"/>
              </w:rPr>
            </w:pPr>
          </w:p>
        </w:tc>
        <w:tc>
          <w:tcPr>
            <w:tcW w:w="561" w:type="pct"/>
            <w:vAlign w:val="center"/>
          </w:tcPr>
          <w:p>
            <w:pPr>
              <w:pStyle w:val="86"/>
              <w:spacing w:line="240" w:lineRule="auto"/>
              <w:ind w:firstLine="0" w:firstLineChars="0"/>
              <w:jc w:val="center"/>
              <w:rPr>
                <w:rFonts w:hAnsi="宋体"/>
                <w:color w:val="auto"/>
                <w:sz w:val="21"/>
                <w:szCs w:val="21"/>
              </w:rPr>
            </w:pPr>
            <w:r>
              <w:rPr>
                <w:rFonts w:hint="eastAsia" w:hAnsi="宋体"/>
                <w:color w:val="auto"/>
                <w:sz w:val="21"/>
                <w:szCs w:val="21"/>
              </w:rPr>
              <w:t>非甲烷总烃</w:t>
            </w:r>
          </w:p>
        </w:tc>
        <w:tc>
          <w:tcPr>
            <w:tcW w:w="1306" w:type="dxa"/>
            <w:vAlign w:val="center"/>
          </w:tcPr>
          <w:p>
            <w:pPr>
              <w:contextualSpacing/>
              <w:jc w:val="center"/>
              <w:rPr>
                <w:rFonts w:hint="default"/>
                <w:color w:val="auto"/>
                <w:sz w:val="21"/>
                <w:szCs w:val="21"/>
                <w:lang w:val="en-US"/>
              </w:rPr>
            </w:pPr>
            <w:r>
              <w:rPr>
                <w:rFonts w:hint="eastAsia" w:ascii="Times New Roman" w:hAnsi="Times New Roman" w:cs="Times New Roman"/>
                <w:color w:val="auto"/>
                <w:sz w:val="21"/>
                <w:szCs w:val="21"/>
                <w:lang w:val="en-US" w:eastAsia="zh-CN"/>
              </w:rPr>
              <w:t>0.0</w:t>
            </w:r>
            <w:r>
              <w:rPr>
                <w:rFonts w:hint="eastAsia" w:cs="Times New Roman"/>
                <w:color w:val="auto"/>
                <w:sz w:val="21"/>
                <w:szCs w:val="21"/>
                <w:lang w:val="en-US" w:eastAsia="zh-CN"/>
              </w:rPr>
              <w:t>1</w:t>
            </w:r>
          </w:p>
        </w:tc>
        <w:tc>
          <w:tcPr>
            <w:tcW w:w="1177" w:type="dxa"/>
            <w:vAlign w:val="center"/>
          </w:tcPr>
          <w:p>
            <w:pPr>
              <w:contextualSpacing/>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5</w:t>
            </w:r>
          </w:p>
        </w:tc>
        <w:tc>
          <w:tcPr>
            <w:tcW w:w="542" w:type="pct"/>
            <w:vMerge w:val="continue"/>
            <w:vAlign w:val="center"/>
          </w:tcPr>
          <w:p>
            <w:pPr>
              <w:pStyle w:val="86"/>
              <w:spacing w:line="240" w:lineRule="auto"/>
              <w:ind w:firstLine="0" w:firstLineChars="0"/>
              <w:jc w:val="center"/>
              <w:rPr>
                <w:color w:val="auto"/>
                <w:sz w:val="21"/>
                <w:szCs w:val="21"/>
              </w:rPr>
            </w:pPr>
          </w:p>
        </w:tc>
        <w:tc>
          <w:tcPr>
            <w:tcW w:w="565" w:type="pct"/>
            <w:vMerge w:val="continue"/>
            <w:vAlign w:val="center"/>
          </w:tcPr>
          <w:p>
            <w:pPr>
              <w:pStyle w:val="86"/>
              <w:spacing w:line="240" w:lineRule="auto"/>
              <w:ind w:firstLine="0" w:firstLineChars="0"/>
              <w:jc w:val="center"/>
              <w:rPr>
                <w:color w:val="auto"/>
                <w:sz w:val="21"/>
                <w:szCs w:val="21"/>
              </w:rPr>
            </w:pPr>
          </w:p>
        </w:tc>
      </w:tr>
    </w:tbl>
    <w:p>
      <w:pPr>
        <w:pStyle w:val="124"/>
        <w:rPr>
          <w:color w:val="auto"/>
        </w:rPr>
      </w:pPr>
    </w:p>
    <w:p>
      <w:pPr>
        <w:pStyle w:val="3"/>
        <w:numPr>
          <w:ilvl w:val="0"/>
          <w:numId w:val="0"/>
        </w:numPr>
        <w:bidi w:val="0"/>
        <w:ind w:leftChars="0"/>
        <w:rPr>
          <w:rFonts w:hint="default" w:ascii="宋体" w:hAnsi="宋体" w:eastAsia="宋体" w:cs="Times New Roman"/>
          <w:b w:val="0"/>
          <w:bCs w:val="0"/>
          <w:color w:val="auto"/>
          <w:sz w:val="28"/>
          <w:szCs w:val="28"/>
        </w:rPr>
      </w:pPr>
      <w:bookmarkStart w:id="170" w:name="_Toc28962"/>
      <w:bookmarkStart w:id="171" w:name="_Toc25379"/>
      <w:bookmarkStart w:id="172" w:name="_Toc23802"/>
      <w:bookmarkStart w:id="173" w:name="_Toc6245"/>
      <w:bookmarkStart w:id="174" w:name="_Toc11859"/>
      <w:bookmarkStart w:id="175" w:name="_Toc20342"/>
      <w:bookmarkStart w:id="176" w:name="_Toc31348"/>
      <w:bookmarkStart w:id="177" w:name="_Toc28476"/>
      <w:bookmarkStart w:id="178" w:name="_Toc32468"/>
      <w:r>
        <w:rPr>
          <w:rFonts w:hint="default" w:ascii="宋体" w:hAnsi="宋体" w:eastAsia="宋体" w:cs="Times New Roman"/>
          <w:b w:val="0"/>
          <w:bCs w:val="0"/>
          <w:color w:val="auto"/>
          <w:sz w:val="28"/>
          <w:szCs w:val="28"/>
        </w:rPr>
        <w:t>3自然环境简况</w:t>
      </w:r>
      <w:bookmarkEnd w:id="170"/>
      <w:bookmarkEnd w:id="171"/>
      <w:bookmarkEnd w:id="172"/>
      <w:bookmarkEnd w:id="173"/>
      <w:bookmarkEnd w:id="174"/>
      <w:bookmarkEnd w:id="175"/>
      <w:bookmarkEnd w:id="176"/>
      <w:bookmarkEnd w:id="177"/>
      <w:bookmarkEnd w:id="178"/>
    </w:p>
    <w:p>
      <w:pPr>
        <w:pStyle w:val="4"/>
        <w:numPr>
          <w:ilvl w:val="1"/>
          <w:numId w:val="0"/>
        </w:numPr>
        <w:adjustRightInd w:val="0"/>
        <w:snapToGrid w:val="0"/>
        <w:spacing w:before="0" w:beforeLines="0" w:after="0" w:afterLines="0" w:line="500" w:lineRule="exact"/>
        <w:rPr>
          <w:rFonts w:hint="default" w:ascii="Times New Roman" w:hAnsi="Times New Roman" w:eastAsia="宋体" w:cs="Times New Roman"/>
          <w:b w:val="0"/>
          <w:bCs/>
          <w:color w:val="auto"/>
          <w:sz w:val="24"/>
          <w:szCs w:val="24"/>
          <w:highlight w:val="none"/>
        </w:rPr>
      </w:pPr>
      <w:bookmarkStart w:id="179" w:name="_Toc2493"/>
      <w:bookmarkStart w:id="180" w:name="_Toc84685245"/>
      <w:bookmarkStart w:id="181" w:name="_Toc8406"/>
      <w:bookmarkStart w:id="182" w:name="_Toc13973"/>
      <w:bookmarkStart w:id="183" w:name="_Toc25199"/>
      <w:bookmarkStart w:id="184" w:name="_Toc23467"/>
      <w:r>
        <w:rPr>
          <w:rFonts w:hint="default" w:ascii="Times New Roman" w:hAnsi="Times New Roman" w:eastAsia="宋体" w:cs="Times New Roman"/>
          <w:b w:val="0"/>
          <w:bCs/>
          <w:color w:val="auto"/>
          <w:sz w:val="24"/>
          <w:szCs w:val="24"/>
          <w:highlight w:val="none"/>
        </w:rPr>
        <w:t>3.1</w:t>
      </w:r>
      <w:bookmarkStart w:id="185" w:name="_Toc32072"/>
      <w:bookmarkStart w:id="186" w:name="_Toc22361"/>
      <w:r>
        <w:rPr>
          <w:rFonts w:hint="default" w:ascii="Times New Roman" w:hAnsi="Times New Roman" w:eastAsia="宋体" w:cs="Times New Roman"/>
          <w:b w:val="0"/>
          <w:bCs/>
          <w:color w:val="auto"/>
          <w:sz w:val="24"/>
          <w:szCs w:val="24"/>
          <w:highlight w:val="none"/>
        </w:rPr>
        <w:t>地理位置</w:t>
      </w:r>
      <w:bookmarkEnd w:id="179"/>
      <w:bookmarkEnd w:id="180"/>
      <w:bookmarkEnd w:id="181"/>
      <w:bookmarkEnd w:id="182"/>
      <w:bookmarkEnd w:id="183"/>
      <w:bookmarkEnd w:id="184"/>
      <w:bookmarkEnd w:id="185"/>
      <w:bookmarkEnd w:id="186"/>
    </w:p>
    <w:p>
      <w:pPr>
        <w:pStyle w:val="117"/>
        <w:bidi w:val="0"/>
        <w:rPr>
          <w:rFonts w:hint="default" w:ascii="Times New Roman" w:hAnsi="Times New Roman" w:eastAsia="宋体" w:cs="Times New Roman"/>
          <w:color w:val="auto"/>
          <w:lang w:val="en-US" w:eastAsia="zh-CN"/>
        </w:rPr>
      </w:pPr>
      <w:r>
        <w:rPr>
          <w:color w:val="auto"/>
        </w:rPr>
        <w:t>伊春市位于黑龙江省东北部，以汤旺河支流伊春河得名，是我国北方重要的生态旅游城市和黑龙江省东北部中心城市。东部与鹤岗市毗邻，东南部与佳木斯市毗邻，南部与哈尔滨市毗邻，西南部与绥化市毗邻，西北部与黑河市毗邻，北部嘉荫县与俄罗斯隔江相望，边境线长246千米，面积32800.29平方千米，属中温带大陆性季风气候</w:t>
      </w:r>
      <w:r>
        <w:rPr>
          <w:rFonts w:hint="default" w:ascii="Times New Roman" w:hAnsi="Times New Roman" w:eastAsia="宋体" w:cs="Times New Roman"/>
          <w:color w:val="auto"/>
          <w:lang w:val="en-US" w:eastAsia="zh-CN"/>
        </w:rPr>
        <w:t>。</w:t>
      </w:r>
    </w:p>
    <w:p>
      <w:pPr>
        <w:pStyle w:val="4"/>
        <w:numPr>
          <w:ilvl w:val="1"/>
          <w:numId w:val="0"/>
        </w:numPr>
        <w:adjustRightInd w:val="0"/>
        <w:snapToGrid w:val="0"/>
        <w:spacing w:before="0" w:beforeLines="0" w:after="0" w:afterLines="0" w:line="500" w:lineRule="exact"/>
        <w:rPr>
          <w:rFonts w:hint="default" w:ascii="Times New Roman" w:hAnsi="Times New Roman" w:eastAsia="宋体" w:cs="Times New Roman"/>
          <w:b w:val="0"/>
          <w:bCs/>
          <w:color w:val="auto"/>
          <w:sz w:val="24"/>
          <w:szCs w:val="24"/>
          <w:highlight w:val="none"/>
        </w:rPr>
      </w:pPr>
      <w:bookmarkStart w:id="187" w:name="_Toc8242"/>
      <w:bookmarkStart w:id="188" w:name="_Toc10029"/>
      <w:bookmarkStart w:id="189" w:name="_Toc10383"/>
      <w:bookmarkStart w:id="190" w:name="_Toc278"/>
      <w:r>
        <w:rPr>
          <w:rFonts w:hint="default" w:ascii="Times New Roman" w:hAnsi="Times New Roman" w:eastAsia="宋体" w:cs="Times New Roman"/>
          <w:b w:val="0"/>
          <w:bCs/>
          <w:color w:val="auto"/>
          <w:sz w:val="24"/>
          <w:szCs w:val="24"/>
          <w:highlight w:val="none"/>
        </w:rPr>
        <w:t>3.</w:t>
      </w:r>
      <w:r>
        <w:rPr>
          <w:rFonts w:hint="eastAsia" w:ascii="Times New Roman" w:hAnsi="Times New Roman" w:eastAsia="宋体" w:cs="Times New Roman"/>
          <w:b w:val="0"/>
          <w:bCs/>
          <w:color w:val="auto"/>
          <w:sz w:val="24"/>
          <w:szCs w:val="24"/>
          <w:highlight w:val="none"/>
          <w:lang w:val="en-US" w:eastAsia="zh-CN"/>
        </w:rPr>
        <w:t>2地质地貌</w:t>
      </w:r>
      <w:bookmarkEnd w:id="187"/>
      <w:bookmarkEnd w:id="188"/>
      <w:bookmarkEnd w:id="189"/>
      <w:bookmarkEnd w:id="190"/>
    </w:p>
    <w:p>
      <w:pPr>
        <w:pStyle w:val="117"/>
        <w:bidi w:val="0"/>
        <w:rPr>
          <w:color w:val="auto"/>
        </w:rPr>
      </w:pPr>
      <w:r>
        <w:rPr>
          <w:color w:val="auto"/>
        </w:rPr>
        <w:t>伊春市地处小兴安岭低山山区，铁力市属松嫩高平原地貌，嘉荫县属黑龙江冲积低平原地貌，其余绝大部分为小兴安岭侵蚀、剥蚀山地。整个地势西低东高，北低南高，小兴安岭主脉在中部偏北地区经过，可分为以下几类地貌形态。</w:t>
      </w:r>
    </w:p>
    <w:p>
      <w:pPr>
        <w:pStyle w:val="117"/>
        <w:bidi w:val="0"/>
        <w:rPr>
          <w:color w:val="auto"/>
        </w:rPr>
      </w:pPr>
      <w:r>
        <w:rPr>
          <w:color w:val="auto"/>
        </w:rPr>
        <w:t>(1)侵蚀构造中低山</w:t>
      </w:r>
    </w:p>
    <w:p>
      <w:pPr>
        <w:pStyle w:val="117"/>
        <w:bidi w:val="0"/>
        <w:rPr>
          <w:color w:val="auto"/>
        </w:rPr>
      </w:pPr>
      <w:r>
        <w:rPr>
          <w:color w:val="auto"/>
        </w:rPr>
        <w:t>组成岩性为华力西期和燕山期侵入岩，分布于本市的小,城墙砬子至锅盔顶子山脉和青黑山脉两侧的广大山区。</w:t>
      </w:r>
    </w:p>
    <w:p>
      <w:pPr>
        <w:pStyle w:val="117"/>
        <w:bidi w:val="0"/>
        <w:rPr>
          <w:color w:val="auto"/>
        </w:rPr>
      </w:pPr>
      <w:r>
        <w:rPr>
          <w:color w:val="auto"/>
        </w:rPr>
        <w:t>(2)侵蚀、剥蚀丘陵</w:t>
      </w:r>
    </w:p>
    <w:p>
      <w:pPr>
        <w:pStyle w:val="117"/>
        <w:bidi w:val="0"/>
        <w:rPr>
          <w:color w:val="auto"/>
        </w:rPr>
      </w:pPr>
      <w:r>
        <w:rPr>
          <w:color w:val="auto"/>
        </w:rPr>
        <w:t>组成岩性多为中生代形成的侵入岩体和火山岩，并多以,岩基、岩株或岩脉的形式产出。呈条带状展布于中低山之前缘，分布在南岔区东南部，伊春区、友好区、铁力市石门河、嘉荫县北部等地。</w:t>
      </w:r>
    </w:p>
    <w:p>
      <w:pPr>
        <w:pStyle w:val="117"/>
        <w:bidi w:val="0"/>
        <w:rPr>
          <w:color w:val="auto"/>
        </w:rPr>
      </w:pPr>
      <w:r>
        <w:rPr>
          <w:color w:val="auto"/>
        </w:rPr>
        <w:t>(3)河流堆积高平原、冰积台地</w:t>
      </w:r>
    </w:p>
    <w:p>
      <w:pPr>
        <w:pStyle w:val="117"/>
        <w:bidi w:val="0"/>
        <w:rPr>
          <w:color w:val="auto"/>
        </w:rPr>
      </w:pPr>
      <w:r>
        <w:rPr>
          <w:color w:val="auto"/>
        </w:rPr>
        <w:t>前者分布于铁力市与伊春市区南部边缘地带。冰积台地分布于新青区南山和嘉荫县正义屯等地，面积小，组成岩性为下更新统冰积、冰水沉积亚黏土夹砂砾，亚黏土夹砾石等。多见砂、砾透镜体。</w:t>
      </w:r>
    </w:p>
    <w:p>
      <w:pPr>
        <w:pStyle w:val="117"/>
        <w:bidi w:val="0"/>
        <w:rPr>
          <w:color w:val="auto"/>
        </w:rPr>
      </w:pPr>
      <w:r>
        <w:rPr>
          <w:color w:val="auto"/>
        </w:rPr>
        <w:t>(4)河流堆积一级阶地、漫滩</w:t>
      </w:r>
    </w:p>
    <w:p>
      <w:pPr>
        <w:pStyle w:val="117"/>
        <w:bidi w:val="0"/>
        <w:rPr>
          <w:rFonts w:hint="default" w:ascii="Times New Roman" w:hAnsi="Times New Roman" w:eastAsia="宋体" w:cs="Times New Roman"/>
          <w:color w:val="auto"/>
          <w:lang w:val="en-US" w:eastAsia="zh-CN"/>
        </w:rPr>
      </w:pPr>
      <w:r>
        <w:rPr>
          <w:color w:val="auto"/>
        </w:rPr>
        <w:t>一级阶地呈带状零星分布于本市内主要河谷漫滩两侧，多为残留阶地。其中汤旺河阶地分布在浩良河镇永林村、晨明镇、双子河镇、翠峦区和汤旺河河谷两侧零星发育。呼兰河阶地分布在铁力市区内、建设林场等地多沿河床分布。黑龙江一级阶地零星分布嘉荫县境内的低平原后缘。阶地组成多为黄土状亚黏土、亚黏土及粉细砂、砂砾石等。</w:t>
      </w:r>
    </w:p>
    <w:p>
      <w:pPr>
        <w:pStyle w:val="4"/>
        <w:numPr>
          <w:ilvl w:val="1"/>
          <w:numId w:val="0"/>
        </w:numPr>
        <w:adjustRightInd w:val="0"/>
        <w:snapToGrid w:val="0"/>
        <w:spacing w:before="0" w:beforeLines="0" w:after="0" w:afterLines="0" w:line="500" w:lineRule="exact"/>
        <w:rPr>
          <w:rFonts w:hint="default" w:ascii="Times New Roman" w:hAnsi="Times New Roman" w:eastAsia="宋体" w:cs="Times New Roman"/>
          <w:b w:val="0"/>
          <w:bCs/>
          <w:color w:val="auto"/>
          <w:sz w:val="24"/>
          <w:szCs w:val="24"/>
          <w:highlight w:val="none"/>
        </w:rPr>
      </w:pPr>
      <w:bookmarkStart w:id="191" w:name="_Toc24926"/>
      <w:bookmarkStart w:id="192" w:name="_Toc9440"/>
      <w:bookmarkStart w:id="193" w:name="_Toc23609"/>
      <w:bookmarkStart w:id="194" w:name="_Toc20790"/>
      <w:r>
        <w:rPr>
          <w:rFonts w:hint="default" w:ascii="Times New Roman" w:hAnsi="Times New Roman" w:eastAsia="宋体" w:cs="Times New Roman"/>
          <w:b w:val="0"/>
          <w:bCs/>
          <w:color w:val="auto"/>
          <w:sz w:val="24"/>
          <w:szCs w:val="24"/>
          <w:highlight w:val="none"/>
        </w:rPr>
        <w:t>3.</w:t>
      </w:r>
      <w:r>
        <w:rPr>
          <w:rFonts w:hint="eastAsia" w:ascii="Times New Roman" w:hAnsi="Times New Roman" w:eastAsia="宋体" w:cs="Times New Roman"/>
          <w:b w:val="0"/>
          <w:bCs/>
          <w:color w:val="auto"/>
          <w:sz w:val="24"/>
          <w:szCs w:val="24"/>
          <w:highlight w:val="none"/>
          <w:lang w:val="en-US" w:eastAsia="zh-CN"/>
        </w:rPr>
        <w:t>3气候、气象</w:t>
      </w:r>
      <w:bookmarkEnd w:id="191"/>
      <w:bookmarkEnd w:id="192"/>
      <w:bookmarkEnd w:id="193"/>
      <w:bookmarkEnd w:id="194"/>
    </w:p>
    <w:p>
      <w:pPr>
        <w:pStyle w:val="117"/>
        <w:bidi w:val="0"/>
        <w:rPr>
          <w:color w:val="auto"/>
        </w:rPr>
      </w:pPr>
      <w:r>
        <w:rPr>
          <w:color w:val="auto"/>
        </w:rPr>
        <w:t>伊春气象站是距项目区最近的国家气象站，拥有长期的气象观测资料，以下资料根据2003-2022年气象数据统计分析。</w:t>
      </w:r>
    </w:p>
    <w:p>
      <w:pPr>
        <w:pStyle w:val="117"/>
        <w:bidi w:val="0"/>
        <w:rPr>
          <w:color w:val="auto"/>
        </w:rPr>
      </w:pPr>
      <w:r>
        <w:rPr>
          <w:color w:val="auto"/>
        </w:rPr>
        <w:t>伊春气象站气象资料整编表如下表所示：</w:t>
      </w:r>
    </w:p>
    <w:p>
      <w:pPr>
        <w:pStyle w:val="210"/>
        <w:rPr>
          <w:color w:val="auto"/>
        </w:rPr>
      </w:pPr>
      <w:r>
        <w:rPr>
          <w:color w:val="auto"/>
        </w:rPr>
        <w:t>表</w:t>
      </w:r>
      <w:r>
        <w:rPr>
          <w:rFonts w:hint="eastAsia"/>
          <w:color w:val="auto"/>
          <w:lang w:val="en-US" w:eastAsia="zh-CN"/>
        </w:rPr>
        <w:t>3</w:t>
      </w:r>
      <w:r>
        <w:rPr>
          <w:color w:val="auto"/>
        </w:rPr>
        <w:t>-1伊春气象站常规气象项目统计(2003-2022)</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2587"/>
        <w:gridCol w:w="1029"/>
        <w:gridCol w:w="1439"/>
        <w:gridCol w:w="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noWrap w:val="0"/>
            <w:vAlign w:val="center"/>
          </w:tcPr>
          <w:p>
            <w:pPr>
              <w:pStyle w:val="84"/>
              <w:rPr>
                <w:color w:val="auto"/>
              </w:rPr>
            </w:pPr>
            <w:r>
              <w:rPr>
                <w:color w:val="auto"/>
              </w:rPr>
              <w:t>统计项目</w:t>
            </w:r>
          </w:p>
        </w:tc>
        <w:tc>
          <w:tcPr>
            <w:tcW w:w="1518" w:type="pct"/>
            <w:noWrap w:val="0"/>
            <w:vAlign w:val="center"/>
          </w:tcPr>
          <w:p>
            <w:pPr>
              <w:pStyle w:val="84"/>
              <w:rPr>
                <w:color w:val="auto"/>
              </w:rPr>
            </w:pPr>
            <w:r>
              <w:rPr>
                <w:color w:val="auto"/>
              </w:rPr>
              <w:t>统计值</w:t>
            </w:r>
          </w:p>
        </w:tc>
        <w:tc>
          <w:tcPr>
            <w:tcW w:w="1448" w:type="pct"/>
            <w:gridSpan w:val="2"/>
            <w:noWrap w:val="0"/>
            <w:vAlign w:val="center"/>
          </w:tcPr>
          <w:p>
            <w:pPr>
              <w:pStyle w:val="84"/>
              <w:rPr>
                <w:color w:val="auto"/>
              </w:rPr>
            </w:pPr>
            <w:r>
              <w:rPr>
                <w:color w:val="auto"/>
              </w:rPr>
              <w:t>极值出现时间</w:t>
            </w:r>
          </w:p>
        </w:tc>
        <w:tc>
          <w:tcPr>
            <w:tcW w:w="442" w:type="pct"/>
            <w:noWrap w:val="0"/>
            <w:vAlign w:val="center"/>
          </w:tcPr>
          <w:p>
            <w:pPr>
              <w:pStyle w:val="84"/>
              <w:rPr>
                <w:color w:val="auto"/>
              </w:rPr>
            </w:pPr>
            <w:r>
              <w:rPr>
                <w:color w:val="auto"/>
              </w:rPr>
              <w:t>极值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noWrap w:val="0"/>
            <w:vAlign w:val="center"/>
          </w:tcPr>
          <w:p>
            <w:pPr>
              <w:pStyle w:val="84"/>
              <w:rPr>
                <w:color w:val="auto"/>
              </w:rPr>
            </w:pPr>
            <w:r>
              <w:rPr>
                <w:color w:val="auto"/>
              </w:rPr>
              <w:t>多年平均气温(</w:t>
            </w:r>
            <w:r>
              <w:rPr>
                <w:rFonts w:hint="eastAsia" w:ascii="宋体" w:hAnsi="宋体" w:cs="宋体"/>
                <w:color w:val="auto"/>
              </w:rPr>
              <w:t>℃</w:t>
            </w:r>
            <w:r>
              <w:rPr>
                <w:color w:val="auto"/>
              </w:rPr>
              <w:t>)</w:t>
            </w:r>
          </w:p>
        </w:tc>
        <w:tc>
          <w:tcPr>
            <w:tcW w:w="1518" w:type="pct"/>
            <w:noWrap w:val="0"/>
            <w:vAlign w:val="center"/>
          </w:tcPr>
          <w:p>
            <w:pPr>
              <w:pStyle w:val="84"/>
              <w:rPr>
                <w:color w:val="auto"/>
              </w:rPr>
            </w:pPr>
            <w:r>
              <w:rPr>
                <w:color w:val="auto"/>
              </w:rPr>
              <w:t>2.0</w:t>
            </w:r>
          </w:p>
        </w:tc>
        <w:tc>
          <w:tcPr>
            <w:tcW w:w="1448" w:type="pct"/>
            <w:gridSpan w:val="2"/>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noWrap w:val="0"/>
            <w:vAlign w:val="center"/>
          </w:tcPr>
          <w:p>
            <w:pPr>
              <w:pStyle w:val="84"/>
              <w:rPr>
                <w:color w:val="auto"/>
              </w:rPr>
            </w:pPr>
            <w:r>
              <w:rPr>
                <w:color w:val="auto"/>
              </w:rPr>
              <w:t>累年极端最高气温(</w:t>
            </w:r>
            <w:r>
              <w:rPr>
                <w:rFonts w:hint="eastAsia" w:ascii="宋体" w:hAnsi="宋体" w:cs="宋体"/>
                <w:color w:val="auto"/>
              </w:rPr>
              <w:t>℃</w:t>
            </w:r>
            <w:r>
              <w:rPr>
                <w:color w:val="auto"/>
              </w:rPr>
              <w:t>)</w:t>
            </w:r>
          </w:p>
        </w:tc>
        <w:tc>
          <w:tcPr>
            <w:tcW w:w="1518" w:type="pct"/>
            <w:noWrap w:val="0"/>
            <w:vAlign w:val="center"/>
          </w:tcPr>
          <w:p>
            <w:pPr>
              <w:pStyle w:val="84"/>
              <w:rPr>
                <w:color w:val="auto"/>
              </w:rPr>
            </w:pPr>
            <w:r>
              <w:rPr>
                <w:color w:val="auto"/>
              </w:rPr>
              <w:t>33.3</w:t>
            </w:r>
          </w:p>
        </w:tc>
        <w:tc>
          <w:tcPr>
            <w:tcW w:w="1448" w:type="pct"/>
            <w:gridSpan w:val="2"/>
            <w:noWrap w:val="0"/>
            <w:vAlign w:val="center"/>
          </w:tcPr>
          <w:p>
            <w:pPr>
              <w:pStyle w:val="84"/>
              <w:rPr>
                <w:color w:val="auto"/>
              </w:rPr>
            </w:pPr>
            <w:r>
              <w:rPr>
                <w:color w:val="auto"/>
              </w:rPr>
              <w:t>2010-06-27</w:t>
            </w:r>
          </w:p>
        </w:tc>
        <w:tc>
          <w:tcPr>
            <w:tcW w:w="442" w:type="pct"/>
            <w:noWrap w:val="0"/>
            <w:vAlign w:val="center"/>
          </w:tcPr>
          <w:p>
            <w:pPr>
              <w:pStyle w:val="84"/>
              <w:rPr>
                <w:color w:val="auto"/>
              </w:rPr>
            </w:pPr>
            <w:r>
              <w:rPr>
                <w:color w:val="auto"/>
              </w:rPr>
              <w:t>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累年极端最低气温(</w:t>
            </w:r>
            <w:r>
              <w:rPr>
                <w:rFonts w:hint="eastAsia" w:ascii="宋体" w:hAnsi="宋体" w:cs="宋体"/>
                <w:color w:val="auto"/>
              </w:rPr>
              <w:t>℃</w:t>
            </w:r>
            <w:r>
              <w:rPr>
                <w:color w:val="auto"/>
              </w:rPr>
              <w:t>)</w:t>
            </w:r>
          </w:p>
        </w:tc>
        <w:tc>
          <w:tcPr>
            <w:tcW w:w="604" w:type="pct"/>
            <w:noWrap w:val="0"/>
            <w:vAlign w:val="center"/>
          </w:tcPr>
          <w:p>
            <w:pPr>
              <w:pStyle w:val="84"/>
              <w:rPr>
                <w:color w:val="auto"/>
              </w:rPr>
            </w:pPr>
            <w:r>
              <w:rPr>
                <w:color w:val="auto"/>
              </w:rPr>
              <w:t>-36.1</w:t>
            </w:r>
          </w:p>
        </w:tc>
        <w:tc>
          <w:tcPr>
            <w:tcW w:w="844" w:type="pct"/>
            <w:noWrap w:val="0"/>
            <w:vAlign w:val="center"/>
          </w:tcPr>
          <w:p>
            <w:pPr>
              <w:pStyle w:val="84"/>
              <w:rPr>
                <w:color w:val="auto"/>
              </w:rPr>
            </w:pPr>
            <w:r>
              <w:rPr>
                <w:color w:val="auto"/>
              </w:rPr>
              <w:t>2021-12-24</w:t>
            </w:r>
          </w:p>
        </w:tc>
        <w:tc>
          <w:tcPr>
            <w:tcW w:w="442" w:type="pct"/>
            <w:noWrap w:val="0"/>
            <w:vAlign w:val="center"/>
          </w:tcPr>
          <w:p>
            <w:pPr>
              <w:pStyle w:val="84"/>
              <w:rPr>
                <w:color w:val="auto"/>
              </w:rPr>
            </w:pPr>
            <w:r>
              <w:rPr>
                <w:color w:val="auto"/>
              </w:rPr>
              <w:t>-40.5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多年平均气压(hPa)</w:t>
            </w:r>
          </w:p>
        </w:tc>
        <w:tc>
          <w:tcPr>
            <w:tcW w:w="604" w:type="pct"/>
            <w:noWrap w:val="0"/>
            <w:vAlign w:val="center"/>
          </w:tcPr>
          <w:p>
            <w:pPr>
              <w:pStyle w:val="84"/>
              <w:rPr>
                <w:color w:val="auto"/>
              </w:rPr>
            </w:pPr>
            <w:r>
              <w:rPr>
                <w:color w:val="auto"/>
              </w:rPr>
              <w:t>982.9</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多年平均相对湿度(%)</w:t>
            </w:r>
          </w:p>
        </w:tc>
        <w:tc>
          <w:tcPr>
            <w:tcW w:w="604" w:type="pct"/>
            <w:noWrap w:val="0"/>
            <w:vAlign w:val="center"/>
          </w:tcPr>
          <w:p>
            <w:pPr>
              <w:pStyle w:val="84"/>
              <w:rPr>
                <w:color w:val="auto"/>
              </w:rPr>
            </w:pPr>
            <w:r>
              <w:rPr>
                <w:color w:val="auto"/>
              </w:rPr>
              <w:t>68.7</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多年平均降雨量(mm)</w:t>
            </w:r>
          </w:p>
        </w:tc>
        <w:tc>
          <w:tcPr>
            <w:tcW w:w="604" w:type="pct"/>
            <w:noWrap w:val="0"/>
            <w:vAlign w:val="center"/>
          </w:tcPr>
          <w:p>
            <w:pPr>
              <w:pStyle w:val="84"/>
              <w:rPr>
                <w:color w:val="auto"/>
              </w:rPr>
            </w:pPr>
            <w:r>
              <w:rPr>
                <w:color w:val="auto"/>
              </w:rPr>
              <w:t>728.0</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vMerge w:val="restart"/>
            <w:noWrap w:val="0"/>
            <w:vAlign w:val="center"/>
          </w:tcPr>
          <w:p>
            <w:pPr>
              <w:pStyle w:val="84"/>
              <w:rPr>
                <w:color w:val="auto"/>
              </w:rPr>
            </w:pPr>
            <w:r>
              <w:rPr>
                <w:color w:val="auto"/>
              </w:rPr>
              <w:t>灾害天气统计</w:t>
            </w:r>
          </w:p>
        </w:tc>
        <w:tc>
          <w:tcPr>
            <w:tcW w:w="1518" w:type="pct"/>
            <w:noWrap w:val="0"/>
            <w:vAlign w:val="center"/>
          </w:tcPr>
          <w:p>
            <w:pPr>
              <w:pStyle w:val="84"/>
              <w:rPr>
                <w:color w:val="auto"/>
              </w:rPr>
            </w:pPr>
            <w:r>
              <w:rPr>
                <w:color w:val="auto"/>
              </w:rPr>
              <w:t>多年平均沙暴日数(d)</w:t>
            </w:r>
          </w:p>
        </w:tc>
        <w:tc>
          <w:tcPr>
            <w:tcW w:w="604" w:type="pct"/>
            <w:noWrap w:val="0"/>
            <w:vAlign w:val="center"/>
          </w:tcPr>
          <w:p>
            <w:pPr>
              <w:pStyle w:val="84"/>
              <w:rPr>
                <w:color w:val="auto"/>
              </w:rPr>
            </w:pPr>
            <w:r>
              <w:rPr>
                <w:color w:val="auto"/>
              </w:rPr>
              <w:t>0.0</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vMerge w:val="continue"/>
            <w:noWrap w:val="0"/>
            <w:vAlign w:val="center"/>
          </w:tcPr>
          <w:p>
            <w:pPr>
              <w:pStyle w:val="84"/>
              <w:rPr>
                <w:color w:val="auto"/>
              </w:rPr>
            </w:pPr>
          </w:p>
        </w:tc>
        <w:tc>
          <w:tcPr>
            <w:tcW w:w="1518" w:type="pct"/>
            <w:noWrap w:val="0"/>
            <w:vAlign w:val="center"/>
          </w:tcPr>
          <w:p>
            <w:pPr>
              <w:pStyle w:val="84"/>
              <w:rPr>
                <w:color w:val="auto"/>
              </w:rPr>
            </w:pPr>
            <w:r>
              <w:rPr>
                <w:color w:val="auto"/>
              </w:rPr>
              <w:t>多年平均雷暴日数(d)</w:t>
            </w:r>
          </w:p>
        </w:tc>
        <w:tc>
          <w:tcPr>
            <w:tcW w:w="604" w:type="pct"/>
            <w:noWrap w:val="0"/>
            <w:vAlign w:val="center"/>
          </w:tcPr>
          <w:p>
            <w:pPr>
              <w:pStyle w:val="84"/>
              <w:rPr>
                <w:color w:val="auto"/>
              </w:rPr>
            </w:pPr>
            <w:r>
              <w:rPr>
                <w:color w:val="auto"/>
              </w:rPr>
              <w:t>24.5</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vMerge w:val="continue"/>
            <w:noWrap w:val="0"/>
            <w:vAlign w:val="center"/>
          </w:tcPr>
          <w:p>
            <w:pPr>
              <w:pStyle w:val="84"/>
              <w:rPr>
                <w:color w:val="auto"/>
              </w:rPr>
            </w:pPr>
          </w:p>
        </w:tc>
        <w:tc>
          <w:tcPr>
            <w:tcW w:w="1518" w:type="pct"/>
            <w:noWrap w:val="0"/>
            <w:vAlign w:val="center"/>
          </w:tcPr>
          <w:p>
            <w:pPr>
              <w:pStyle w:val="84"/>
              <w:rPr>
                <w:color w:val="auto"/>
              </w:rPr>
            </w:pPr>
            <w:r>
              <w:rPr>
                <w:color w:val="auto"/>
              </w:rPr>
              <w:t>多年平均冰雹日数(d)</w:t>
            </w:r>
          </w:p>
        </w:tc>
        <w:tc>
          <w:tcPr>
            <w:tcW w:w="604" w:type="pct"/>
            <w:noWrap w:val="0"/>
            <w:vAlign w:val="center"/>
          </w:tcPr>
          <w:p>
            <w:pPr>
              <w:pStyle w:val="84"/>
              <w:rPr>
                <w:color w:val="auto"/>
              </w:rPr>
            </w:pPr>
            <w:r>
              <w:rPr>
                <w:color w:val="auto"/>
              </w:rPr>
              <w:t>0.8</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pct"/>
            <w:vMerge w:val="continue"/>
            <w:noWrap w:val="0"/>
            <w:vAlign w:val="center"/>
          </w:tcPr>
          <w:p>
            <w:pPr>
              <w:pStyle w:val="84"/>
              <w:rPr>
                <w:color w:val="auto"/>
              </w:rPr>
            </w:pPr>
          </w:p>
        </w:tc>
        <w:tc>
          <w:tcPr>
            <w:tcW w:w="1518" w:type="pct"/>
            <w:noWrap w:val="0"/>
            <w:vAlign w:val="center"/>
          </w:tcPr>
          <w:p>
            <w:pPr>
              <w:pStyle w:val="84"/>
              <w:rPr>
                <w:color w:val="auto"/>
              </w:rPr>
            </w:pPr>
            <w:r>
              <w:rPr>
                <w:color w:val="auto"/>
              </w:rPr>
              <w:t>多年平均大风日数(d)</w:t>
            </w:r>
          </w:p>
        </w:tc>
        <w:tc>
          <w:tcPr>
            <w:tcW w:w="604" w:type="pct"/>
            <w:noWrap w:val="0"/>
            <w:vAlign w:val="center"/>
          </w:tcPr>
          <w:p>
            <w:pPr>
              <w:pStyle w:val="84"/>
              <w:rPr>
                <w:color w:val="auto"/>
              </w:rPr>
            </w:pPr>
            <w:r>
              <w:rPr>
                <w:color w:val="auto"/>
              </w:rPr>
              <w:t>5.5</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多年实测极大风速(m/s)、相应风向</w:t>
            </w:r>
          </w:p>
        </w:tc>
        <w:tc>
          <w:tcPr>
            <w:tcW w:w="604" w:type="pct"/>
            <w:noWrap w:val="0"/>
            <w:vAlign w:val="center"/>
          </w:tcPr>
          <w:p>
            <w:pPr>
              <w:pStyle w:val="84"/>
              <w:rPr>
                <w:color w:val="auto"/>
              </w:rPr>
            </w:pPr>
            <w:r>
              <w:rPr>
                <w:color w:val="auto"/>
              </w:rPr>
              <w:t>25.7/E</w:t>
            </w:r>
          </w:p>
        </w:tc>
        <w:tc>
          <w:tcPr>
            <w:tcW w:w="844" w:type="pct"/>
            <w:noWrap w:val="0"/>
            <w:vAlign w:val="center"/>
          </w:tcPr>
          <w:p>
            <w:pPr>
              <w:pStyle w:val="84"/>
              <w:rPr>
                <w:color w:val="auto"/>
              </w:rPr>
            </w:pPr>
            <w:r>
              <w:rPr>
                <w:color w:val="auto"/>
              </w:rPr>
              <w:t>2022-7-3</w:t>
            </w: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多年平均风速(m/s)</w:t>
            </w:r>
          </w:p>
        </w:tc>
        <w:tc>
          <w:tcPr>
            <w:tcW w:w="604" w:type="pct"/>
            <w:noWrap w:val="0"/>
            <w:vAlign w:val="center"/>
          </w:tcPr>
          <w:p>
            <w:pPr>
              <w:pStyle w:val="84"/>
              <w:rPr>
                <w:color w:val="auto"/>
              </w:rPr>
            </w:pPr>
            <w:r>
              <w:rPr>
                <w:color w:val="auto"/>
              </w:rPr>
              <w:t>1.9</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多年主导风向、风向频率(%)</w:t>
            </w:r>
          </w:p>
        </w:tc>
        <w:tc>
          <w:tcPr>
            <w:tcW w:w="604" w:type="pct"/>
            <w:noWrap w:val="0"/>
            <w:vAlign w:val="center"/>
          </w:tcPr>
          <w:p>
            <w:pPr>
              <w:pStyle w:val="84"/>
              <w:rPr>
                <w:color w:val="auto"/>
              </w:rPr>
            </w:pPr>
            <w:r>
              <w:rPr>
                <w:color w:val="auto"/>
              </w:rPr>
              <w:t>W/15.3</w:t>
            </w:r>
          </w:p>
        </w:tc>
        <w:tc>
          <w:tcPr>
            <w:tcW w:w="844" w:type="pct"/>
            <w:noWrap w:val="0"/>
            <w:vAlign w:val="center"/>
          </w:tcPr>
          <w:p>
            <w:pPr>
              <w:pStyle w:val="84"/>
              <w:rPr>
                <w:color w:val="auto"/>
              </w:rPr>
            </w:pPr>
          </w:p>
        </w:tc>
        <w:tc>
          <w:tcPr>
            <w:tcW w:w="442" w:type="pct"/>
            <w:noWrap w:val="0"/>
            <w:vAlign w:val="center"/>
          </w:tcPr>
          <w:p>
            <w:pPr>
              <w:pStyle w:val="84"/>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10" w:type="pct"/>
            <w:gridSpan w:val="2"/>
            <w:noWrap w:val="0"/>
            <w:vAlign w:val="center"/>
          </w:tcPr>
          <w:p>
            <w:pPr>
              <w:pStyle w:val="84"/>
              <w:rPr>
                <w:color w:val="auto"/>
              </w:rPr>
            </w:pPr>
            <w:r>
              <w:rPr>
                <w:color w:val="auto"/>
              </w:rPr>
              <w:t>多年静风频率(风速&lt;=0.2m/s)(%)</w:t>
            </w:r>
          </w:p>
        </w:tc>
        <w:tc>
          <w:tcPr>
            <w:tcW w:w="604" w:type="pct"/>
            <w:noWrap w:val="0"/>
            <w:vAlign w:val="center"/>
          </w:tcPr>
          <w:p>
            <w:pPr>
              <w:pStyle w:val="84"/>
              <w:rPr>
                <w:color w:val="auto"/>
              </w:rPr>
            </w:pPr>
            <w:r>
              <w:rPr>
                <w:color w:val="auto"/>
              </w:rPr>
              <w:t>16.7</w:t>
            </w:r>
          </w:p>
        </w:tc>
        <w:tc>
          <w:tcPr>
            <w:tcW w:w="844" w:type="pct"/>
            <w:noWrap w:val="0"/>
            <w:vAlign w:val="center"/>
          </w:tcPr>
          <w:p>
            <w:pPr>
              <w:pStyle w:val="84"/>
              <w:rPr>
                <w:color w:val="auto"/>
              </w:rPr>
            </w:pPr>
          </w:p>
        </w:tc>
        <w:tc>
          <w:tcPr>
            <w:tcW w:w="442" w:type="pct"/>
            <w:noWrap w:val="0"/>
            <w:vAlign w:val="center"/>
          </w:tcPr>
          <w:p>
            <w:pPr>
              <w:pStyle w:val="84"/>
              <w:rPr>
                <w:color w:val="auto"/>
              </w:rPr>
            </w:pPr>
          </w:p>
        </w:tc>
      </w:tr>
    </w:tbl>
    <w:p>
      <w:pPr>
        <w:pStyle w:val="4"/>
        <w:numPr>
          <w:ilvl w:val="1"/>
          <w:numId w:val="0"/>
        </w:numPr>
        <w:adjustRightInd w:val="0"/>
        <w:snapToGrid w:val="0"/>
        <w:spacing w:before="0" w:beforeLines="0" w:after="0" w:afterLines="0" w:line="500" w:lineRule="exact"/>
        <w:rPr>
          <w:rFonts w:hint="default" w:ascii="Times New Roman" w:hAnsi="Times New Roman" w:eastAsia="宋体" w:cs="Times New Roman"/>
          <w:b w:val="0"/>
          <w:bCs/>
          <w:color w:val="auto"/>
          <w:sz w:val="24"/>
          <w:szCs w:val="24"/>
          <w:highlight w:val="none"/>
        </w:rPr>
      </w:pPr>
      <w:bookmarkStart w:id="195" w:name="_Toc798"/>
      <w:bookmarkStart w:id="196" w:name="_Toc16271"/>
      <w:bookmarkStart w:id="197" w:name="_Toc16912"/>
      <w:bookmarkStart w:id="198" w:name="_Toc21251"/>
      <w:r>
        <w:rPr>
          <w:rFonts w:hint="default" w:ascii="Times New Roman" w:hAnsi="Times New Roman" w:eastAsia="宋体" w:cs="Times New Roman"/>
          <w:b w:val="0"/>
          <w:bCs/>
          <w:color w:val="auto"/>
          <w:sz w:val="24"/>
          <w:szCs w:val="24"/>
          <w:highlight w:val="none"/>
        </w:rPr>
        <w:t>3.</w:t>
      </w:r>
      <w:r>
        <w:rPr>
          <w:rFonts w:hint="eastAsia" w:ascii="Times New Roman" w:hAnsi="Times New Roman" w:eastAsia="宋体" w:cs="Times New Roman"/>
          <w:b w:val="0"/>
          <w:bCs/>
          <w:color w:val="auto"/>
          <w:sz w:val="24"/>
          <w:szCs w:val="24"/>
          <w:highlight w:val="none"/>
          <w:lang w:val="en-US" w:eastAsia="zh-CN"/>
        </w:rPr>
        <w:t>4水文</w:t>
      </w:r>
      <w:bookmarkEnd w:id="195"/>
      <w:bookmarkEnd w:id="196"/>
      <w:bookmarkEnd w:id="197"/>
      <w:bookmarkEnd w:id="198"/>
    </w:p>
    <w:p>
      <w:pPr>
        <w:pStyle w:val="209"/>
        <w:ind w:firstLine="480"/>
        <w:rPr>
          <w:rStyle w:val="212"/>
          <w:color w:val="auto"/>
        </w:rPr>
      </w:pPr>
      <w:r>
        <w:rPr>
          <w:rStyle w:val="212"/>
          <w:color w:val="auto"/>
        </w:rPr>
        <w:t>伊春市中心城区位于汤旺河中游右岸与伊春河中下游交汇的河漫滩上。伊春市中心城区含伊春区、乌翠区，洪水主要来源于伊春河、汤旺河和伊春河一级支流乌马河。</w:t>
      </w:r>
    </w:p>
    <w:p>
      <w:pPr>
        <w:pStyle w:val="3"/>
        <w:numPr>
          <w:ilvl w:val="0"/>
          <w:numId w:val="0"/>
        </w:numPr>
        <w:bidi w:val="0"/>
        <w:ind w:leftChars="0"/>
        <w:rPr>
          <w:rFonts w:hint="default" w:ascii="宋体" w:hAnsi="宋体" w:eastAsia="宋体" w:cs="Times New Roman"/>
          <w:b w:val="0"/>
          <w:bCs w:val="0"/>
          <w:color w:val="auto"/>
          <w:sz w:val="28"/>
          <w:szCs w:val="28"/>
        </w:rPr>
      </w:pPr>
      <w:bookmarkStart w:id="199" w:name="_Toc5529"/>
      <w:bookmarkStart w:id="200" w:name="_Toc3667"/>
      <w:bookmarkStart w:id="201" w:name="_Toc26007"/>
      <w:bookmarkStart w:id="202" w:name="_Toc17274"/>
      <w:bookmarkStart w:id="203" w:name="_Toc4358"/>
      <w:bookmarkStart w:id="204" w:name="_Toc17713"/>
      <w:bookmarkStart w:id="205" w:name="_Toc13832"/>
      <w:bookmarkStart w:id="206" w:name="_Toc3556"/>
      <w:bookmarkStart w:id="207" w:name="_Toc10560"/>
      <w:bookmarkStart w:id="208" w:name="_Toc7227"/>
      <w:r>
        <w:rPr>
          <w:rFonts w:hint="default" w:ascii="宋体" w:hAnsi="宋体" w:eastAsia="宋体" w:cs="Times New Roman"/>
          <w:b w:val="0"/>
          <w:bCs w:val="0"/>
          <w:color w:val="auto"/>
          <w:sz w:val="28"/>
          <w:szCs w:val="28"/>
        </w:rPr>
        <w:t>4环境空气质量现状调查与评价</w:t>
      </w:r>
      <w:bookmarkEnd w:id="199"/>
      <w:bookmarkEnd w:id="200"/>
      <w:bookmarkEnd w:id="201"/>
      <w:bookmarkEnd w:id="202"/>
      <w:bookmarkEnd w:id="203"/>
      <w:bookmarkEnd w:id="204"/>
      <w:bookmarkEnd w:id="205"/>
      <w:bookmarkEnd w:id="206"/>
      <w:bookmarkEnd w:id="207"/>
      <w:bookmarkEnd w:id="208"/>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09" w:name="_Toc18136"/>
      <w:bookmarkStart w:id="210" w:name="_Toc15768"/>
      <w:bookmarkStart w:id="211" w:name="_Toc18949"/>
      <w:bookmarkStart w:id="212" w:name="_Toc17665"/>
      <w:bookmarkStart w:id="213" w:name="_Toc17242"/>
      <w:r>
        <w:rPr>
          <w:rFonts w:ascii="Times New Roman" w:hAnsi="Times New Roman" w:eastAsia="宋体" w:cs="Times New Roman"/>
          <w:b w:val="0"/>
          <w:bCs/>
          <w:color w:val="auto"/>
          <w:sz w:val="24"/>
          <w:szCs w:val="24"/>
          <w:highlight w:val="none"/>
        </w:rPr>
        <w:t>4.1项目所在区域环境质量现状</w:t>
      </w:r>
      <w:bookmarkEnd w:id="209"/>
      <w:bookmarkEnd w:id="210"/>
      <w:bookmarkEnd w:id="211"/>
      <w:bookmarkEnd w:id="212"/>
      <w:bookmarkEnd w:id="213"/>
    </w:p>
    <w:p>
      <w:pPr>
        <w:spacing w:line="360" w:lineRule="auto"/>
        <w:ind w:firstLine="480" w:firstLineChars="200"/>
        <w:rPr>
          <w:color w:val="auto"/>
          <w:sz w:val="24"/>
        </w:rPr>
      </w:pPr>
      <w:r>
        <w:rPr>
          <w:rFonts w:hint="eastAsia"/>
          <w:color w:val="auto"/>
          <w:sz w:val="24"/>
        </w:rPr>
        <w:t>根据202</w:t>
      </w:r>
      <w:r>
        <w:rPr>
          <w:rFonts w:hint="eastAsia"/>
          <w:color w:val="auto"/>
          <w:sz w:val="24"/>
          <w:lang w:val="en-US" w:eastAsia="zh-CN"/>
        </w:rPr>
        <w:t>4</w:t>
      </w:r>
      <w:r>
        <w:rPr>
          <w:rFonts w:hint="eastAsia"/>
          <w:color w:val="auto"/>
          <w:sz w:val="24"/>
        </w:rPr>
        <w:t>年伊春市环境质量年报，202</w:t>
      </w:r>
      <w:r>
        <w:rPr>
          <w:rFonts w:hint="eastAsia"/>
          <w:color w:val="auto"/>
          <w:sz w:val="24"/>
          <w:lang w:val="en-US" w:eastAsia="zh-CN"/>
        </w:rPr>
        <w:t>4</w:t>
      </w:r>
      <w:r>
        <w:rPr>
          <w:rFonts w:hint="eastAsia"/>
          <w:color w:val="auto"/>
          <w:sz w:val="24"/>
        </w:rPr>
        <w:t>年，市区细颗粒物（PM</w:t>
      </w:r>
      <w:r>
        <w:rPr>
          <w:rFonts w:hint="eastAsia"/>
          <w:color w:val="auto"/>
          <w:sz w:val="24"/>
          <w:vertAlign w:val="subscript"/>
        </w:rPr>
        <w:t>2.5</w:t>
      </w:r>
      <w:r>
        <w:rPr>
          <w:rFonts w:hint="eastAsia"/>
          <w:color w:val="auto"/>
          <w:sz w:val="24"/>
        </w:rPr>
        <w:t>）、可吸入颗粒物（PM</w:t>
      </w:r>
      <w:r>
        <w:rPr>
          <w:rFonts w:hint="eastAsia"/>
          <w:color w:val="auto"/>
          <w:sz w:val="24"/>
          <w:vertAlign w:val="subscript"/>
        </w:rPr>
        <w:t>10</w:t>
      </w:r>
      <w:r>
        <w:rPr>
          <w:rFonts w:hint="eastAsia"/>
          <w:color w:val="auto"/>
          <w:sz w:val="24"/>
        </w:rPr>
        <w:t>）、二氧化硫、二氧化氮年均值、一氧化碳24小时平均第95百分位数、臭氧日最大8小时滑动平均值的第90百分位数均优于国家环境空气质量二级标准。PM</w:t>
      </w:r>
      <w:r>
        <w:rPr>
          <w:rFonts w:hint="eastAsia"/>
          <w:color w:val="auto"/>
          <w:sz w:val="24"/>
          <w:vertAlign w:val="subscript"/>
        </w:rPr>
        <w:t>2.5</w:t>
      </w:r>
      <w:r>
        <w:rPr>
          <w:rFonts w:hint="eastAsia"/>
          <w:color w:val="auto"/>
          <w:sz w:val="24"/>
        </w:rPr>
        <w:t>全市平均浓度为2</w:t>
      </w:r>
      <w:r>
        <w:rPr>
          <w:rFonts w:hint="eastAsia"/>
          <w:color w:val="auto"/>
          <w:sz w:val="24"/>
          <w:lang w:val="en-US" w:eastAsia="zh-CN"/>
        </w:rPr>
        <w:t>4</w:t>
      </w:r>
      <w:r>
        <w:rPr>
          <w:rFonts w:hint="eastAsia"/>
          <w:color w:val="auto"/>
          <w:sz w:val="24"/>
        </w:rPr>
        <w:t>μg/m³， PM</w:t>
      </w:r>
      <w:r>
        <w:rPr>
          <w:rFonts w:hint="eastAsia"/>
          <w:color w:val="auto"/>
          <w:sz w:val="24"/>
          <w:vertAlign w:val="subscript"/>
        </w:rPr>
        <w:t>10</w:t>
      </w:r>
      <w:r>
        <w:rPr>
          <w:rFonts w:hint="eastAsia"/>
          <w:color w:val="auto"/>
          <w:sz w:val="24"/>
        </w:rPr>
        <w:t>全市平均浓度为3</w:t>
      </w:r>
      <w:r>
        <w:rPr>
          <w:rFonts w:hint="eastAsia"/>
          <w:color w:val="auto"/>
          <w:sz w:val="24"/>
          <w:lang w:val="en-US" w:eastAsia="zh-CN"/>
        </w:rPr>
        <w:t>4</w:t>
      </w:r>
      <w:r>
        <w:rPr>
          <w:rFonts w:hint="eastAsia"/>
          <w:color w:val="auto"/>
          <w:sz w:val="24"/>
        </w:rPr>
        <w:t>μg/m³。SO</w:t>
      </w:r>
      <w:r>
        <w:rPr>
          <w:rFonts w:hint="eastAsia"/>
          <w:color w:val="auto"/>
          <w:sz w:val="24"/>
          <w:vertAlign w:val="subscript"/>
        </w:rPr>
        <w:t>2</w:t>
      </w:r>
      <w:r>
        <w:rPr>
          <w:rFonts w:hint="eastAsia"/>
          <w:color w:val="auto"/>
          <w:sz w:val="24"/>
        </w:rPr>
        <w:t>全市平均浓度为7μg/m³，NO</w:t>
      </w:r>
      <w:r>
        <w:rPr>
          <w:rFonts w:hint="eastAsia"/>
          <w:color w:val="auto"/>
          <w:sz w:val="24"/>
          <w:vertAlign w:val="subscript"/>
        </w:rPr>
        <w:t>2</w:t>
      </w:r>
      <w:r>
        <w:rPr>
          <w:rFonts w:hint="eastAsia"/>
          <w:color w:val="auto"/>
          <w:sz w:val="24"/>
        </w:rPr>
        <w:t>全市平均浓度为1</w:t>
      </w:r>
      <w:r>
        <w:rPr>
          <w:rFonts w:hint="eastAsia"/>
          <w:color w:val="auto"/>
          <w:sz w:val="24"/>
          <w:lang w:val="en-US" w:eastAsia="zh-CN"/>
        </w:rPr>
        <w:t>3</w:t>
      </w:r>
      <w:r>
        <w:rPr>
          <w:rFonts w:hint="eastAsia"/>
          <w:color w:val="auto"/>
          <w:sz w:val="24"/>
        </w:rPr>
        <w:t>μg/m³。CO24小时第95百分位数全市平均浓度为</w:t>
      </w:r>
      <w:r>
        <w:rPr>
          <w:rFonts w:hint="eastAsia"/>
          <w:color w:val="auto"/>
          <w:sz w:val="24"/>
          <w:lang w:val="en-US" w:eastAsia="zh-CN"/>
        </w:rPr>
        <w:t>0.8</w:t>
      </w:r>
      <w:r>
        <w:rPr>
          <w:rFonts w:hint="eastAsia"/>
          <w:color w:val="auto"/>
          <w:sz w:val="24"/>
        </w:rPr>
        <w:t>mg/m³，O</w:t>
      </w:r>
      <w:r>
        <w:rPr>
          <w:rFonts w:hint="eastAsia"/>
          <w:color w:val="auto"/>
          <w:sz w:val="24"/>
          <w:vertAlign w:val="subscript"/>
        </w:rPr>
        <w:t>3</w:t>
      </w:r>
      <w:r>
        <w:rPr>
          <w:rFonts w:hint="eastAsia"/>
          <w:color w:val="auto"/>
          <w:sz w:val="24"/>
        </w:rPr>
        <w:t>日最大8小时第90百分位数全市平均浓度为10</w:t>
      </w:r>
      <w:r>
        <w:rPr>
          <w:rFonts w:hint="eastAsia"/>
          <w:color w:val="auto"/>
          <w:sz w:val="24"/>
          <w:lang w:val="en-US" w:eastAsia="zh-CN"/>
        </w:rPr>
        <w:t>4</w:t>
      </w:r>
      <w:r>
        <w:rPr>
          <w:rFonts w:hint="eastAsia"/>
          <w:color w:val="auto"/>
          <w:sz w:val="24"/>
        </w:rPr>
        <w:t>μg/m³。</w:t>
      </w:r>
    </w:p>
    <w:p>
      <w:pPr>
        <w:pStyle w:val="86"/>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outlineLvl w:val="9"/>
        <w:rPr>
          <w:color w:val="auto"/>
          <w:sz w:val="18"/>
          <w:szCs w:val="18"/>
          <w:highlight w:val="none"/>
        </w:rPr>
      </w:pPr>
      <w:r>
        <w:rPr>
          <w:rFonts w:hint="eastAsia"/>
          <w:color w:val="auto"/>
          <w:sz w:val="24"/>
        </w:rPr>
        <w:t>202</w:t>
      </w:r>
      <w:r>
        <w:rPr>
          <w:rFonts w:hint="eastAsia"/>
          <w:color w:val="auto"/>
          <w:sz w:val="24"/>
          <w:lang w:val="en-US" w:eastAsia="zh-CN"/>
        </w:rPr>
        <w:t>4</w:t>
      </w:r>
      <w:r>
        <w:rPr>
          <w:rFonts w:hint="eastAsia"/>
          <w:color w:val="auto"/>
          <w:sz w:val="24"/>
        </w:rPr>
        <w:t>年伊春</w:t>
      </w:r>
      <w:r>
        <w:rPr>
          <w:color w:val="auto"/>
          <w:sz w:val="24"/>
          <w:lang w:val="zh-CN"/>
        </w:rPr>
        <w:t>区域基本污染物均符合</w:t>
      </w:r>
      <w:r>
        <w:rPr>
          <w:color w:val="auto"/>
          <w:sz w:val="24"/>
        </w:rPr>
        <w:t>《环境空气质量标准》（GB3095-20</w:t>
      </w:r>
      <w:r>
        <w:rPr>
          <w:rFonts w:hint="eastAsia"/>
          <w:color w:val="auto"/>
          <w:sz w:val="24"/>
          <w:lang w:val="en-US" w:eastAsia="zh-CN"/>
        </w:rPr>
        <w:t>26</w:t>
      </w:r>
      <w:r>
        <w:rPr>
          <w:color w:val="auto"/>
          <w:sz w:val="24"/>
        </w:rPr>
        <w:t>）二级标准要求</w:t>
      </w:r>
      <w:r>
        <w:rPr>
          <w:color w:val="auto"/>
          <w:sz w:val="24"/>
          <w:lang w:val="zh-CN"/>
        </w:rPr>
        <w:t>，区域属于环境空气质量达标区</w:t>
      </w:r>
      <w:r>
        <w:rPr>
          <w:color w:val="auto"/>
          <w:sz w:val="24"/>
        </w:rPr>
        <w:t>。</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14" w:name="_Toc26867"/>
      <w:bookmarkStart w:id="215" w:name="_Toc7112"/>
      <w:bookmarkStart w:id="216" w:name="_Toc20914"/>
      <w:bookmarkStart w:id="217" w:name="_Toc27507"/>
      <w:bookmarkStart w:id="218" w:name="_Toc14791"/>
      <w:bookmarkStart w:id="219" w:name="_Hlk71806901"/>
      <w:r>
        <w:rPr>
          <w:rFonts w:ascii="Times New Roman" w:hAnsi="Times New Roman" w:eastAsia="宋体" w:cs="Times New Roman"/>
          <w:b w:val="0"/>
          <w:bCs/>
          <w:color w:val="auto"/>
          <w:sz w:val="24"/>
          <w:szCs w:val="24"/>
          <w:highlight w:val="none"/>
        </w:rPr>
        <w:t>4.2环境空气质量补充监测</w:t>
      </w:r>
      <w:bookmarkEnd w:id="214"/>
      <w:bookmarkEnd w:id="215"/>
      <w:bookmarkEnd w:id="216"/>
      <w:bookmarkEnd w:id="217"/>
      <w:bookmarkEnd w:id="218"/>
    </w:p>
    <w:bookmarkEnd w:id="219"/>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220" w:name="_Toc10230"/>
      <w:bookmarkStart w:id="221" w:name="_Toc30158"/>
      <w:bookmarkStart w:id="222" w:name="_Toc15979"/>
      <w:bookmarkStart w:id="223" w:name="_Toc2448"/>
      <w:r>
        <w:rPr>
          <w:rFonts w:ascii="Times New Roman" w:hAnsi="Times New Roman" w:cs="Times New Roman"/>
          <w:snapToGrid w:val="0"/>
          <w:color w:val="auto"/>
          <w:spacing w:val="0"/>
          <w:kern w:val="0"/>
          <w:sz w:val="24"/>
          <w:szCs w:val="24"/>
          <w:highlight w:val="none"/>
        </w:rPr>
        <w:t>4.2.1监测时间及监测项目</w:t>
      </w:r>
      <w:bookmarkEnd w:id="220"/>
      <w:bookmarkEnd w:id="221"/>
      <w:bookmarkEnd w:id="222"/>
      <w:bookmarkEnd w:id="223"/>
    </w:p>
    <w:p>
      <w:pPr>
        <w:pStyle w:val="86"/>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outlineLvl w:val="9"/>
        <w:rPr>
          <w:color w:val="auto"/>
          <w:sz w:val="24"/>
          <w:lang w:val="zh-CN"/>
        </w:rPr>
      </w:pPr>
      <w:r>
        <w:rPr>
          <w:color w:val="auto"/>
          <w:sz w:val="24"/>
          <w:lang w:val="zh-CN"/>
        </w:rPr>
        <w:t>本项目</w:t>
      </w:r>
      <w:r>
        <w:rPr>
          <w:rFonts w:hint="default" w:ascii="Times New Roman" w:hAnsi="Times New Roman" w:cs="Times New Roman"/>
          <w:color w:val="auto"/>
          <w:sz w:val="24"/>
          <w:lang w:val="zh-CN"/>
        </w:rPr>
        <w:t>于</w:t>
      </w:r>
      <w:r>
        <w:rPr>
          <w:rFonts w:hint="default" w:ascii="Times New Roman" w:hAnsi="Times New Roman" w:cs="Times New Roman"/>
          <w:color w:val="auto"/>
          <w:sz w:val="24"/>
          <w:lang w:val="en-US" w:eastAsia="zh-CN"/>
        </w:rPr>
        <w:t>2025年10月15日至2025年10月22日</w:t>
      </w:r>
      <w:r>
        <w:rPr>
          <w:color w:val="auto"/>
          <w:sz w:val="24"/>
          <w:lang w:val="zh-CN"/>
        </w:rPr>
        <w:t>为期</w:t>
      </w:r>
      <w:r>
        <w:rPr>
          <w:rFonts w:hint="eastAsia"/>
          <w:color w:val="auto"/>
          <w:sz w:val="24"/>
          <w:lang w:val="en-US" w:eastAsia="zh-CN"/>
        </w:rPr>
        <w:t>7</w:t>
      </w:r>
      <w:r>
        <w:rPr>
          <w:color w:val="auto"/>
          <w:sz w:val="24"/>
          <w:lang w:val="zh-CN"/>
        </w:rPr>
        <w:t>天监测有效数据，监测项目为</w:t>
      </w:r>
      <w:r>
        <w:rPr>
          <w:rFonts w:hint="default"/>
          <w:color w:val="auto"/>
          <w:sz w:val="24"/>
          <w:lang w:val="zh-CN"/>
        </w:rPr>
        <w:t>TSP、苯并[a]芘</w:t>
      </w:r>
      <w:r>
        <w:rPr>
          <w:color w:val="auto"/>
          <w:sz w:val="24"/>
          <w:lang w:val="zh-CN"/>
        </w:rPr>
        <w:t>。</w:t>
      </w:r>
    </w:p>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224" w:name="_Toc21951"/>
      <w:bookmarkStart w:id="225" w:name="_Toc22495"/>
      <w:bookmarkStart w:id="226" w:name="_Toc6219"/>
      <w:bookmarkStart w:id="227" w:name="_Toc23991"/>
      <w:r>
        <w:rPr>
          <w:rFonts w:ascii="Times New Roman" w:hAnsi="Times New Roman" w:cs="Times New Roman"/>
          <w:snapToGrid w:val="0"/>
          <w:color w:val="auto"/>
          <w:spacing w:val="0"/>
          <w:kern w:val="0"/>
          <w:sz w:val="24"/>
          <w:szCs w:val="24"/>
          <w:highlight w:val="none"/>
        </w:rPr>
        <w:t>4.2.2监测点布设</w:t>
      </w:r>
      <w:bookmarkEnd w:id="224"/>
      <w:bookmarkEnd w:id="225"/>
      <w:bookmarkEnd w:id="226"/>
      <w:bookmarkEnd w:id="227"/>
    </w:p>
    <w:p>
      <w:pPr>
        <w:spacing w:line="360" w:lineRule="auto"/>
        <w:ind w:firstLine="480" w:firstLineChars="200"/>
        <w:rPr>
          <w:snapToGrid w:val="0"/>
          <w:color w:val="auto"/>
          <w:kern w:val="0"/>
          <w:sz w:val="24"/>
        </w:rPr>
      </w:pPr>
      <w:r>
        <w:rPr>
          <w:snapToGrid w:val="0"/>
          <w:color w:val="auto"/>
          <w:kern w:val="0"/>
          <w:sz w:val="24"/>
        </w:rPr>
        <w:t>项目所处区域监测季节主导风向为</w:t>
      </w:r>
      <w:r>
        <w:rPr>
          <w:rFonts w:hint="eastAsia"/>
          <w:snapToGrid w:val="0"/>
          <w:color w:val="auto"/>
          <w:kern w:val="0"/>
          <w:sz w:val="24"/>
        </w:rPr>
        <w:t>N</w:t>
      </w:r>
      <w:r>
        <w:rPr>
          <w:rFonts w:hint="eastAsia"/>
          <w:snapToGrid w:val="0"/>
          <w:color w:val="auto"/>
          <w:kern w:val="0"/>
          <w:sz w:val="24"/>
          <w:lang w:val="en-US" w:eastAsia="zh-CN"/>
        </w:rPr>
        <w:t>E</w:t>
      </w:r>
      <w:r>
        <w:rPr>
          <w:snapToGrid w:val="0"/>
          <w:color w:val="auto"/>
          <w:kern w:val="0"/>
          <w:sz w:val="24"/>
        </w:rPr>
        <w:t>，共布设</w:t>
      </w:r>
      <w:r>
        <w:rPr>
          <w:rFonts w:hint="eastAsia"/>
          <w:snapToGrid w:val="0"/>
          <w:color w:val="auto"/>
          <w:kern w:val="0"/>
          <w:sz w:val="24"/>
        </w:rPr>
        <w:t>1</w:t>
      </w:r>
      <w:r>
        <w:rPr>
          <w:snapToGrid w:val="0"/>
          <w:color w:val="auto"/>
          <w:kern w:val="0"/>
          <w:sz w:val="24"/>
        </w:rPr>
        <w:t>处监测点。监测点情况见表</w:t>
      </w:r>
      <w:r>
        <w:rPr>
          <w:rFonts w:hint="eastAsia"/>
          <w:snapToGrid w:val="0"/>
          <w:color w:val="auto"/>
          <w:kern w:val="0"/>
          <w:sz w:val="24"/>
          <w:lang w:val="en-US" w:eastAsia="zh-CN"/>
        </w:rPr>
        <w:t>4</w:t>
      </w:r>
      <w:r>
        <w:rPr>
          <w:snapToGrid w:val="0"/>
          <w:color w:val="auto"/>
          <w:kern w:val="0"/>
          <w:sz w:val="24"/>
        </w:rPr>
        <w:t>-</w:t>
      </w:r>
      <w:r>
        <w:rPr>
          <w:rFonts w:hint="eastAsia"/>
          <w:snapToGrid w:val="0"/>
          <w:color w:val="auto"/>
          <w:kern w:val="0"/>
          <w:sz w:val="24"/>
          <w:lang w:val="en-US" w:eastAsia="zh-CN"/>
        </w:rPr>
        <w:t>1</w:t>
      </w:r>
      <w:r>
        <w:rPr>
          <w:snapToGrid w:val="0"/>
          <w:color w:val="auto"/>
          <w:kern w:val="0"/>
          <w:sz w:val="24"/>
        </w:rPr>
        <w:t>，监测布点图见</w:t>
      </w:r>
      <w:r>
        <w:rPr>
          <w:rFonts w:hint="eastAsia"/>
          <w:snapToGrid w:val="0"/>
          <w:color w:val="auto"/>
          <w:kern w:val="0"/>
          <w:sz w:val="24"/>
          <w:lang w:val="en-US" w:eastAsia="zh-CN"/>
        </w:rPr>
        <w:t>附</w:t>
      </w:r>
      <w:r>
        <w:rPr>
          <w:snapToGrid w:val="0"/>
          <w:color w:val="auto"/>
          <w:kern w:val="0"/>
          <w:sz w:val="24"/>
        </w:rPr>
        <w:t>图</w:t>
      </w:r>
      <w:r>
        <w:rPr>
          <w:rFonts w:hint="eastAsia"/>
          <w:snapToGrid w:val="0"/>
          <w:color w:val="auto"/>
          <w:kern w:val="0"/>
          <w:sz w:val="24"/>
          <w:lang w:val="en-US" w:eastAsia="zh-CN"/>
        </w:rPr>
        <w:t>3</w:t>
      </w:r>
      <w:r>
        <w:rPr>
          <w:snapToGrid w:val="0"/>
          <w:color w:val="auto"/>
          <w:kern w:val="0"/>
          <w:sz w:val="24"/>
        </w:rPr>
        <w:t>。</w:t>
      </w:r>
    </w:p>
    <w:p>
      <w:pPr>
        <w:pStyle w:val="137"/>
        <w:spacing w:line="240" w:lineRule="auto"/>
        <w:rPr>
          <w:rFonts w:eastAsia="宋体"/>
          <w:b/>
          <w:color w:val="auto"/>
          <w:szCs w:val="24"/>
        </w:rPr>
      </w:pPr>
      <w:r>
        <w:rPr>
          <w:rFonts w:eastAsia="宋体"/>
          <w:b/>
          <w:color w:val="auto"/>
          <w:szCs w:val="24"/>
        </w:rPr>
        <w:t>表</w:t>
      </w:r>
      <w:r>
        <w:rPr>
          <w:rFonts w:hint="eastAsia" w:eastAsia="宋体"/>
          <w:b/>
          <w:color w:val="auto"/>
          <w:szCs w:val="24"/>
          <w:lang w:val="en-US" w:eastAsia="zh-CN"/>
        </w:rPr>
        <w:t>4</w:t>
      </w:r>
      <w:r>
        <w:rPr>
          <w:rFonts w:eastAsia="宋体"/>
          <w:b/>
          <w:color w:val="auto"/>
          <w:szCs w:val="24"/>
        </w:rPr>
        <w:t>-</w:t>
      </w:r>
      <w:r>
        <w:rPr>
          <w:rFonts w:hint="eastAsia" w:eastAsia="宋体"/>
          <w:b/>
          <w:color w:val="auto"/>
          <w:szCs w:val="24"/>
          <w:lang w:val="en-US" w:eastAsia="zh-CN"/>
        </w:rPr>
        <w:t>1</w:t>
      </w:r>
      <w:r>
        <w:rPr>
          <w:rFonts w:hint="eastAsia" w:eastAsia="宋体"/>
          <w:b/>
          <w:color w:val="auto"/>
          <w:szCs w:val="24"/>
        </w:rPr>
        <w:t xml:space="preserve"> </w:t>
      </w:r>
      <w:r>
        <w:rPr>
          <w:rFonts w:eastAsia="宋体"/>
          <w:b/>
          <w:color w:val="auto"/>
          <w:szCs w:val="24"/>
        </w:rPr>
        <w:t>环境空气监测布点情况</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200"/>
        <w:gridCol w:w="992"/>
        <w:gridCol w:w="997"/>
        <w:gridCol w:w="992"/>
        <w:gridCol w:w="1243"/>
        <w:gridCol w:w="1366"/>
        <w:gridCol w:w="15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29" w:hRule="atLeast"/>
          <w:jc w:val="center"/>
        </w:trPr>
        <w:tc>
          <w:tcPr>
            <w:tcW w:w="718" w:type="pct"/>
            <w:vMerge w:val="restart"/>
            <w:vAlign w:val="center"/>
          </w:tcPr>
          <w:p>
            <w:pPr>
              <w:jc w:val="center"/>
              <w:rPr>
                <w:color w:val="auto"/>
                <w:szCs w:val="21"/>
              </w:rPr>
            </w:pPr>
            <w:r>
              <w:rPr>
                <w:color w:val="auto"/>
                <w:szCs w:val="21"/>
              </w:rPr>
              <w:t>监测点名称</w:t>
            </w:r>
          </w:p>
        </w:tc>
        <w:tc>
          <w:tcPr>
            <w:tcW w:w="1189" w:type="pct"/>
            <w:gridSpan w:val="2"/>
            <w:tcBorders>
              <w:bottom w:val="single" w:color="auto" w:sz="4" w:space="0"/>
            </w:tcBorders>
            <w:vAlign w:val="center"/>
          </w:tcPr>
          <w:p>
            <w:pPr>
              <w:jc w:val="center"/>
              <w:rPr>
                <w:color w:val="auto"/>
                <w:szCs w:val="21"/>
              </w:rPr>
            </w:pPr>
            <w:r>
              <w:rPr>
                <w:color w:val="auto"/>
                <w:szCs w:val="21"/>
              </w:rPr>
              <w:t>监测点坐标</w:t>
            </w:r>
          </w:p>
        </w:tc>
        <w:tc>
          <w:tcPr>
            <w:tcW w:w="593" w:type="pct"/>
            <w:vMerge w:val="restart"/>
            <w:tcBorders>
              <w:left w:val="single" w:color="auto" w:sz="4" w:space="0"/>
            </w:tcBorders>
            <w:vAlign w:val="center"/>
          </w:tcPr>
          <w:p>
            <w:pPr>
              <w:jc w:val="center"/>
              <w:rPr>
                <w:color w:val="auto"/>
                <w:szCs w:val="21"/>
              </w:rPr>
            </w:pPr>
            <w:r>
              <w:rPr>
                <w:color w:val="auto"/>
                <w:szCs w:val="21"/>
              </w:rPr>
              <w:t>监测因子</w:t>
            </w:r>
          </w:p>
        </w:tc>
        <w:tc>
          <w:tcPr>
            <w:tcW w:w="743" w:type="pct"/>
            <w:vMerge w:val="restart"/>
            <w:tcBorders>
              <w:left w:val="single" w:color="auto" w:sz="4" w:space="0"/>
            </w:tcBorders>
            <w:vAlign w:val="center"/>
          </w:tcPr>
          <w:p>
            <w:pPr>
              <w:jc w:val="center"/>
              <w:rPr>
                <w:color w:val="auto"/>
                <w:szCs w:val="21"/>
              </w:rPr>
            </w:pPr>
            <w:r>
              <w:rPr>
                <w:color w:val="auto"/>
                <w:szCs w:val="21"/>
              </w:rPr>
              <w:t>监测时段</w:t>
            </w:r>
          </w:p>
        </w:tc>
        <w:tc>
          <w:tcPr>
            <w:tcW w:w="817" w:type="pct"/>
            <w:vMerge w:val="restart"/>
            <w:tcBorders>
              <w:left w:val="single" w:color="auto" w:sz="4" w:space="0"/>
            </w:tcBorders>
            <w:vAlign w:val="center"/>
          </w:tcPr>
          <w:p>
            <w:pPr>
              <w:jc w:val="center"/>
              <w:rPr>
                <w:color w:val="auto"/>
                <w:szCs w:val="21"/>
              </w:rPr>
            </w:pPr>
            <w:r>
              <w:rPr>
                <w:color w:val="auto"/>
                <w:szCs w:val="21"/>
              </w:rPr>
              <w:t>相对厂址方位</w:t>
            </w:r>
          </w:p>
        </w:tc>
        <w:tc>
          <w:tcPr>
            <w:tcW w:w="937" w:type="pct"/>
            <w:vMerge w:val="restart"/>
            <w:vAlign w:val="center"/>
          </w:tcPr>
          <w:p>
            <w:pPr>
              <w:jc w:val="center"/>
              <w:rPr>
                <w:color w:val="auto"/>
                <w:szCs w:val="21"/>
              </w:rPr>
            </w:pPr>
            <w:r>
              <w:rPr>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29" w:hRule="atLeast"/>
          <w:jc w:val="center"/>
        </w:trPr>
        <w:tc>
          <w:tcPr>
            <w:tcW w:w="718" w:type="pct"/>
            <w:vMerge w:val="continue"/>
            <w:vAlign w:val="center"/>
          </w:tcPr>
          <w:p>
            <w:pPr>
              <w:ind w:firstLine="420"/>
              <w:jc w:val="center"/>
              <w:rPr>
                <w:color w:val="auto"/>
                <w:szCs w:val="21"/>
              </w:rPr>
            </w:pPr>
          </w:p>
        </w:tc>
        <w:tc>
          <w:tcPr>
            <w:tcW w:w="593" w:type="pct"/>
            <w:tcBorders>
              <w:top w:val="single" w:color="auto" w:sz="4" w:space="0"/>
              <w:right w:val="single" w:color="auto" w:sz="4" w:space="0"/>
            </w:tcBorders>
            <w:vAlign w:val="center"/>
          </w:tcPr>
          <w:p>
            <w:pPr>
              <w:jc w:val="center"/>
              <w:rPr>
                <w:color w:val="auto"/>
                <w:szCs w:val="21"/>
              </w:rPr>
            </w:pPr>
            <w:r>
              <w:rPr>
                <w:rFonts w:hint="eastAsia"/>
                <w:color w:val="auto"/>
                <w:szCs w:val="21"/>
              </w:rPr>
              <w:t>东经（°）</w:t>
            </w:r>
          </w:p>
        </w:tc>
        <w:tc>
          <w:tcPr>
            <w:tcW w:w="596" w:type="pct"/>
            <w:tcBorders>
              <w:top w:val="single" w:color="auto" w:sz="4" w:space="0"/>
              <w:left w:val="single" w:color="auto" w:sz="4" w:space="0"/>
            </w:tcBorders>
            <w:vAlign w:val="center"/>
          </w:tcPr>
          <w:p>
            <w:pPr>
              <w:jc w:val="center"/>
              <w:rPr>
                <w:color w:val="auto"/>
                <w:szCs w:val="21"/>
              </w:rPr>
            </w:pPr>
            <w:r>
              <w:rPr>
                <w:rFonts w:hint="eastAsia"/>
                <w:color w:val="auto"/>
                <w:szCs w:val="21"/>
              </w:rPr>
              <w:t>北纬（°）</w:t>
            </w:r>
          </w:p>
        </w:tc>
        <w:tc>
          <w:tcPr>
            <w:tcW w:w="593" w:type="pct"/>
            <w:vMerge w:val="continue"/>
            <w:tcBorders>
              <w:left w:val="single" w:color="auto" w:sz="4" w:space="0"/>
            </w:tcBorders>
            <w:vAlign w:val="center"/>
          </w:tcPr>
          <w:p>
            <w:pPr>
              <w:ind w:firstLine="420"/>
              <w:jc w:val="center"/>
              <w:rPr>
                <w:color w:val="auto"/>
                <w:szCs w:val="21"/>
              </w:rPr>
            </w:pPr>
          </w:p>
        </w:tc>
        <w:tc>
          <w:tcPr>
            <w:tcW w:w="743" w:type="pct"/>
            <w:vMerge w:val="continue"/>
            <w:tcBorders>
              <w:left w:val="single" w:color="auto" w:sz="4" w:space="0"/>
            </w:tcBorders>
            <w:vAlign w:val="center"/>
          </w:tcPr>
          <w:p>
            <w:pPr>
              <w:ind w:firstLine="420"/>
              <w:jc w:val="center"/>
              <w:rPr>
                <w:color w:val="auto"/>
                <w:szCs w:val="21"/>
              </w:rPr>
            </w:pPr>
          </w:p>
        </w:tc>
        <w:tc>
          <w:tcPr>
            <w:tcW w:w="817" w:type="pct"/>
            <w:vMerge w:val="continue"/>
            <w:tcBorders>
              <w:left w:val="single" w:color="auto" w:sz="4" w:space="0"/>
            </w:tcBorders>
            <w:vAlign w:val="center"/>
          </w:tcPr>
          <w:p>
            <w:pPr>
              <w:ind w:firstLine="420"/>
              <w:jc w:val="center"/>
              <w:rPr>
                <w:color w:val="auto"/>
                <w:szCs w:val="21"/>
              </w:rPr>
            </w:pPr>
          </w:p>
        </w:tc>
        <w:tc>
          <w:tcPr>
            <w:tcW w:w="937" w:type="pct"/>
            <w:vMerge w:val="continue"/>
            <w:vAlign w:val="center"/>
          </w:tcPr>
          <w:p>
            <w:pPr>
              <w:ind w:firstLine="42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806" w:hRule="atLeast"/>
          <w:jc w:val="center"/>
        </w:trPr>
        <w:tc>
          <w:tcPr>
            <w:tcW w:w="718" w:type="pct"/>
            <w:vAlign w:val="center"/>
          </w:tcPr>
          <w:p>
            <w:pPr>
              <w:jc w:val="center"/>
              <w:rPr>
                <w:color w:val="auto"/>
                <w:szCs w:val="21"/>
              </w:rPr>
            </w:pPr>
            <w:r>
              <w:rPr>
                <w:color w:val="auto"/>
                <w:szCs w:val="21"/>
              </w:rPr>
              <w:t>1#厂址</w:t>
            </w:r>
            <w:r>
              <w:rPr>
                <w:rFonts w:hint="eastAsia"/>
                <w:color w:val="auto"/>
                <w:szCs w:val="21"/>
              </w:rPr>
              <w:t>下风向</w:t>
            </w:r>
          </w:p>
        </w:tc>
        <w:tc>
          <w:tcPr>
            <w:tcW w:w="593" w:type="pct"/>
            <w:tcBorders>
              <w:right w:val="single" w:color="auto" w:sz="4" w:space="0"/>
            </w:tcBorders>
            <w:vAlign w:val="center"/>
          </w:tcPr>
          <w:p>
            <w:pPr>
              <w:pStyle w:val="27"/>
              <w:tabs>
                <w:tab w:val="left" w:pos="6480"/>
              </w:tabs>
              <w:jc w:val="center"/>
              <w:rPr>
                <w:color w:val="auto"/>
                <w:sz w:val="21"/>
                <w:szCs w:val="21"/>
              </w:rPr>
            </w:pPr>
            <w:r>
              <w:rPr>
                <w:rFonts w:hint="eastAsia"/>
                <w:color w:val="auto"/>
                <w:sz w:val="21"/>
                <w:szCs w:val="21"/>
              </w:rPr>
              <w:t>128.955783</w:t>
            </w:r>
          </w:p>
        </w:tc>
        <w:tc>
          <w:tcPr>
            <w:tcW w:w="596"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rPr>
              <w:t>47.709180</w:t>
            </w:r>
          </w:p>
        </w:tc>
        <w:tc>
          <w:tcPr>
            <w:tcW w:w="593"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rPr>
              <w:t>TSP、苯并[a]芘</w:t>
            </w:r>
          </w:p>
        </w:tc>
        <w:tc>
          <w:tcPr>
            <w:tcW w:w="743"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highlight w:val="none"/>
                <w:lang w:val="en-US" w:eastAsia="zh-CN"/>
              </w:rPr>
              <w:t>10</w:t>
            </w:r>
            <w:r>
              <w:rPr>
                <w:color w:val="auto"/>
                <w:sz w:val="21"/>
                <w:szCs w:val="21"/>
                <w:highlight w:val="none"/>
              </w:rPr>
              <w:t>月</w:t>
            </w:r>
            <w:r>
              <w:rPr>
                <w:rFonts w:hint="eastAsia"/>
                <w:color w:val="auto"/>
                <w:sz w:val="21"/>
                <w:szCs w:val="21"/>
                <w:highlight w:val="none"/>
              </w:rPr>
              <w:t>1</w:t>
            </w:r>
            <w:r>
              <w:rPr>
                <w:rFonts w:hint="eastAsia"/>
                <w:color w:val="auto"/>
                <w:sz w:val="21"/>
                <w:szCs w:val="21"/>
                <w:highlight w:val="none"/>
                <w:lang w:val="en-US" w:eastAsia="zh-CN"/>
              </w:rPr>
              <w:t>5</w:t>
            </w:r>
            <w:r>
              <w:rPr>
                <w:color w:val="auto"/>
                <w:sz w:val="21"/>
                <w:szCs w:val="21"/>
                <w:highlight w:val="none"/>
              </w:rPr>
              <w:t>日至</w:t>
            </w:r>
            <w:r>
              <w:rPr>
                <w:rFonts w:hint="eastAsia"/>
                <w:color w:val="auto"/>
                <w:sz w:val="21"/>
                <w:szCs w:val="21"/>
                <w:highlight w:val="none"/>
              </w:rPr>
              <w:t>1</w:t>
            </w:r>
            <w:r>
              <w:rPr>
                <w:rFonts w:hint="eastAsia"/>
                <w:color w:val="auto"/>
                <w:sz w:val="21"/>
                <w:szCs w:val="21"/>
                <w:highlight w:val="none"/>
                <w:lang w:val="en-US" w:eastAsia="zh-CN"/>
              </w:rPr>
              <w:t>0</w:t>
            </w:r>
            <w:r>
              <w:rPr>
                <w:color w:val="auto"/>
                <w:sz w:val="21"/>
                <w:szCs w:val="21"/>
                <w:highlight w:val="none"/>
              </w:rPr>
              <w:t>月</w:t>
            </w:r>
            <w:r>
              <w:rPr>
                <w:rFonts w:hint="eastAsia"/>
                <w:color w:val="auto"/>
                <w:sz w:val="21"/>
                <w:szCs w:val="21"/>
                <w:highlight w:val="none"/>
                <w:lang w:val="en-US" w:eastAsia="zh-CN"/>
              </w:rPr>
              <w:t>22</w:t>
            </w:r>
            <w:r>
              <w:rPr>
                <w:color w:val="auto"/>
                <w:sz w:val="21"/>
                <w:szCs w:val="21"/>
                <w:highlight w:val="none"/>
              </w:rPr>
              <w:t>日</w:t>
            </w:r>
          </w:p>
        </w:tc>
        <w:tc>
          <w:tcPr>
            <w:tcW w:w="817" w:type="pct"/>
            <w:tcBorders>
              <w:left w:val="single" w:color="auto" w:sz="4" w:space="0"/>
            </w:tcBorders>
            <w:vAlign w:val="center"/>
          </w:tcPr>
          <w:p>
            <w:pPr>
              <w:pStyle w:val="27"/>
              <w:tabs>
                <w:tab w:val="left" w:pos="6480"/>
              </w:tabs>
              <w:jc w:val="center"/>
              <w:rPr>
                <w:color w:val="auto"/>
                <w:sz w:val="21"/>
                <w:szCs w:val="21"/>
              </w:rPr>
            </w:pPr>
            <w:r>
              <w:rPr>
                <w:rFonts w:hint="eastAsia"/>
                <w:color w:val="auto"/>
                <w:sz w:val="21"/>
                <w:szCs w:val="21"/>
              </w:rPr>
              <w:t>东</w:t>
            </w:r>
            <w:r>
              <w:rPr>
                <w:rFonts w:hint="eastAsia"/>
                <w:color w:val="auto"/>
                <w:sz w:val="21"/>
                <w:szCs w:val="21"/>
                <w:lang w:val="en-US" w:eastAsia="zh-CN"/>
              </w:rPr>
              <w:t>北</w:t>
            </w:r>
            <w:r>
              <w:rPr>
                <w:rFonts w:hint="eastAsia"/>
                <w:color w:val="auto"/>
                <w:sz w:val="21"/>
                <w:szCs w:val="21"/>
              </w:rPr>
              <w:t>侧</w:t>
            </w:r>
          </w:p>
        </w:tc>
        <w:tc>
          <w:tcPr>
            <w:tcW w:w="937" w:type="pct"/>
            <w:vAlign w:val="center"/>
          </w:tcPr>
          <w:p>
            <w:pPr>
              <w:jc w:val="center"/>
              <w:rPr>
                <w:color w:val="auto"/>
                <w:szCs w:val="21"/>
              </w:rPr>
            </w:pPr>
            <w:r>
              <w:rPr>
                <w:rFonts w:hint="eastAsia"/>
                <w:color w:val="auto"/>
                <w:szCs w:val="21"/>
                <w:lang w:val="en-US" w:eastAsia="zh-CN"/>
              </w:rPr>
              <w:t>3</w:t>
            </w:r>
            <w:r>
              <w:rPr>
                <w:rFonts w:hint="eastAsia"/>
                <w:color w:val="auto"/>
                <w:szCs w:val="21"/>
              </w:rPr>
              <w:t>00</w:t>
            </w:r>
          </w:p>
        </w:tc>
      </w:tr>
    </w:tbl>
    <w:p>
      <w:pPr>
        <w:pStyle w:val="137"/>
        <w:spacing w:line="240" w:lineRule="auto"/>
        <w:rPr>
          <w:rFonts w:eastAsia="宋体"/>
          <w:b/>
          <w:color w:val="auto"/>
          <w:szCs w:val="24"/>
        </w:rPr>
      </w:pPr>
    </w:p>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228" w:name="_Toc10871"/>
      <w:bookmarkStart w:id="229" w:name="_Toc6157"/>
      <w:bookmarkStart w:id="230" w:name="_Toc24902"/>
      <w:bookmarkStart w:id="231" w:name="_Toc16558"/>
      <w:r>
        <w:rPr>
          <w:rFonts w:ascii="Times New Roman" w:hAnsi="Times New Roman" w:cs="Times New Roman"/>
          <w:snapToGrid w:val="0"/>
          <w:color w:val="auto"/>
          <w:spacing w:val="0"/>
          <w:kern w:val="0"/>
          <w:sz w:val="24"/>
          <w:szCs w:val="24"/>
          <w:highlight w:val="none"/>
        </w:rPr>
        <w:t>4.2.3监测分析方法及仪器</w:t>
      </w:r>
      <w:bookmarkEnd w:id="228"/>
      <w:bookmarkEnd w:id="229"/>
      <w:bookmarkEnd w:id="230"/>
      <w:bookmarkEnd w:id="231"/>
    </w:p>
    <w:p>
      <w:pPr>
        <w:pStyle w:val="135"/>
        <w:tabs>
          <w:tab w:val="clear" w:pos="5400"/>
        </w:tabs>
        <w:bidi w:val="0"/>
        <w:rPr>
          <w:color w:val="auto"/>
          <w:highlight w:val="none"/>
          <w:lang w:val="zh-CN"/>
        </w:rPr>
      </w:pPr>
      <w:bookmarkStart w:id="232" w:name="_Hlk71806944"/>
      <w:r>
        <w:rPr>
          <w:color w:val="auto"/>
          <w:highlight w:val="none"/>
          <w:lang w:val="zh-CN"/>
        </w:rPr>
        <w:t>表4-</w:t>
      </w:r>
      <w:r>
        <w:rPr>
          <w:rFonts w:hint="eastAsia"/>
          <w:color w:val="auto"/>
          <w:highlight w:val="none"/>
          <w:lang w:val="en-US" w:eastAsia="zh-CN"/>
        </w:rPr>
        <w:t>2</w:t>
      </w:r>
      <w:r>
        <w:rPr>
          <w:color w:val="auto"/>
          <w:highlight w:val="none"/>
          <w:lang w:val="zh-CN"/>
        </w:rPr>
        <w:t>监测分析方法及仪器</w:t>
      </w:r>
    </w:p>
    <w:bookmarkEnd w:id="232"/>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258"/>
        <w:gridCol w:w="2476"/>
        <w:gridCol w:w="1492"/>
        <w:gridCol w:w="1316"/>
        <w:gridCol w:w="13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22" w:type="dxa"/>
            <w:vMerge w:val="restart"/>
            <w:tcBorders>
              <w:tl2br w:val="nil"/>
              <w:tr2bl w:val="nil"/>
            </w:tcBorders>
            <w:vAlign w:val="center"/>
          </w:tcPr>
          <w:p>
            <w:pPr>
              <w:pStyle w:val="195"/>
              <w:bidi w:val="0"/>
              <w:rPr>
                <w:color w:val="auto"/>
              </w:rPr>
            </w:pPr>
            <w:r>
              <w:rPr>
                <w:color w:val="auto"/>
              </w:rPr>
              <w:t>类别</w:t>
            </w:r>
          </w:p>
        </w:tc>
        <w:tc>
          <w:tcPr>
            <w:tcW w:w="1258" w:type="dxa"/>
            <w:vMerge w:val="restart"/>
            <w:tcBorders>
              <w:tl2br w:val="nil"/>
              <w:tr2bl w:val="nil"/>
            </w:tcBorders>
            <w:vAlign w:val="center"/>
          </w:tcPr>
          <w:p>
            <w:pPr>
              <w:pStyle w:val="195"/>
              <w:bidi w:val="0"/>
              <w:rPr>
                <w:color w:val="auto"/>
              </w:rPr>
            </w:pPr>
            <w:r>
              <w:rPr>
                <w:color w:val="auto"/>
              </w:rPr>
              <w:t>检测项目</w:t>
            </w:r>
          </w:p>
        </w:tc>
        <w:tc>
          <w:tcPr>
            <w:tcW w:w="2476" w:type="dxa"/>
            <w:vMerge w:val="restart"/>
            <w:tcBorders>
              <w:tl2br w:val="nil"/>
              <w:tr2bl w:val="nil"/>
            </w:tcBorders>
            <w:vAlign w:val="center"/>
          </w:tcPr>
          <w:p>
            <w:pPr>
              <w:pStyle w:val="195"/>
              <w:bidi w:val="0"/>
              <w:rPr>
                <w:color w:val="auto"/>
              </w:rPr>
            </w:pPr>
            <w:r>
              <w:rPr>
                <w:color w:val="auto"/>
              </w:rPr>
              <w:t>检测方法及依据</w:t>
            </w:r>
          </w:p>
        </w:tc>
        <w:tc>
          <w:tcPr>
            <w:tcW w:w="4166" w:type="dxa"/>
            <w:gridSpan w:val="3"/>
            <w:tcBorders>
              <w:tl2br w:val="nil"/>
              <w:tr2bl w:val="nil"/>
            </w:tcBorders>
            <w:vAlign w:val="center"/>
          </w:tcPr>
          <w:p>
            <w:pPr>
              <w:pStyle w:val="195"/>
              <w:bidi w:val="0"/>
              <w:rPr>
                <w:color w:val="auto"/>
              </w:rPr>
            </w:pPr>
            <w:r>
              <w:rPr>
                <w:rFonts w:hint="eastAsia"/>
                <w:color w:val="auto"/>
              </w:rPr>
              <w:t>分析仪器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22" w:type="dxa"/>
            <w:vMerge w:val="continue"/>
            <w:tcBorders>
              <w:tl2br w:val="nil"/>
              <w:tr2bl w:val="nil"/>
            </w:tcBorders>
            <w:vAlign w:val="center"/>
          </w:tcPr>
          <w:p>
            <w:pPr>
              <w:pStyle w:val="195"/>
              <w:bidi w:val="0"/>
              <w:rPr>
                <w:color w:val="auto"/>
              </w:rPr>
            </w:pPr>
          </w:p>
        </w:tc>
        <w:tc>
          <w:tcPr>
            <w:tcW w:w="1258" w:type="dxa"/>
            <w:vMerge w:val="continue"/>
            <w:tcBorders>
              <w:tl2br w:val="nil"/>
              <w:tr2bl w:val="nil"/>
            </w:tcBorders>
            <w:vAlign w:val="center"/>
          </w:tcPr>
          <w:p>
            <w:pPr>
              <w:pStyle w:val="195"/>
              <w:bidi w:val="0"/>
              <w:rPr>
                <w:color w:val="auto"/>
              </w:rPr>
            </w:pPr>
          </w:p>
        </w:tc>
        <w:tc>
          <w:tcPr>
            <w:tcW w:w="2476" w:type="dxa"/>
            <w:vMerge w:val="continue"/>
            <w:tcBorders>
              <w:tl2br w:val="nil"/>
              <w:tr2bl w:val="nil"/>
            </w:tcBorders>
            <w:vAlign w:val="center"/>
          </w:tcPr>
          <w:p>
            <w:pPr>
              <w:pStyle w:val="195"/>
              <w:bidi w:val="0"/>
              <w:rPr>
                <w:color w:val="auto"/>
              </w:rPr>
            </w:pPr>
          </w:p>
        </w:tc>
        <w:tc>
          <w:tcPr>
            <w:tcW w:w="1492" w:type="dxa"/>
            <w:tcBorders>
              <w:tl2br w:val="nil"/>
              <w:tr2bl w:val="nil"/>
            </w:tcBorders>
            <w:vAlign w:val="center"/>
          </w:tcPr>
          <w:p>
            <w:pPr>
              <w:pStyle w:val="195"/>
              <w:bidi w:val="0"/>
              <w:rPr>
                <w:color w:val="auto"/>
              </w:rPr>
            </w:pPr>
            <w:r>
              <w:rPr>
                <w:color w:val="auto"/>
              </w:rPr>
              <w:t>名称</w:t>
            </w:r>
          </w:p>
        </w:tc>
        <w:tc>
          <w:tcPr>
            <w:tcW w:w="1316" w:type="dxa"/>
            <w:tcBorders>
              <w:tl2br w:val="nil"/>
              <w:tr2bl w:val="nil"/>
            </w:tcBorders>
            <w:vAlign w:val="center"/>
          </w:tcPr>
          <w:p>
            <w:pPr>
              <w:pStyle w:val="195"/>
              <w:bidi w:val="0"/>
              <w:rPr>
                <w:color w:val="auto"/>
              </w:rPr>
            </w:pPr>
            <w:r>
              <w:rPr>
                <w:color w:val="auto"/>
              </w:rPr>
              <w:t>型号</w:t>
            </w:r>
          </w:p>
        </w:tc>
        <w:tc>
          <w:tcPr>
            <w:tcW w:w="1358" w:type="dxa"/>
            <w:tcBorders>
              <w:tl2br w:val="nil"/>
              <w:tr2bl w:val="nil"/>
            </w:tcBorders>
            <w:vAlign w:val="center"/>
          </w:tcPr>
          <w:p>
            <w:pPr>
              <w:pStyle w:val="195"/>
              <w:bidi w:val="0"/>
              <w:rPr>
                <w:color w:val="auto"/>
              </w:rPr>
            </w:pPr>
            <w:r>
              <w:rPr>
                <w:color w:val="auto"/>
              </w:rPr>
              <w:t>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restart"/>
            <w:tcBorders>
              <w:tl2br w:val="nil"/>
              <w:tr2bl w:val="nil"/>
            </w:tcBorders>
            <w:vAlign w:val="center"/>
          </w:tcPr>
          <w:p>
            <w:pPr>
              <w:pStyle w:val="195"/>
              <w:bidi w:val="0"/>
              <w:rPr>
                <w:color w:val="auto"/>
              </w:rPr>
            </w:pPr>
            <w:r>
              <w:rPr>
                <w:rFonts w:hint="eastAsia"/>
                <w:color w:val="auto"/>
              </w:rPr>
              <w:t>环境空气</w:t>
            </w:r>
          </w:p>
        </w:tc>
        <w:tc>
          <w:tcPr>
            <w:tcW w:w="1258" w:type="dxa"/>
            <w:vMerge w:val="restart"/>
            <w:tcBorders>
              <w:tl2br w:val="nil"/>
              <w:tr2bl w:val="nil"/>
            </w:tcBorders>
            <w:vAlign w:val="center"/>
          </w:tcPr>
          <w:p>
            <w:pPr>
              <w:pStyle w:val="195"/>
              <w:bidi w:val="0"/>
              <w:rPr>
                <w:color w:val="auto"/>
              </w:rPr>
            </w:pPr>
            <w:r>
              <w:rPr>
                <w:color w:val="auto"/>
              </w:rPr>
              <w:t>总悬浮颗粒物</w:t>
            </w:r>
          </w:p>
        </w:tc>
        <w:tc>
          <w:tcPr>
            <w:tcW w:w="2476" w:type="dxa"/>
            <w:vMerge w:val="restart"/>
            <w:tcBorders>
              <w:tl2br w:val="nil"/>
              <w:tr2bl w:val="nil"/>
            </w:tcBorders>
            <w:vAlign w:val="center"/>
          </w:tcPr>
          <w:p>
            <w:pPr>
              <w:pStyle w:val="195"/>
              <w:bidi w:val="0"/>
              <w:rPr>
                <w:color w:val="auto"/>
              </w:rPr>
            </w:pPr>
            <w:r>
              <w:rPr>
                <w:color w:val="auto"/>
              </w:rPr>
              <w:t>环境空气 总悬浮颗粒物的测定 重量法 HJ 1263-2022</w:t>
            </w:r>
          </w:p>
        </w:tc>
        <w:tc>
          <w:tcPr>
            <w:tcW w:w="1492" w:type="dxa"/>
            <w:vMerge w:val="restart"/>
            <w:tcBorders>
              <w:tl2br w:val="nil"/>
              <w:tr2bl w:val="nil"/>
            </w:tcBorders>
            <w:vAlign w:val="center"/>
          </w:tcPr>
          <w:p>
            <w:pPr>
              <w:pStyle w:val="195"/>
              <w:bidi w:val="0"/>
              <w:rPr>
                <w:color w:val="auto"/>
              </w:rPr>
            </w:pPr>
            <w:r>
              <w:rPr>
                <w:color w:val="auto"/>
              </w:rPr>
              <w:t>环境空气颗粒物综合采样器</w:t>
            </w:r>
          </w:p>
        </w:tc>
        <w:tc>
          <w:tcPr>
            <w:tcW w:w="1316" w:type="dxa"/>
            <w:vMerge w:val="restart"/>
            <w:tcBorders>
              <w:tl2br w:val="nil"/>
              <w:tr2bl w:val="nil"/>
            </w:tcBorders>
            <w:vAlign w:val="center"/>
          </w:tcPr>
          <w:p>
            <w:pPr>
              <w:pStyle w:val="195"/>
              <w:bidi w:val="0"/>
              <w:rPr>
                <w:color w:val="auto"/>
              </w:rPr>
            </w:pPr>
            <w:r>
              <w:rPr>
                <w:color w:val="auto"/>
              </w:rPr>
              <w:t>ZR-3922</w:t>
            </w:r>
            <w:r>
              <w:rPr>
                <w:rFonts w:hint="eastAsia"/>
                <w:color w:val="auto"/>
              </w:rPr>
              <w:t>型</w:t>
            </w:r>
          </w:p>
        </w:tc>
        <w:tc>
          <w:tcPr>
            <w:tcW w:w="1358" w:type="dxa"/>
            <w:tcBorders>
              <w:tl2br w:val="nil"/>
              <w:tr2bl w:val="nil"/>
            </w:tcBorders>
            <w:vAlign w:val="center"/>
          </w:tcPr>
          <w:p>
            <w:pPr>
              <w:pStyle w:val="195"/>
              <w:bidi w:val="0"/>
              <w:rPr>
                <w:color w:val="auto"/>
              </w:rPr>
            </w:pPr>
            <w:r>
              <w:rPr>
                <w:color w:val="auto"/>
              </w:rPr>
              <w:t>HCYQ-038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continue"/>
            <w:tcBorders>
              <w:tl2br w:val="nil"/>
              <w:tr2bl w:val="nil"/>
            </w:tcBorders>
            <w:vAlign w:val="center"/>
          </w:tcPr>
          <w:p>
            <w:pPr>
              <w:pStyle w:val="195"/>
              <w:bidi w:val="0"/>
              <w:rPr>
                <w:color w:val="auto"/>
              </w:rPr>
            </w:pPr>
          </w:p>
        </w:tc>
        <w:tc>
          <w:tcPr>
            <w:tcW w:w="1258" w:type="dxa"/>
            <w:vMerge w:val="continue"/>
            <w:tcBorders>
              <w:tl2br w:val="nil"/>
              <w:tr2bl w:val="nil"/>
            </w:tcBorders>
            <w:vAlign w:val="center"/>
          </w:tcPr>
          <w:p>
            <w:pPr>
              <w:pStyle w:val="195"/>
              <w:bidi w:val="0"/>
              <w:rPr>
                <w:color w:val="auto"/>
              </w:rPr>
            </w:pPr>
          </w:p>
        </w:tc>
        <w:tc>
          <w:tcPr>
            <w:tcW w:w="2476" w:type="dxa"/>
            <w:vMerge w:val="continue"/>
            <w:tcBorders>
              <w:tl2br w:val="nil"/>
              <w:tr2bl w:val="nil"/>
            </w:tcBorders>
            <w:vAlign w:val="center"/>
          </w:tcPr>
          <w:p>
            <w:pPr>
              <w:pStyle w:val="195"/>
              <w:bidi w:val="0"/>
              <w:rPr>
                <w:color w:val="auto"/>
              </w:rPr>
            </w:pPr>
          </w:p>
        </w:tc>
        <w:tc>
          <w:tcPr>
            <w:tcW w:w="1492" w:type="dxa"/>
            <w:vMerge w:val="continue"/>
            <w:tcBorders>
              <w:tl2br w:val="nil"/>
              <w:tr2bl w:val="nil"/>
            </w:tcBorders>
            <w:vAlign w:val="center"/>
          </w:tcPr>
          <w:p>
            <w:pPr>
              <w:pStyle w:val="195"/>
              <w:bidi w:val="0"/>
              <w:rPr>
                <w:color w:val="auto"/>
              </w:rPr>
            </w:pPr>
          </w:p>
        </w:tc>
        <w:tc>
          <w:tcPr>
            <w:tcW w:w="1316" w:type="dxa"/>
            <w:vMerge w:val="continue"/>
            <w:tcBorders>
              <w:tl2br w:val="nil"/>
              <w:tr2bl w:val="nil"/>
            </w:tcBorders>
            <w:vAlign w:val="center"/>
          </w:tcPr>
          <w:p>
            <w:pPr>
              <w:pStyle w:val="195"/>
              <w:bidi w:val="0"/>
              <w:rPr>
                <w:color w:val="auto"/>
              </w:rPr>
            </w:pPr>
          </w:p>
        </w:tc>
        <w:tc>
          <w:tcPr>
            <w:tcW w:w="1358" w:type="dxa"/>
            <w:tcBorders>
              <w:tl2br w:val="nil"/>
              <w:tr2bl w:val="nil"/>
            </w:tcBorders>
            <w:vAlign w:val="center"/>
          </w:tcPr>
          <w:p>
            <w:pPr>
              <w:pStyle w:val="195"/>
              <w:bidi w:val="0"/>
              <w:rPr>
                <w:color w:val="auto"/>
              </w:rPr>
            </w:pPr>
            <w:r>
              <w:rPr>
                <w:color w:val="auto"/>
              </w:rPr>
              <w:t>HCYQ-039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continue"/>
            <w:tcBorders>
              <w:tl2br w:val="nil"/>
              <w:tr2bl w:val="nil"/>
            </w:tcBorders>
            <w:vAlign w:val="center"/>
          </w:tcPr>
          <w:p>
            <w:pPr>
              <w:pStyle w:val="195"/>
              <w:bidi w:val="0"/>
              <w:rPr>
                <w:color w:val="auto"/>
              </w:rPr>
            </w:pPr>
          </w:p>
        </w:tc>
        <w:tc>
          <w:tcPr>
            <w:tcW w:w="1258" w:type="dxa"/>
            <w:vMerge w:val="continue"/>
            <w:tcBorders>
              <w:tl2br w:val="nil"/>
              <w:tr2bl w:val="nil"/>
            </w:tcBorders>
            <w:vAlign w:val="center"/>
          </w:tcPr>
          <w:p>
            <w:pPr>
              <w:pStyle w:val="195"/>
              <w:bidi w:val="0"/>
              <w:rPr>
                <w:color w:val="auto"/>
              </w:rPr>
            </w:pPr>
          </w:p>
        </w:tc>
        <w:tc>
          <w:tcPr>
            <w:tcW w:w="2476" w:type="dxa"/>
            <w:vMerge w:val="continue"/>
            <w:tcBorders>
              <w:tl2br w:val="nil"/>
              <w:tr2bl w:val="nil"/>
            </w:tcBorders>
            <w:vAlign w:val="center"/>
          </w:tcPr>
          <w:p>
            <w:pPr>
              <w:pStyle w:val="195"/>
              <w:bidi w:val="0"/>
              <w:rPr>
                <w:color w:val="auto"/>
              </w:rPr>
            </w:pPr>
          </w:p>
        </w:tc>
        <w:tc>
          <w:tcPr>
            <w:tcW w:w="1492" w:type="dxa"/>
            <w:tcBorders>
              <w:tl2br w:val="nil"/>
              <w:tr2bl w:val="nil"/>
            </w:tcBorders>
            <w:vAlign w:val="center"/>
          </w:tcPr>
          <w:p>
            <w:pPr>
              <w:pStyle w:val="195"/>
              <w:bidi w:val="0"/>
              <w:rPr>
                <w:color w:val="auto"/>
              </w:rPr>
            </w:pPr>
            <w:r>
              <w:rPr>
                <w:color w:val="auto"/>
              </w:rPr>
              <w:t>电子天平</w:t>
            </w:r>
          </w:p>
        </w:tc>
        <w:tc>
          <w:tcPr>
            <w:tcW w:w="1316" w:type="dxa"/>
            <w:tcBorders>
              <w:tl2br w:val="nil"/>
              <w:tr2bl w:val="nil"/>
            </w:tcBorders>
            <w:vAlign w:val="center"/>
          </w:tcPr>
          <w:p>
            <w:pPr>
              <w:pStyle w:val="195"/>
              <w:bidi w:val="0"/>
              <w:rPr>
                <w:color w:val="auto"/>
              </w:rPr>
            </w:pPr>
            <w:r>
              <w:rPr>
                <w:color w:val="auto"/>
              </w:rPr>
              <w:t xml:space="preserve"> AG285</w:t>
            </w:r>
          </w:p>
        </w:tc>
        <w:tc>
          <w:tcPr>
            <w:tcW w:w="1358" w:type="dxa"/>
            <w:tcBorders>
              <w:tl2br w:val="nil"/>
              <w:tr2bl w:val="nil"/>
            </w:tcBorders>
            <w:vAlign w:val="center"/>
          </w:tcPr>
          <w:p>
            <w:pPr>
              <w:pStyle w:val="195"/>
              <w:bidi w:val="0"/>
              <w:rPr>
                <w:color w:val="auto"/>
              </w:rPr>
            </w:pPr>
            <w:r>
              <w:rPr>
                <w:color w:val="auto"/>
              </w:rPr>
              <w:t>HCYQ-009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continue"/>
            <w:tcBorders>
              <w:tl2br w:val="nil"/>
              <w:tr2bl w:val="nil"/>
            </w:tcBorders>
            <w:vAlign w:val="center"/>
          </w:tcPr>
          <w:p>
            <w:pPr>
              <w:pStyle w:val="195"/>
              <w:bidi w:val="0"/>
              <w:rPr>
                <w:color w:val="auto"/>
              </w:rPr>
            </w:pPr>
          </w:p>
        </w:tc>
        <w:tc>
          <w:tcPr>
            <w:tcW w:w="1258" w:type="dxa"/>
            <w:vMerge w:val="continue"/>
            <w:tcBorders>
              <w:tl2br w:val="nil"/>
              <w:tr2bl w:val="nil"/>
            </w:tcBorders>
            <w:vAlign w:val="center"/>
          </w:tcPr>
          <w:p>
            <w:pPr>
              <w:pStyle w:val="195"/>
              <w:bidi w:val="0"/>
              <w:rPr>
                <w:color w:val="auto"/>
              </w:rPr>
            </w:pPr>
          </w:p>
        </w:tc>
        <w:tc>
          <w:tcPr>
            <w:tcW w:w="2476" w:type="dxa"/>
            <w:vMerge w:val="continue"/>
            <w:tcBorders>
              <w:tl2br w:val="nil"/>
              <w:tr2bl w:val="nil"/>
            </w:tcBorders>
            <w:vAlign w:val="center"/>
          </w:tcPr>
          <w:p>
            <w:pPr>
              <w:pStyle w:val="195"/>
              <w:bidi w:val="0"/>
              <w:rPr>
                <w:color w:val="auto"/>
              </w:rPr>
            </w:pPr>
          </w:p>
        </w:tc>
        <w:tc>
          <w:tcPr>
            <w:tcW w:w="1492" w:type="dxa"/>
            <w:tcBorders>
              <w:tl2br w:val="nil"/>
              <w:tr2bl w:val="nil"/>
            </w:tcBorders>
            <w:vAlign w:val="center"/>
          </w:tcPr>
          <w:p>
            <w:pPr>
              <w:pStyle w:val="195"/>
              <w:bidi w:val="0"/>
              <w:rPr>
                <w:color w:val="auto"/>
              </w:rPr>
            </w:pPr>
            <w:r>
              <w:rPr>
                <w:color w:val="auto"/>
              </w:rPr>
              <w:t>恒温恒湿称量系统</w:t>
            </w:r>
          </w:p>
        </w:tc>
        <w:tc>
          <w:tcPr>
            <w:tcW w:w="1316" w:type="dxa"/>
            <w:tcBorders>
              <w:tl2br w:val="nil"/>
              <w:tr2bl w:val="nil"/>
            </w:tcBorders>
            <w:vAlign w:val="center"/>
          </w:tcPr>
          <w:p>
            <w:pPr>
              <w:pStyle w:val="195"/>
              <w:bidi w:val="0"/>
              <w:rPr>
                <w:color w:val="auto"/>
              </w:rPr>
            </w:pPr>
            <w:r>
              <w:rPr>
                <w:color w:val="auto"/>
              </w:rPr>
              <w:t>LH-AWS9-S</w:t>
            </w:r>
          </w:p>
        </w:tc>
        <w:tc>
          <w:tcPr>
            <w:tcW w:w="1358" w:type="dxa"/>
            <w:tcBorders>
              <w:tl2br w:val="nil"/>
              <w:tr2bl w:val="nil"/>
            </w:tcBorders>
            <w:vAlign w:val="center"/>
          </w:tcPr>
          <w:p>
            <w:pPr>
              <w:pStyle w:val="195"/>
              <w:bidi w:val="0"/>
              <w:rPr>
                <w:color w:val="auto"/>
              </w:rPr>
            </w:pPr>
            <w:r>
              <w:rPr>
                <w:color w:val="auto"/>
              </w:rPr>
              <w:t>HCYQ-031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continue"/>
            <w:tcBorders>
              <w:tl2br w:val="nil"/>
              <w:tr2bl w:val="nil"/>
            </w:tcBorders>
            <w:vAlign w:val="center"/>
          </w:tcPr>
          <w:p>
            <w:pPr>
              <w:pStyle w:val="195"/>
              <w:bidi w:val="0"/>
              <w:rPr>
                <w:color w:val="auto"/>
              </w:rPr>
            </w:pPr>
          </w:p>
        </w:tc>
        <w:tc>
          <w:tcPr>
            <w:tcW w:w="1258" w:type="dxa"/>
            <w:vMerge w:val="restart"/>
            <w:tcBorders>
              <w:tl2br w:val="nil"/>
              <w:tr2bl w:val="nil"/>
            </w:tcBorders>
            <w:vAlign w:val="center"/>
          </w:tcPr>
          <w:p>
            <w:pPr>
              <w:pStyle w:val="195"/>
              <w:bidi w:val="0"/>
              <w:rPr>
                <w:color w:val="auto"/>
              </w:rPr>
            </w:pPr>
            <w:r>
              <w:rPr>
                <w:color w:val="auto"/>
              </w:rPr>
              <w:t>苯并[</w:t>
            </w:r>
            <w:r>
              <w:rPr>
                <w:rFonts w:hint="eastAsia"/>
                <w:color w:val="auto"/>
              </w:rPr>
              <w:t>a</w:t>
            </w:r>
            <w:r>
              <w:rPr>
                <w:color w:val="auto"/>
              </w:rPr>
              <w:t>]芘</w:t>
            </w:r>
          </w:p>
        </w:tc>
        <w:tc>
          <w:tcPr>
            <w:tcW w:w="2476" w:type="dxa"/>
            <w:vMerge w:val="restart"/>
            <w:tcBorders>
              <w:tl2br w:val="nil"/>
              <w:tr2bl w:val="nil"/>
            </w:tcBorders>
            <w:vAlign w:val="center"/>
          </w:tcPr>
          <w:p>
            <w:pPr>
              <w:pStyle w:val="195"/>
              <w:bidi w:val="0"/>
              <w:rPr>
                <w:color w:val="auto"/>
              </w:rPr>
            </w:pPr>
            <w:r>
              <w:rPr>
                <w:rFonts w:hint="eastAsia"/>
                <w:color w:val="auto"/>
              </w:rPr>
              <w:t xml:space="preserve">环境空气和废气 气相和颗粒物中多环芳烃的测定 高效液相色谱法 </w:t>
            </w:r>
          </w:p>
          <w:p>
            <w:pPr>
              <w:pStyle w:val="195"/>
              <w:bidi w:val="0"/>
              <w:rPr>
                <w:color w:val="auto"/>
              </w:rPr>
            </w:pPr>
            <w:r>
              <w:rPr>
                <w:color w:val="auto"/>
              </w:rPr>
              <w:t>HJ 647-2013</w:t>
            </w:r>
          </w:p>
        </w:tc>
        <w:tc>
          <w:tcPr>
            <w:tcW w:w="1492" w:type="dxa"/>
            <w:vMerge w:val="restart"/>
            <w:tcBorders>
              <w:tl2br w:val="nil"/>
              <w:tr2bl w:val="nil"/>
            </w:tcBorders>
            <w:vAlign w:val="center"/>
          </w:tcPr>
          <w:p>
            <w:pPr>
              <w:pStyle w:val="195"/>
              <w:bidi w:val="0"/>
              <w:rPr>
                <w:color w:val="auto"/>
              </w:rPr>
            </w:pPr>
            <w:r>
              <w:rPr>
                <w:rFonts w:hint="eastAsia"/>
                <w:color w:val="auto"/>
              </w:rPr>
              <w:t>环境空气颗粒物综合采样器</w:t>
            </w:r>
          </w:p>
        </w:tc>
        <w:tc>
          <w:tcPr>
            <w:tcW w:w="1316" w:type="dxa"/>
            <w:vMerge w:val="restart"/>
            <w:tcBorders>
              <w:tl2br w:val="nil"/>
              <w:tr2bl w:val="nil"/>
            </w:tcBorders>
            <w:vAlign w:val="center"/>
          </w:tcPr>
          <w:p>
            <w:pPr>
              <w:pStyle w:val="195"/>
              <w:bidi w:val="0"/>
              <w:rPr>
                <w:color w:val="auto"/>
              </w:rPr>
            </w:pPr>
            <w:r>
              <w:rPr>
                <w:color w:val="auto"/>
              </w:rPr>
              <w:t>ZR-3922</w:t>
            </w:r>
            <w:r>
              <w:rPr>
                <w:rFonts w:hint="eastAsia"/>
                <w:color w:val="auto"/>
              </w:rPr>
              <w:t>型</w:t>
            </w:r>
          </w:p>
        </w:tc>
        <w:tc>
          <w:tcPr>
            <w:tcW w:w="1358" w:type="dxa"/>
            <w:tcBorders>
              <w:tl2br w:val="nil"/>
              <w:tr2bl w:val="nil"/>
            </w:tcBorders>
            <w:vAlign w:val="center"/>
          </w:tcPr>
          <w:p>
            <w:pPr>
              <w:pStyle w:val="195"/>
              <w:bidi w:val="0"/>
              <w:rPr>
                <w:color w:val="auto"/>
              </w:rPr>
            </w:pPr>
            <w:r>
              <w:rPr>
                <w:color w:val="auto"/>
              </w:rPr>
              <w:t>HCYQ-038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continue"/>
            <w:tcBorders>
              <w:tl2br w:val="nil"/>
              <w:tr2bl w:val="nil"/>
            </w:tcBorders>
            <w:vAlign w:val="center"/>
          </w:tcPr>
          <w:p>
            <w:pPr>
              <w:pStyle w:val="195"/>
              <w:bidi w:val="0"/>
              <w:rPr>
                <w:color w:val="auto"/>
              </w:rPr>
            </w:pPr>
          </w:p>
        </w:tc>
        <w:tc>
          <w:tcPr>
            <w:tcW w:w="1258" w:type="dxa"/>
            <w:vMerge w:val="continue"/>
            <w:tcBorders>
              <w:tl2br w:val="nil"/>
              <w:tr2bl w:val="nil"/>
            </w:tcBorders>
            <w:vAlign w:val="center"/>
          </w:tcPr>
          <w:p>
            <w:pPr>
              <w:pStyle w:val="195"/>
              <w:bidi w:val="0"/>
              <w:rPr>
                <w:color w:val="auto"/>
              </w:rPr>
            </w:pPr>
          </w:p>
        </w:tc>
        <w:tc>
          <w:tcPr>
            <w:tcW w:w="2476" w:type="dxa"/>
            <w:vMerge w:val="continue"/>
            <w:tcBorders>
              <w:tl2br w:val="nil"/>
              <w:tr2bl w:val="nil"/>
            </w:tcBorders>
            <w:vAlign w:val="center"/>
          </w:tcPr>
          <w:p>
            <w:pPr>
              <w:pStyle w:val="195"/>
              <w:bidi w:val="0"/>
              <w:rPr>
                <w:color w:val="auto"/>
              </w:rPr>
            </w:pPr>
          </w:p>
        </w:tc>
        <w:tc>
          <w:tcPr>
            <w:tcW w:w="1492" w:type="dxa"/>
            <w:vMerge w:val="continue"/>
            <w:tcBorders>
              <w:tl2br w:val="nil"/>
              <w:tr2bl w:val="nil"/>
            </w:tcBorders>
            <w:vAlign w:val="center"/>
          </w:tcPr>
          <w:p>
            <w:pPr>
              <w:pStyle w:val="195"/>
              <w:bidi w:val="0"/>
              <w:rPr>
                <w:color w:val="auto"/>
              </w:rPr>
            </w:pPr>
          </w:p>
        </w:tc>
        <w:tc>
          <w:tcPr>
            <w:tcW w:w="1316" w:type="dxa"/>
            <w:vMerge w:val="continue"/>
            <w:tcBorders>
              <w:tl2br w:val="nil"/>
              <w:tr2bl w:val="nil"/>
            </w:tcBorders>
            <w:vAlign w:val="center"/>
          </w:tcPr>
          <w:p>
            <w:pPr>
              <w:pStyle w:val="195"/>
              <w:bidi w:val="0"/>
              <w:rPr>
                <w:color w:val="auto"/>
              </w:rPr>
            </w:pPr>
          </w:p>
        </w:tc>
        <w:tc>
          <w:tcPr>
            <w:tcW w:w="1358" w:type="dxa"/>
            <w:tcBorders>
              <w:tl2br w:val="nil"/>
              <w:tr2bl w:val="nil"/>
            </w:tcBorders>
            <w:vAlign w:val="center"/>
          </w:tcPr>
          <w:p>
            <w:pPr>
              <w:pStyle w:val="195"/>
              <w:bidi w:val="0"/>
              <w:rPr>
                <w:color w:val="auto"/>
              </w:rPr>
            </w:pPr>
            <w:r>
              <w:rPr>
                <w:color w:val="auto"/>
              </w:rPr>
              <w:t>HCYQ-039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2" w:type="dxa"/>
            <w:vMerge w:val="continue"/>
            <w:tcBorders>
              <w:tl2br w:val="nil"/>
              <w:tr2bl w:val="nil"/>
            </w:tcBorders>
            <w:vAlign w:val="center"/>
          </w:tcPr>
          <w:p>
            <w:pPr>
              <w:pStyle w:val="195"/>
              <w:bidi w:val="0"/>
              <w:rPr>
                <w:color w:val="auto"/>
              </w:rPr>
            </w:pPr>
          </w:p>
        </w:tc>
        <w:tc>
          <w:tcPr>
            <w:tcW w:w="1258" w:type="dxa"/>
            <w:vMerge w:val="continue"/>
            <w:tcBorders>
              <w:tl2br w:val="nil"/>
              <w:tr2bl w:val="nil"/>
            </w:tcBorders>
            <w:vAlign w:val="center"/>
          </w:tcPr>
          <w:p>
            <w:pPr>
              <w:pStyle w:val="195"/>
              <w:bidi w:val="0"/>
              <w:rPr>
                <w:color w:val="auto"/>
              </w:rPr>
            </w:pPr>
          </w:p>
        </w:tc>
        <w:tc>
          <w:tcPr>
            <w:tcW w:w="2476" w:type="dxa"/>
            <w:vMerge w:val="continue"/>
            <w:tcBorders>
              <w:tl2br w:val="nil"/>
              <w:tr2bl w:val="nil"/>
            </w:tcBorders>
            <w:vAlign w:val="center"/>
          </w:tcPr>
          <w:p>
            <w:pPr>
              <w:pStyle w:val="195"/>
              <w:bidi w:val="0"/>
              <w:rPr>
                <w:color w:val="auto"/>
              </w:rPr>
            </w:pPr>
          </w:p>
        </w:tc>
        <w:tc>
          <w:tcPr>
            <w:tcW w:w="1492" w:type="dxa"/>
            <w:tcBorders>
              <w:tl2br w:val="nil"/>
              <w:tr2bl w:val="nil"/>
            </w:tcBorders>
            <w:vAlign w:val="center"/>
          </w:tcPr>
          <w:p>
            <w:pPr>
              <w:pStyle w:val="195"/>
              <w:bidi w:val="0"/>
              <w:rPr>
                <w:color w:val="auto"/>
              </w:rPr>
            </w:pPr>
            <w:r>
              <w:rPr>
                <w:rFonts w:hint="eastAsia"/>
                <w:color w:val="auto"/>
              </w:rPr>
              <w:t>液相色谱仪</w:t>
            </w:r>
          </w:p>
        </w:tc>
        <w:tc>
          <w:tcPr>
            <w:tcW w:w="1316" w:type="dxa"/>
            <w:tcBorders>
              <w:tl2br w:val="nil"/>
              <w:tr2bl w:val="nil"/>
            </w:tcBorders>
            <w:vAlign w:val="center"/>
          </w:tcPr>
          <w:p>
            <w:pPr>
              <w:pStyle w:val="195"/>
              <w:bidi w:val="0"/>
              <w:rPr>
                <w:color w:val="auto"/>
              </w:rPr>
            </w:pPr>
            <w:r>
              <w:rPr>
                <w:color w:val="auto"/>
              </w:rPr>
              <w:t>SCL-10A vp</w:t>
            </w:r>
          </w:p>
        </w:tc>
        <w:tc>
          <w:tcPr>
            <w:tcW w:w="1358" w:type="dxa"/>
            <w:tcBorders>
              <w:tl2br w:val="nil"/>
              <w:tr2bl w:val="nil"/>
            </w:tcBorders>
            <w:vAlign w:val="center"/>
          </w:tcPr>
          <w:p>
            <w:pPr>
              <w:pStyle w:val="195"/>
              <w:bidi w:val="0"/>
              <w:rPr>
                <w:color w:val="auto"/>
              </w:rPr>
            </w:pPr>
            <w:r>
              <w:rPr>
                <w:color w:val="auto"/>
              </w:rPr>
              <w:t>HCYQ-030</w:t>
            </w:r>
          </w:p>
        </w:tc>
      </w:tr>
    </w:tbl>
    <w:p>
      <w:pPr>
        <w:pStyle w:val="86"/>
        <w:adjustRightInd w:val="0"/>
        <w:snapToGrid w:val="0"/>
        <w:spacing w:line="500" w:lineRule="exact"/>
        <w:ind w:firstLine="0" w:firstLineChars="0"/>
        <w:outlineLvl w:val="2"/>
        <w:rPr>
          <w:rFonts w:ascii="Times New Roman" w:hAnsi="Times New Roman" w:cs="Times New Roman"/>
          <w:snapToGrid w:val="0"/>
          <w:color w:val="auto"/>
          <w:spacing w:val="0"/>
          <w:kern w:val="0"/>
          <w:sz w:val="24"/>
          <w:szCs w:val="24"/>
          <w:highlight w:val="none"/>
        </w:rPr>
      </w:pPr>
      <w:bookmarkStart w:id="233" w:name="_Toc15287"/>
      <w:bookmarkStart w:id="234" w:name="_Toc21939"/>
      <w:bookmarkStart w:id="235" w:name="_Toc5617"/>
      <w:bookmarkStart w:id="236" w:name="_Toc11429"/>
      <w:r>
        <w:rPr>
          <w:rFonts w:ascii="Times New Roman" w:hAnsi="Times New Roman" w:cs="Times New Roman"/>
          <w:snapToGrid w:val="0"/>
          <w:color w:val="auto"/>
          <w:spacing w:val="0"/>
          <w:kern w:val="0"/>
          <w:sz w:val="24"/>
          <w:szCs w:val="24"/>
          <w:highlight w:val="none"/>
        </w:rPr>
        <w:t>4.2.4监测结果</w:t>
      </w:r>
      <w:bookmarkEnd w:id="233"/>
      <w:bookmarkEnd w:id="234"/>
      <w:bookmarkEnd w:id="235"/>
      <w:bookmarkEnd w:id="236"/>
    </w:p>
    <w:p>
      <w:pPr>
        <w:pStyle w:val="117"/>
        <w:bidi w:val="0"/>
        <w:rPr>
          <w:color w:val="auto"/>
          <w:highlight w:val="none"/>
        </w:rPr>
      </w:pPr>
      <w:r>
        <w:rPr>
          <w:color w:val="auto"/>
          <w:highlight w:val="none"/>
        </w:rPr>
        <w:t>补充监测统计结果见表4-</w:t>
      </w:r>
      <w:r>
        <w:rPr>
          <w:rFonts w:hint="eastAsia"/>
          <w:color w:val="auto"/>
          <w:highlight w:val="none"/>
          <w:lang w:val="en-US" w:eastAsia="zh-CN"/>
        </w:rPr>
        <w:t>3</w:t>
      </w:r>
      <w:r>
        <w:rPr>
          <w:color w:val="auto"/>
          <w:highlight w:val="none"/>
        </w:rPr>
        <w:t>。</w:t>
      </w:r>
    </w:p>
    <w:p>
      <w:pPr>
        <w:pStyle w:val="135"/>
        <w:tabs>
          <w:tab w:val="clear" w:pos="5400"/>
        </w:tabs>
        <w:bidi w:val="0"/>
        <w:rPr>
          <w:color w:val="auto"/>
          <w:highlight w:val="none"/>
        </w:rPr>
      </w:pPr>
      <w:r>
        <w:rPr>
          <w:color w:val="auto"/>
          <w:highlight w:val="none"/>
        </w:rPr>
        <w:t>表4-</w:t>
      </w:r>
      <w:r>
        <w:rPr>
          <w:rFonts w:hint="eastAsia"/>
          <w:color w:val="auto"/>
          <w:highlight w:val="none"/>
          <w:lang w:val="en-US" w:eastAsia="zh-CN"/>
        </w:rPr>
        <w:t>3</w:t>
      </w:r>
      <w:r>
        <w:rPr>
          <w:color w:val="auto"/>
          <w:highlight w:val="none"/>
        </w:rPr>
        <w:t>其他污染物监测结果一览表</w:t>
      </w:r>
    </w:p>
    <w:tbl>
      <w:tblPr>
        <w:tblStyle w:val="35"/>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2560"/>
        <w:gridCol w:w="213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检测日期</w:t>
            </w:r>
          </w:p>
        </w:tc>
        <w:tc>
          <w:tcPr>
            <w:tcW w:w="256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检测项目</w:t>
            </w:r>
          </w:p>
        </w:tc>
        <w:tc>
          <w:tcPr>
            <w:tcW w:w="2130"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检测结果</w:t>
            </w:r>
          </w:p>
        </w:tc>
        <w:tc>
          <w:tcPr>
            <w:tcW w:w="1949"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2025年10月15日至2025年10月16日</w:t>
            </w:r>
          </w:p>
        </w:tc>
        <w:tc>
          <w:tcPr>
            <w:tcW w:w="2560" w:type="dxa"/>
            <w:vMerge w:val="restart"/>
            <w:tcBorders>
              <w:tl2br w:val="nil"/>
              <w:tr2bl w:val="nil"/>
            </w:tcBorders>
            <w:vAlign w:val="center"/>
          </w:tcPr>
          <w:p>
            <w:pPr>
              <w:jc w:val="center"/>
              <w:rPr>
                <w:rFonts w:hint="eastAsia" w:ascii="Times New Roman" w:hAnsi="Times New Roman" w:cs="Times New Roman" w:eastAsiaTheme="minorEastAsia"/>
                <w:color w:val="auto"/>
                <w:szCs w:val="21"/>
                <w:lang w:val="en-US" w:eastAsia="zh-CN"/>
              </w:rPr>
            </w:pPr>
            <w:r>
              <w:rPr>
                <w:rFonts w:hint="eastAsia"/>
                <w:color w:val="auto"/>
              </w:rPr>
              <w:t>苯并[a]芘</w:t>
            </w:r>
          </w:p>
        </w:tc>
        <w:tc>
          <w:tcPr>
            <w:tcW w:w="213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2025年10月16日至2025年10月17日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2025年10月17日至2025年10月18日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2025年10月18日至2025年10月19日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2025年10月19日至2025年10月20日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2025年10月20日至2025年10月21日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2025年10月21日至2025年10月22日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0.0000013L</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2025年10月15日至2025年10月16日</w:t>
            </w:r>
          </w:p>
        </w:tc>
        <w:tc>
          <w:tcPr>
            <w:tcW w:w="2560" w:type="dxa"/>
            <w:vMerge w:val="restart"/>
            <w:tcBorders>
              <w:tl2br w:val="nil"/>
              <w:tr2bl w:val="nil"/>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eastAsia="宋体" w:cs="Times New Roman"/>
                <w:color w:val="auto"/>
                <w:szCs w:val="21"/>
                <w:lang w:val="en-US" w:eastAsia="zh-CN"/>
              </w:rPr>
              <w:t>TSP</w:t>
            </w:r>
          </w:p>
        </w:tc>
        <w:tc>
          <w:tcPr>
            <w:tcW w:w="2130"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0.110</w:t>
            </w:r>
          </w:p>
        </w:tc>
        <w:tc>
          <w:tcPr>
            <w:tcW w:w="1949"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2025年10月16日至2025年10月17日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0.109</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2025年10月17日至2025年10月18日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0.111</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2025年10月18日至2025年10月19日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0.107</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2025年10月19日至2025年10月20日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2025年10月20日至2025年10月21日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0.113</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19"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2025年10月21日至2025年10月22日</w:t>
            </w:r>
          </w:p>
        </w:tc>
        <w:tc>
          <w:tcPr>
            <w:tcW w:w="256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1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0.110</w:t>
            </w:r>
          </w:p>
        </w:tc>
        <w:tc>
          <w:tcPr>
            <w:tcW w:w="194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p>
        </w:tc>
      </w:tr>
    </w:tbl>
    <w:p>
      <w:pPr>
        <w:pStyle w:val="124"/>
        <w:rPr>
          <w:color w:val="auto"/>
        </w:rPr>
      </w:pP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37" w:name="_Toc5484"/>
      <w:bookmarkStart w:id="238" w:name="_Toc22590"/>
      <w:bookmarkStart w:id="239" w:name="_Toc20671"/>
      <w:bookmarkStart w:id="240" w:name="_Toc19535"/>
      <w:bookmarkStart w:id="241" w:name="_Hlk71806979"/>
      <w:r>
        <w:rPr>
          <w:rFonts w:ascii="Times New Roman" w:hAnsi="Times New Roman" w:eastAsia="宋体" w:cs="Times New Roman"/>
          <w:b w:val="0"/>
          <w:bCs/>
          <w:color w:val="auto"/>
          <w:sz w:val="24"/>
          <w:szCs w:val="24"/>
          <w:highlight w:val="none"/>
        </w:rPr>
        <w:t>4.3补充监测现状评价</w:t>
      </w:r>
      <w:bookmarkEnd w:id="237"/>
      <w:bookmarkEnd w:id="238"/>
      <w:bookmarkEnd w:id="239"/>
      <w:bookmarkEnd w:id="240"/>
    </w:p>
    <w:p>
      <w:pPr>
        <w:pStyle w:val="117"/>
        <w:bidi w:val="0"/>
        <w:rPr>
          <w:color w:val="auto"/>
          <w:highlight w:val="none"/>
        </w:rPr>
      </w:pPr>
      <w:r>
        <w:rPr>
          <w:color w:val="auto"/>
          <w:highlight w:val="none"/>
        </w:rPr>
        <w:t>（1）评价参数</w:t>
      </w:r>
    </w:p>
    <w:p>
      <w:pPr>
        <w:pStyle w:val="117"/>
        <w:bidi w:val="0"/>
        <w:rPr>
          <w:color w:val="auto"/>
          <w:highlight w:val="none"/>
        </w:rPr>
      </w:pPr>
      <w:r>
        <w:rPr>
          <w:color w:val="auto"/>
          <w:highlight w:val="none"/>
        </w:rPr>
        <w:t>评价因子选择</w:t>
      </w:r>
      <w:r>
        <w:rPr>
          <w:rFonts w:hint="default" w:ascii="Times New Roman" w:hAnsi="Times New Roman" w:cs="Times New Roman"/>
          <w:color w:val="auto"/>
          <w:highlight w:val="none"/>
        </w:rPr>
        <w:t>TSP、苯并[a]芘</w:t>
      </w:r>
      <w:r>
        <w:rPr>
          <w:color w:val="auto"/>
          <w:highlight w:val="none"/>
        </w:rPr>
        <w:t>。</w:t>
      </w:r>
    </w:p>
    <w:p>
      <w:pPr>
        <w:pStyle w:val="117"/>
        <w:bidi w:val="0"/>
        <w:rPr>
          <w:color w:val="auto"/>
          <w:highlight w:val="none"/>
        </w:rPr>
      </w:pPr>
      <w:r>
        <w:rPr>
          <w:color w:val="auto"/>
          <w:highlight w:val="none"/>
        </w:rPr>
        <w:t>（2）评价标准</w:t>
      </w:r>
    </w:p>
    <w:p>
      <w:pPr>
        <w:pStyle w:val="117"/>
        <w:bidi w:val="0"/>
        <w:rPr>
          <w:color w:val="auto"/>
          <w:highlight w:val="none"/>
        </w:rPr>
      </w:pPr>
      <w:r>
        <w:rPr>
          <w:color w:val="auto"/>
          <w:highlight w:val="none"/>
        </w:rPr>
        <w:t>评价标准见表4-</w:t>
      </w:r>
      <w:r>
        <w:rPr>
          <w:rFonts w:hint="eastAsia"/>
          <w:color w:val="auto"/>
          <w:highlight w:val="none"/>
          <w:lang w:val="en-US" w:eastAsia="zh-CN"/>
        </w:rPr>
        <w:t>5</w:t>
      </w:r>
      <w:r>
        <w:rPr>
          <w:color w:val="auto"/>
          <w:highlight w:val="none"/>
        </w:rPr>
        <w:t>。</w:t>
      </w:r>
    </w:p>
    <w:bookmarkEnd w:id="241"/>
    <w:p>
      <w:pPr>
        <w:pStyle w:val="135"/>
        <w:tabs>
          <w:tab w:val="clear" w:pos="5400"/>
        </w:tabs>
        <w:bidi w:val="0"/>
        <w:rPr>
          <w:color w:val="auto"/>
          <w:highlight w:val="none"/>
        </w:rPr>
      </w:pPr>
      <w:bookmarkStart w:id="242" w:name="_Hlk71806984"/>
      <w:r>
        <w:rPr>
          <w:color w:val="auto"/>
          <w:highlight w:val="none"/>
        </w:rPr>
        <w:t>表4-</w:t>
      </w:r>
      <w:r>
        <w:rPr>
          <w:rFonts w:hint="eastAsia"/>
          <w:color w:val="auto"/>
          <w:highlight w:val="none"/>
          <w:lang w:val="en-US" w:eastAsia="zh-CN"/>
        </w:rPr>
        <w:t xml:space="preserve">4 </w:t>
      </w:r>
      <w:r>
        <w:rPr>
          <w:color w:val="auto"/>
          <w:highlight w:val="none"/>
        </w:rPr>
        <w:t>评价标准一览表</w:t>
      </w:r>
    </w:p>
    <w:bookmarkEnd w:id="242"/>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3"/>
        <w:gridCol w:w="1391"/>
        <w:gridCol w:w="791"/>
        <w:gridCol w:w="1081"/>
        <w:gridCol w:w="40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5" w:type="pct"/>
            <w:vAlign w:val="center"/>
          </w:tcPr>
          <w:p>
            <w:pPr>
              <w:pStyle w:val="195"/>
              <w:bidi w:val="0"/>
              <w:rPr>
                <w:color w:val="auto"/>
              </w:rPr>
            </w:pPr>
            <w:bookmarkStart w:id="243" w:name="_Hlk71807003"/>
            <w:r>
              <w:rPr>
                <w:color w:val="auto"/>
              </w:rPr>
              <w:t>污染物名称</w:t>
            </w:r>
          </w:p>
        </w:tc>
        <w:tc>
          <w:tcPr>
            <w:tcW w:w="1280" w:type="pct"/>
            <w:gridSpan w:val="2"/>
            <w:vAlign w:val="center"/>
          </w:tcPr>
          <w:p>
            <w:pPr>
              <w:pStyle w:val="195"/>
              <w:bidi w:val="0"/>
              <w:rPr>
                <w:color w:val="auto"/>
              </w:rPr>
            </w:pPr>
            <w:r>
              <w:rPr>
                <w:color w:val="auto"/>
              </w:rPr>
              <w:t>浓度限值</w:t>
            </w:r>
          </w:p>
        </w:tc>
        <w:tc>
          <w:tcPr>
            <w:tcW w:w="634" w:type="pct"/>
            <w:vAlign w:val="center"/>
          </w:tcPr>
          <w:p>
            <w:pPr>
              <w:pStyle w:val="195"/>
              <w:bidi w:val="0"/>
              <w:rPr>
                <w:color w:val="auto"/>
              </w:rPr>
            </w:pPr>
            <w:r>
              <w:rPr>
                <w:color w:val="auto"/>
              </w:rPr>
              <w:t>浓度单位</w:t>
            </w:r>
          </w:p>
        </w:tc>
        <w:tc>
          <w:tcPr>
            <w:tcW w:w="2349" w:type="pct"/>
            <w:vAlign w:val="center"/>
          </w:tcPr>
          <w:p>
            <w:pPr>
              <w:pStyle w:val="195"/>
              <w:bidi w:val="0"/>
              <w:rPr>
                <w:color w:val="auto"/>
              </w:rPr>
            </w:pPr>
            <w:r>
              <w:rPr>
                <w:color w:val="auto"/>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5" w:type="pct"/>
            <w:vAlign w:val="center"/>
          </w:tcPr>
          <w:p>
            <w:pPr>
              <w:pStyle w:val="195"/>
              <w:bidi w:val="0"/>
              <w:rPr>
                <w:color w:val="auto"/>
              </w:rPr>
            </w:pPr>
            <w:r>
              <w:rPr>
                <w:color w:val="auto"/>
              </w:rPr>
              <w:t>TSP</w:t>
            </w:r>
          </w:p>
        </w:tc>
        <w:tc>
          <w:tcPr>
            <w:tcW w:w="816" w:type="pct"/>
            <w:vAlign w:val="center"/>
          </w:tcPr>
          <w:p>
            <w:pPr>
              <w:pStyle w:val="195"/>
              <w:bidi w:val="0"/>
              <w:rPr>
                <w:color w:val="auto"/>
              </w:rPr>
            </w:pPr>
            <w:r>
              <w:rPr>
                <w:color w:val="auto"/>
              </w:rPr>
              <w:t>24小时平均</w:t>
            </w:r>
          </w:p>
        </w:tc>
        <w:tc>
          <w:tcPr>
            <w:tcW w:w="464" w:type="pct"/>
            <w:vAlign w:val="center"/>
          </w:tcPr>
          <w:p>
            <w:pPr>
              <w:pStyle w:val="195"/>
              <w:bidi w:val="0"/>
              <w:rPr>
                <w:color w:val="auto"/>
              </w:rPr>
            </w:pPr>
            <w:r>
              <w:rPr>
                <w:color w:val="auto"/>
              </w:rPr>
              <w:t>300</w:t>
            </w:r>
          </w:p>
        </w:tc>
        <w:tc>
          <w:tcPr>
            <w:tcW w:w="634" w:type="pct"/>
            <w:vMerge w:val="restart"/>
            <w:vAlign w:val="center"/>
          </w:tcPr>
          <w:p>
            <w:pPr>
              <w:pStyle w:val="195"/>
              <w:bidi w:val="0"/>
              <w:rPr>
                <w:color w:val="auto"/>
              </w:rPr>
            </w:pPr>
            <w:r>
              <w:rPr>
                <w:color w:val="auto"/>
              </w:rPr>
              <w:t>μg/m</w:t>
            </w:r>
            <w:r>
              <w:rPr>
                <w:color w:val="auto"/>
                <w:vertAlign w:val="superscript"/>
              </w:rPr>
              <w:t>3</w:t>
            </w:r>
          </w:p>
        </w:tc>
        <w:tc>
          <w:tcPr>
            <w:tcW w:w="2349" w:type="pct"/>
            <w:vMerge w:val="restart"/>
            <w:vAlign w:val="center"/>
          </w:tcPr>
          <w:p>
            <w:pPr>
              <w:pStyle w:val="195"/>
              <w:bidi w:val="0"/>
              <w:rPr>
                <w:color w:val="auto"/>
              </w:rPr>
            </w:pPr>
            <w:r>
              <w:rPr>
                <w:color w:val="auto"/>
              </w:rPr>
              <w:t>《环境空气质量标准》（GB3095-20</w:t>
            </w:r>
            <w:r>
              <w:rPr>
                <w:rFonts w:hint="eastAsia"/>
                <w:color w:val="auto"/>
                <w:lang w:val="en-US" w:eastAsia="zh-CN"/>
              </w:rPr>
              <w:t>26</w:t>
            </w:r>
            <w:r>
              <w:rPr>
                <w:color w:val="auto"/>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5" w:type="pct"/>
            <w:vAlign w:val="center"/>
          </w:tcPr>
          <w:p>
            <w:pPr>
              <w:pStyle w:val="195"/>
              <w:bidi w:val="0"/>
              <w:rPr>
                <w:color w:val="auto"/>
              </w:rPr>
            </w:pPr>
            <w:r>
              <w:rPr>
                <w:color w:val="auto"/>
              </w:rPr>
              <w:t>苯并[a]芘</w:t>
            </w:r>
          </w:p>
        </w:tc>
        <w:tc>
          <w:tcPr>
            <w:tcW w:w="816" w:type="pct"/>
            <w:vAlign w:val="center"/>
          </w:tcPr>
          <w:p>
            <w:pPr>
              <w:pStyle w:val="195"/>
              <w:bidi w:val="0"/>
              <w:rPr>
                <w:color w:val="auto"/>
              </w:rPr>
            </w:pPr>
            <w:r>
              <w:rPr>
                <w:rFonts w:hint="eastAsia"/>
                <w:color w:val="auto"/>
              </w:rPr>
              <w:t>日</w:t>
            </w:r>
            <w:r>
              <w:rPr>
                <w:color w:val="auto"/>
              </w:rPr>
              <w:t>平均</w:t>
            </w:r>
          </w:p>
        </w:tc>
        <w:tc>
          <w:tcPr>
            <w:tcW w:w="464" w:type="pct"/>
            <w:vAlign w:val="center"/>
          </w:tcPr>
          <w:p>
            <w:pPr>
              <w:pStyle w:val="195"/>
              <w:bidi w:val="0"/>
              <w:rPr>
                <w:color w:val="auto"/>
              </w:rPr>
            </w:pPr>
            <w:r>
              <w:rPr>
                <w:color w:val="auto"/>
              </w:rPr>
              <w:t>0.0</w:t>
            </w:r>
            <w:r>
              <w:rPr>
                <w:rFonts w:hint="eastAsia"/>
                <w:color w:val="auto"/>
              </w:rPr>
              <w:t>02</w:t>
            </w:r>
            <w:r>
              <w:rPr>
                <w:color w:val="auto"/>
              </w:rPr>
              <w:t>5</w:t>
            </w:r>
          </w:p>
        </w:tc>
        <w:tc>
          <w:tcPr>
            <w:tcW w:w="634" w:type="pct"/>
            <w:vMerge w:val="continue"/>
            <w:vAlign w:val="center"/>
          </w:tcPr>
          <w:p>
            <w:pPr>
              <w:pStyle w:val="195"/>
              <w:bidi w:val="0"/>
              <w:rPr>
                <w:color w:val="auto"/>
              </w:rPr>
            </w:pPr>
          </w:p>
        </w:tc>
        <w:tc>
          <w:tcPr>
            <w:tcW w:w="2349" w:type="pct"/>
            <w:vMerge w:val="continue"/>
            <w:vAlign w:val="center"/>
          </w:tcPr>
          <w:p>
            <w:pPr>
              <w:pStyle w:val="195"/>
              <w:bidi w:val="0"/>
              <w:rPr>
                <w:color w:val="auto"/>
              </w:rPr>
            </w:pPr>
          </w:p>
        </w:tc>
      </w:tr>
      <w:bookmarkEnd w:id="243"/>
    </w:tbl>
    <w:p>
      <w:pPr>
        <w:pStyle w:val="117"/>
        <w:bidi w:val="0"/>
        <w:rPr>
          <w:color w:val="auto"/>
          <w:highlight w:val="none"/>
        </w:rPr>
      </w:pPr>
      <w:r>
        <w:rPr>
          <w:color w:val="auto"/>
          <w:highlight w:val="none"/>
        </w:rPr>
        <w:t>（3）评价方法</w:t>
      </w:r>
    </w:p>
    <w:p>
      <w:pPr>
        <w:pStyle w:val="117"/>
        <w:bidi w:val="0"/>
        <w:rPr>
          <w:color w:val="auto"/>
          <w:highlight w:val="none"/>
        </w:rPr>
      </w:pPr>
      <w:r>
        <w:rPr>
          <w:color w:val="auto"/>
          <w:highlight w:val="none"/>
        </w:rPr>
        <w:t>环境空气质量评价采用如下方法：</w:t>
      </w:r>
    </w:p>
    <w:p>
      <w:pPr>
        <w:pStyle w:val="117"/>
        <w:bidi w:val="0"/>
        <w:jc w:val="center"/>
        <w:rPr>
          <w:color w:val="auto"/>
          <w:highlight w:val="none"/>
        </w:rPr>
      </w:pPr>
      <w:r>
        <w:rPr>
          <w:color w:val="auto"/>
          <w:highlight w:val="none"/>
        </w:rPr>
        <w:t>C现状（x,y）=MAX[</w:t>
      </w:r>
      <m:oMath>
        <m:f>
          <m:fPr>
            <m:ctrlPr>
              <w:rPr>
                <w:rFonts w:ascii="Cambria Math" w:hAnsi="Cambria Math"/>
                <w:color w:val="auto"/>
                <w:highlight w:val="none"/>
              </w:rPr>
            </m:ctrlPr>
          </m:fPr>
          <m:num>
            <m:r>
              <m:rPr>
                <m:sty m:val="p"/>
              </m:rPr>
              <w:rPr>
                <w:rFonts w:ascii="Cambria Math" w:hAnsi="Cambria Math"/>
                <w:color w:val="auto"/>
                <w:highlight w:val="none"/>
              </w:rPr>
              <m:t>1</m:t>
            </m:r>
            <m:ctrlPr>
              <w:rPr>
                <w:rFonts w:ascii="Cambria Math" w:hAnsi="Cambria Math"/>
                <w:color w:val="auto"/>
                <w:highlight w:val="none"/>
              </w:rPr>
            </m:ctrlPr>
          </m:num>
          <m:den>
            <m:r>
              <m:rPr>
                <m:sty m:val="p"/>
              </m:rPr>
              <w:rPr>
                <w:rFonts w:ascii="Cambria Math" w:hAnsi="Cambria Math"/>
                <w:color w:val="auto"/>
                <w:highlight w:val="none"/>
              </w:rPr>
              <m:t>n</m:t>
            </m:r>
            <m:ctrlPr>
              <w:rPr>
                <w:rFonts w:ascii="Cambria Math" w:hAnsi="Cambria Math"/>
                <w:color w:val="auto"/>
                <w:highlight w:val="none"/>
              </w:rPr>
            </m:ctrlPr>
          </m:den>
        </m:f>
        <m:nary>
          <m:naryPr>
            <m:chr m:val="∑"/>
            <m:limLoc m:val="subSup"/>
            <m:ctrlPr>
              <w:rPr>
                <w:rFonts w:ascii="Cambria Math" w:hAnsi="Cambria Math"/>
                <w:color w:val="auto"/>
                <w:highlight w:val="none"/>
              </w:rPr>
            </m:ctrlPr>
          </m:naryPr>
          <m:sub>
            <m:r>
              <m:rPr>
                <m:sty m:val="p"/>
              </m:rPr>
              <w:rPr>
                <w:rFonts w:ascii="Cambria Math" w:hAnsi="Cambria Math"/>
                <w:color w:val="auto"/>
                <w:highlight w:val="none"/>
              </w:rPr>
              <m:t>j=1</m:t>
            </m:r>
            <m:ctrlPr>
              <w:rPr>
                <w:rFonts w:ascii="Cambria Math" w:hAnsi="Cambria Math"/>
                <w:color w:val="auto"/>
                <w:highlight w:val="none"/>
              </w:rPr>
            </m:ctrlPr>
          </m:sub>
          <m:sup>
            <m:r>
              <m:rPr>
                <m:sty m:val="p"/>
              </m:rPr>
              <w:rPr>
                <w:rFonts w:ascii="Cambria Math" w:hAnsi="Cambria Math"/>
                <w:color w:val="auto"/>
                <w:highlight w:val="none"/>
              </w:rPr>
              <m:t>n</m:t>
            </m:r>
            <m:ctrlPr>
              <w:rPr>
                <w:rFonts w:ascii="Cambria Math" w:hAnsi="Cambria Math"/>
                <w:color w:val="auto"/>
                <w:highlight w:val="none"/>
              </w:rPr>
            </m:ctrlPr>
          </m:sup>
          <m:e>
            <m:sSub>
              <m:sSubPr>
                <m:ctrlPr>
                  <w:rPr>
                    <w:rFonts w:ascii="Cambria Math" w:hAnsi="Cambria Math"/>
                    <w:color w:val="auto"/>
                    <w:highlight w:val="none"/>
                  </w:rPr>
                </m:ctrlPr>
              </m:sSubPr>
              <m:e>
                <m:r>
                  <m:rPr>
                    <m:sty m:val="p"/>
                  </m:rPr>
                  <w:rPr>
                    <w:rFonts w:ascii="Cambria Math" w:hAnsi="Cambria Math"/>
                    <w:color w:val="auto"/>
                    <w:highlight w:val="none"/>
                  </w:rPr>
                  <m:t>C</m:t>
                </m:r>
                <m:ctrlPr>
                  <w:rPr>
                    <w:rFonts w:ascii="Cambria Math" w:hAnsi="Cambria Math"/>
                    <w:color w:val="auto"/>
                    <w:highlight w:val="none"/>
                  </w:rPr>
                </m:ctrlPr>
              </m:e>
              <m:sub>
                <m:r>
                  <m:rPr>
                    <m:sty m:val="p"/>
                  </m:rPr>
                  <w:rPr>
                    <w:rFonts w:ascii="Cambria Math" w:hAnsi="Cambria Math"/>
                    <w:color w:val="auto"/>
                    <w:highlight w:val="none"/>
                  </w:rPr>
                  <m:t>监测（j,t）</m:t>
                </m:r>
                <m:ctrlPr>
                  <w:rPr>
                    <w:rFonts w:ascii="Cambria Math" w:hAnsi="Cambria Math"/>
                    <w:color w:val="auto"/>
                    <w:highlight w:val="none"/>
                  </w:rPr>
                </m:ctrlPr>
              </m:sub>
            </m:sSub>
            <m:ctrlPr>
              <w:rPr>
                <w:rFonts w:ascii="Cambria Math" w:hAnsi="Cambria Math"/>
                <w:color w:val="auto"/>
                <w:highlight w:val="none"/>
              </w:rPr>
            </m:ctrlPr>
          </m:e>
        </m:nary>
      </m:oMath>
      <w:r>
        <w:rPr>
          <w:color w:val="auto"/>
          <w:highlight w:val="none"/>
        </w:rPr>
        <w:t>]</w:t>
      </w:r>
    </w:p>
    <w:p>
      <w:pPr>
        <w:pStyle w:val="117"/>
        <w:bidi w:val="0"/>
        <w:rPr>
          <w:color w:val="auto"/>
          <w:highlight w:val="none"/>
        </w:rPr>
      </w:pPr>
      <w:r>
        <w:rPr>
          <w:color w:val="auto"/>
          <w:highlight w:val="none"/>
        </w:rPr>
        <w:t>式中：C现状（x,y）—环境空气保护目标及网格点（x,y）环境质量现状浓度，μg/m3；</w:t>
      </w:r>
    </w:p>
    <w:p>
      <w:pPr>
        <w:pStyle w:val="117"/>
        <w:bidi w:val="0"/>
        <w:rPr>
          <w:color w:val="auto"/>
          <w:highlight w:val="none"/>
        </w:rPr>
      </w:pPr>
      <w:r>
        <w:rPr>
          <w:color w:val="auto"/>
          <w:highlight w:val="none"/>
        </w:rPr>
        <w:t>C监测（j,t）—第j个监测点位在t时刻环境质量现状浓度（包括1h平均、8h平均或日平均质量浓度）采用估算模型计算出的第i个污染物的最大1h地面空气质量浓度，μg/m</w:t>
      </w:r>
      <w:r>
        <w:rPr>
          <w:color w:val="auto"/>
          <w:highlight w:val="none"/>
          <w:vertAlign w:val="superscript"/>
        </w:rPr>
        <w:t>3</w:t>
      </w:r>
      <w:r>
        <w:rPr>
          <w:color w:val="auto"/>
          <w:highlight w:val="none"/>
        </w:rPr>
        <w:t>；</w:t>
      </w:r>
    </w:p>
    <w:p>
      <w:pPr>
        <w:pStyle w:val="117"/>
        <w:bidi w:val="0"/>
        <w:rPr>
          <w:color w:val="auto"/>
          <w:highlight w:val="none"/>
        </w:rPr>
      </w:pPr>
      <w:r>
        <w:rPr>
          <w:color w:val="auto"/>
          <w:highlight w:val="none"/>
        </w:rPr>
        <w:t>n—现状补充监测点位数；</w:t>
      </w:r>
    </w:p>
    <w:p>
      <w:pPr>
        <w:pStyle w:val="117"/>
        <w:bidi w:val="0"/>
        <w:rPr>
          <w:color w:val="auto"/>
          <w:highlight w:val="none"/>
        </w:rPr>
      </w:pPr>
      <w:r>
        <w:rPr>
          <w:color w:val="auto"/>
          <w:highlight w:val="none"/>
        </w:rPr>
        <w:t>（4）监测结果分析</w:t>
      </w:r>
    </w:p>
    <w:p>
      <w:pPr>
        <w:pStyle w:val="117"/>
        <w:bidi w:val="0"/>
        <w:rPr>
          <w:color w:val="auto"/>
          <w:highlight w:val="none"/>
        </w:rPr>
      </w:pPr>
      <w:r>
        <w:rPr>
          <w:color w:val="auto"/>
          <w:highlight w:val="none"/>
        </w:rPr>
        <w:t>补充现状监测统计结果分析情况见表4-</w:t>
      </w:r>
      <w:r>
        <w:rPr>
          <w:rFonts w:hint="eastAsia"/>
          <w:color w:val="auto"/>
          <w:highlight w:val="none"/>
          <w:lang w:val="en-US" w:eastAsia="zh-CN"/>
        </w:rPr>
        <w:t>5</w:t>
      </w:r>
      <w:r>
        <w:rPr>
          <w:color w:val="auto"/>
          <w:highlight w:val="none"/>
        </w:rPr>
        <w:t>。</w:t>
      </w:r>
    </w:p>
    <w:p>
      <w:pPr>
        <w:pStyle w:val="135"/>
        <w:tabs>
          <w:tab w:val="clear" w:pos="5400"/>
        </w:tabs>
        <w:bidi w:val="0"/>
        <w:rPr>
          <w:color w:val="auto"/>
          <w:highlight w:val="none"/>
        </w:rPr>
      </w:pPr>
      <w:r>
        <w:rPr>
          <w:color w:val="auto"/>
          <w:highlight w:val="none"/>
        </w:rPr>
        <w:t>表4-</w:t>
      </w:r>
      <w:r>
        <w:rPr>
          <w:rFonts w:hint="eastAsia"/>
          <w:color w:val="auto"/>
          <w:highlight w:val="none"/>
          <w:lang w:val="en-US" w:eastAsia="zh-CN"/>
        </w:rPr>
        <w:t xml:space="preserve">5 </w:t>
      </w:r>
      <w:r>
        <w:rPr>
          <w:color w:val="auto"/>
          <w:highlight w:val="none"/>
        </w:rPr>
        <w:t>其他污染物环境现状监测统计表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242"/>
        <w:gridCol w:w="1314"/>
        <w:gridCol w:w="954"/>
        <w:gridCol w:w="1188"/>
        <w:gridCol w:w="1037"/>
        <w:gridCol w:w="863"/>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83"/>
              <w:rPr>
                <w:color w:val="auto"/>
                <w:sz w:val="21"/>
                <w:szCs w:val="21"/>
              </w:rPr>
            </w:pPr>
            <w:r>
              <w:rPr>
                <w:color w:val="auto"/>
                <w:sz w:val="21"/>
                <w:szCs w:val="21"/>
              </w:rPr>
              <w:t>污染物</w:t>
            </w:r>
          </w:p>
        </w:tc>
        <w:tc>
          <w:tcPr>
            <w:tcW w:w="728" w:type="pct"/>
            <w:vAlign w:val="center"/>
          </w:tcPr>
          <w:p>
            <w:pPr>
              <w:pStyle w:val="83"/>
              <w:rPr>
                <w:color w:val="auto"/>
                <w:sz w:val="21"/>
                <w:szCs w:val="21"/>
              </w:rPr>
            </w:pPr>
            <w:r>
              <w:rPr>
                <w:color w:val="auto"/>
                <w:sz w:val="21"/>
                <w:szCs w:val="21"/>
              </w:rPr>
              <w:t>检测点位</w:t>
            </w:r>
          </w:p>
        </w:tc>
        <w:tc>
          <w:tcPr>
            <w:tcW w:w="770" w:type="pct"/>
            <w:vAlign w:val="center"/>
          </w:tcPr>
          <w:p>
            <w:pPr>
              <w:pStyle w:val="83"/>
              <w:rPr>
                <w:color w:val="auto"/>
                <w:sz w:val="21"/>
                <w:szCs w:val="21"/>
              </w:rPr>
            </w:pPr>
            <w:r>
              <w:rPr>
                <w:color w:val="auto"/>
                <w:sz w:val="21"/>
                <w:szCs w:val="21"/>
              </w:rPr>
              <w:t>平均时间</w:t>
            </w:r>
          </w:p>
        </w:tc>
        <w:tc>
          <w:tcPr>
            <w:tcW w:w="559" w:type="pct"/>
            <w:vAlign w:val="center"/>
          </w:tcPr>
          <w:p>
            <w:pPr>
              <w:pStyle w:val="83"/>
              <w:rPr>
                <w:color w:val="auto"/>
                <w:sz w:val="21"/>
                <w:szCs w:val="21"/>
              </w:rPr>
            </w:pPr>
            <w:r>
              <w:rPr>
                <w:color w:val="auto"/>
                <w:sz w:val="21"/>
                <w:szCs w:val="21"/>
              </w:rPr>
              <w:t>评价标准/μg/m</w:t>
            </w:r>
            <w:r>
              <w:rPr>
                <w:color w:val="auto"/>
                <w:sz w:val="21"/>
                <w:szCs w:val="21"/>
                <w:vertAlign w:val="superscript"/>
              </w:rPr>
              <w:t>3</w:t>
            </w:r>
          </w:p>
        </w:tc>
        <w:tc>
          <w:tcPr>
            <w:tcW w:w="696" w:type="pct"/>
            <w:vAlign w:val="center"/>
          </w:tcPr>
          <w:p>
            <w:pPr>
              <w:pStyle w:val="83"/>
              <w:rPr>
                <w:color w:val="auto"/>
                <w:sz w:val="21"/>
                <w:szCs w:val="21"/>
              </w:rPr>
            </w:pPr>
            <w:r>
              <w:rPr>
                <w:color w:val="auto"/>
                <w:sz w:val="21"/>
                <w:szCs w:val="21"/>
              </w:rPr>
              <w:t>监测浓度范围/μg/m</w:t>
            </w:r>
            <w:r>
              <w:rPr>
                <w:color w:val="auto"/>
                <w:sz w:val="21"/>
                <w:szCs w:val="21"/>
                <w:vertAlign w:val="superscript"/>
              </w:rPr>
              <w:t>3</w:t>
            </w:r>
          </w:p>
        </w:tc>
        <w:tc>
          <w:tcPr>
            <w:tcW w:w="608" w:type="pct"/>
            <w:vAlign w:val="center"/>
          </w:tcPr>
          <w:p>
            <w:pPr>
              <w:pStyle w:val="83"/>
              <w:rPr>
                <w:color w:val="auto"/>
                <w:sz w:val="21"/>
                <w:szCs w:val="21"/>
              </w:rPr>
            </w:pPr>
            <w:r>
              <w:rPr>
                <w:color w:val="auto"/>
                <w:sz w:val="21"/>
                <w:szCs w:val="21"/>
              </w:rPr>
              <w:t>最大浓度占标率/%</w:t>
            </w:r>
          </w:p>
        </w:tc>
        <w:tc>
          <w:tcPr>
            <w:tcW w:w="506" w:type="pct"/>
            <w:vAlign w:val="center"/>
          </w:tcPr>
          <w:p>
            <w:pPr>
              <w:pStyle w:val="83"/>
              <w:rPr>
                <w:color w:val="auto"/>
                <w:sz w:val="21"/>
                <w:szCs w:val="21"/>
              </w:rPr>
            </w:pPr>
            <w:r>
              <w:rPr>
                <w:color w:val="auto"/>
                <w:sz w:val="21"/>
                <w:szCs w:val="21"/>
              </w:rPr>
              <w:t>超标率/%</w:t>
            </w:r>
          </w:p>
        </w:tc>
        <w:tc>
          <w:tcPr>
            <w:tcW w:w="582" w:type="pct"/>
            <w:vAlign w:val="center"/>
          </w:tcPr>
          <w:p>
            <w:pPr>
              <w:pStyle w:val="83"/>
              <w:rPr>
                <w:color w:val="auto"/>
                <w:sz w:val="21"/>
                <w:szCs w:val="21"/>
              </w:rPr>
            </w:pPr>
            <w:r>
              <w:rPr>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46" w:type="pct"/>
            <w:vAlign w:val="center"/>
          </w:tcPr>
          <w:p>
            <w:pPr>
              <w:pStyle w:val="83"/>
              <w:rPr>
                <w:color w:val="auto"/>
                <w:sz w:val="21"/>
                <w:szCs w:val="21"/>
              </w:rPr>
            </w:pPr>
            <w:r>
              <w:rPr>
                <w:color w:val="auto"/>
                <w:sz w:val="21"/>
                <w:szCs w:val="21"/>
              </w:rPr>
              <w:t>TSP</w:t>
            </w:r>
          </w:p>
        </w:tc>
        <w:tc>
          <w:tcPr>
            <w:tcW w:w="728" w:type="pct"/>
            <w:vMerge w:val="restart"/>
            <w:vAlign w:val="center"/>
          </w:tcPr>
          <w:p>
            <w:pPr>
              <w:pStyle w:val="190"/>
              <w:adjustRightInd w:val="0"/>
              <w:snapToGrid w:val="0"/>
              <w:rPr>
                <w:rFonts w:hint="default"/>
                <w:color w:val="auto"/>
                <w:szCs w:val="21"/>
              </w:rPr>
            </w:pPr>
            <w:r>
              <w:rPr>
                <w:color w:val="auto"/>
                <w:szCs w:val="21"/>
              </w:rPr>
              <w:t>1#厂址</w:t>
            </w:r>
            <w:r>
              <w:rPr>
                <w:rFonts w:hint="eastAsia"/>
                <w:color w:val="auto"/>
                <w:szCs w:val="21"/>
              </w:rPr>
              <w:t>下风向</w:t>
            </w:r>
          </w:p>
        </w:tc>
        <w:tc>
          <w:tcPr>
            <w:tcW w:w="770" w:type="pct"/>
            <w:vAlign w:val="center"/>
          </w:tcPr>
          <w:p>
            <w:pPr>
              <w:pStyle w:val="83"/>
              <w:rPr>
                <w:color w:val="auto"/>
                <w:sz w:val="21"/>
                <w:szCs w:val="21"/>
              </w:rPr>
            </w:pPr>
            <w:r>
              <w:rPr>
                <w:color w:val="auto"/>
                <w:sz w:val="21"/>
                <w:szCs w:val="21"/>
              </w:rPr>
              <w:t>24h平均</w:t>
            </w:r>
          </w:p>
        </w:tc>
        <w:tc>
          <w:tcPr>
            <w:tcW w:w="559" w:type="pct"/>
            <w:vAlign w:val="center"/>
          </w:tcPr>
          <w:p>
            <w:pPr>
              <w:pStyle w:val="83"/>
              <w:rPr>
                <w:color w:val="auto"/>
                <w:sz w:val="21"/>
                <w:szCs w:val="21"/>
              </w:rPr>
            </w:pPr>
            <w:r>
              <w:rPr>
                <w:color w:val="auto"/>
                <w:sz w:val="21"/>
                <w:szCs w:val="21"/>
              </w:rPr>
              <w:t>300</w:t>
            </w:r>
          </w:p>
        </w:tc>
        <w:tc>
          <w:tcPr>
            <w:tcW w:w="1188" w:type="dxa"/>
            <w:vAlign w:val="center"/>
          </w:tcPr>
          <w:p>
            <w:pPr>
              <w:pStyle w:val="83"/>
              <w:rPr>
                <w:rFonts w:hint="default" w:eastAsia="宋体"/>
                <w:color w:val="auto"/>
                <w:sz w:val="21"/>
                <w:szCs w:val="21"/>
                <w:lang w:val="en-US" w:eastAsia="zh-CN"/>
              </w:rPr>
            </w:pPr>
            <w:r>
              <w:rPr>
                <w:rFonts w:hint="default" w:ascii="Times New Roman" w:hAnsi="Times New Roman" w:cs="Times New Roman"/>
                <w:color w:val="auto"/>
                <w:szCs w:val="21"/>
                <w:lang w:val="en-US" w:eastAsia="zh-CN"/>
              </w:rPr>
              <w:t>80</w:t>
            </w:r>
            <w:r>
              <w:rPr>
                <w:rFonts w:hint="default" w:ascii="Times New Roman" w:hAnsi="Times New Roman" w:cs="Times New Roman"/>
                <w:color w:val="auto"/>
                <w:szCs w:val="21"/>
              </w:rPr>
              <w:t>-11</w:t>
            </w:r>
            <w:r>
              <w:rPr>
                <w:rFonts w:hint="default" w:ascii="Times New Roman" w:hAnsi="Times New Roman" w:cs="Times New Roman"/>
                <w:color w:val="auto"/>
                <w:szCs w:val="21"/>
                <w:lang w:val="en-US" w:eastAsia="zh-CN"/>
              </w:rPr>
              <w:t>3</w:t>
            </w:r>
          </w:p>
        </w:tc>
        <w:tc>
          <w:tcPr>
            <w:tcW w:w="1037" w:type="dxa"/>
            <w:vAlign w:val="center"/>
          </w:tcPr>
          <w:p>
            <w:pPr>
              <w:pStyle w:val="83"/>
              <w:rPr>
                <w:rFonts w:hint="default" w:eastAsia="宋体"/>
                <w:color w:val="auto"/>
                <w:sz w:val="21"/>
                <w:szCs w:val="21"/>
                <w:lang w:val="en-US" w:eastAsia="zh-CN"/>
              </w:rPr>
            </w:pPr>
            <w:r>
              <w:rPr>
                <w:rFonts w:hint="default" w:ascii="Times New Roman" w:hAnsi="Times New Roman" w:cs="Times New Roman"/>
                <w:color w:val="auto"/>
                <w:szCs w:val="21"/>
              </w:rPr>
              <w:t>3</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rPr>
              <w:t>.7</w:t>
            </w:r>
          </w:p>
        </w:tc>
        <w:tc>
          <w:tcPr>
            <w:tcW w:w="506" w:type="pct"/>
            <w:vAlign w:val="center"/>
          </w:tcPr>
          <w:p>
            <w:pPr>
              <w:pStyle w:val="83"/>
              <w:rPr>
                <w:color w:val="auto"/>
                <w:sz w:val="21"/>
                <w:szCs w:val="21"/>
              </w:rPr>
            </w:pPr>
            <w:r>
              <w:rPr>
                <w:color w:val="auto"/>
                <w:sz w:val="21"/>
                <w:szCs w:val="21"/>
              </w:rPr>
              <w:t>0</w:t>
            </w:r>
          </w:p>
        </w:tc>
        <w:tc>
          <w:tcPr>
            <w:tcW w:w="582" w:type="pct"/>
            <w:vAlign w:val="center"/>
          </w:tcPr>
          <w:p>
            <w:pPr>
              <w:pStyle w:val="83"/>
              <w:rPr>
                <w:color w:val="auto"/>
                <w:sz w:val="21"/>
                <w:szCs w:val="21"/>
              </w:rPr>
            </w:pPr>
            <w:r>
              <w:rPr>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Align w:val="center"/>
          </w:tcPr>
          <w:p>
            <w:pPr>
              <w:pStyle w:val="83"/>
              <w:rPr>
                <w:color w:val="auto"/>
                <w:sz w:val="21"/>
                <w:szCs w:val="21"/>
              </w:rPr>
            </w:pPr>
            <w:r>
              <w:rPr>
                <w:color w:val="auto"/>
                <w:sz w:val="21"/>
                <w:szCs w:val="21"/>
              </w:rPr>
              <w:t>苯并[a]芘</w:t>
            </w:r>
          </w:p>
        </w:tc>
        <w:tc>
          <w:tcPr>
            <w:tcW w:w="728" w:type="pct"/>
            <w:vMerge w:val="continue"/>
            <w:vAlign w:val="center"/>
          </w:tcPr>
          <w:p>
            <w:pPr>
              <w:pStyle w:val="190"/>
              <w:adjustRightInd w:val="0"/>
              <w:snapToGrid w:val="0"/>
              <w:rPr>
                <w:rFonts w:hint="default"/>
                <w:color w:val="auto"/>
                <w:szCs w:val="21"/>
              </w:rPr>
            </w:pPr>
          </w:p>
        </w:tc>
        <w:tc>
          <w:tcPr>
            <w:tcW w:w="770" w:type="pct"/>
            <w:vAlign w:val="center"/>
          </w:tcPr>
          <w:p>
            <w:pPr>
              <w:pStyle w:val="83"/>
              <w:rPr>
                <w:color w:val="auto"/>
                <w:sz w:val="21"/>
                <w:szCs w:val="21"/>
              </w:rPr>
            </w:pPr>
            <w:r>
              <w:rPr>
                <w:color w:val="auto"/>
                <w:sz w:val="21"/>
                <w:szCs w:val="21"/>
              </w:rPr>
              <w:t>24h平均</w:t>
            </w:r>
          </w:p>
        </w:tc>
        <w:tc>
          <w:tcPr>
            <w:tcW w:w="559" w:type="pct"/>
            <w:vAlign w:val="center"/>
          </w:tcPr>
          <w:p>
            <w:pPr>
              <w:pStyle w:val="83"/>
              <w:rPr>
                <w:color w:val="auto"/>
                <w:sz w:val="21"/>
                <w:szCs w:val="21"/>
              </w:rPr>
            </w:pPr>
            <w:r>
              <w:rPr>
                <w:color w:val="auto"/>
                <w:sz w:val="21"/>
                <w:szCs w:val="21"/>
              </w:rPr>
              <w:t>0.0025</w:t>
            </w:r>
          </w:p>
        </w:tc>
        <w:tc>
          <w:tcPr>
            <w:tcW w:w="696" w:type="pct"/>
            <w:vAlign w:val="center"/>
          </w:tcPr>
          <w:p>
            <w:pPr>
              <w:pStyle w:val="83"/>
              <w:rPr>
                <w:color w:val="auto"/>
                <w:sz w:val="21"/>
                <w:szCs w:val="21"/>
              </w:rPr>
            </w:pPr>
            <w:r>
              <w:rPr>
                <w:rFonts w:hint="eastAsia"/>
                <w:color w:val="auto"/>
                <w:sz w:val="21"/>
                <w:szCs w:val="21"/>
              </w:rPr>
              <w:t>未检出</w:t>
            </w:r>
          </w:p>
        </w:tc>
        <w:tc>
          <w:tcPr>
            <w:tcW w:w="608" w:type="pct"/>
            <w:vAlign w:val="center"/>
          </w:tcPr>
          <w:p>
            <w:pPr>
              <w:pStyle w:val="83"/>
              <w:rPr>
                <w:color w:val="auto"/>
                <w:sz w:val="21"/>
                <w:szCs w:val="21"/>
              </w:rPr>
            </w:pPr>
            <w:r>
              <w:rPr>
                <w:rFonts w:hint="eastAsia"/>
                <w:color w:val="auto"/>
                <w:sz w:val="21"/>
                <w:szCs w:val="21"/>
              </w:rPr>
              <w:t>/</w:t>
            </w:r>
          </w:p>
        </w:tc>
        <w:tc>
          <w:tcPr>
            <w:tcW w:w="506" w:type="pct"/>
            <w:vAlign w:val="center"/>
          </w:tcPr>
          <w:p>
            <w:pPr>
              <w:pStyle w:val="83"/>
              <w:rPr>
                <w:color w:val="auto"/>
                <w:sz w:val="21"/>
                <w:szCs w:val="21"/>
              </w:rPr>
            </w:pPr>
            <w:r>
              <w:rPr>
                <w:rFonts w:hint="eastAsia"/>
                <w:color w:val="auto"/>
                <w:sz w:val="21"/>
                <w:szCs w:val="21"/>
              </w:rPr>
              <w:t>/</w:t>
            </w:r>
          </w:p>
        </w:tc>
        <w:tc>
          <w:tcPr>
            <w:tcW w:w="582" w:type="pct"/>
            <w:vAlign w:val="center"/>
          </w:tcPr>
          <w:p>
            <w:pPr>
              <w:pStyle w:val="83"/>
              <w:rPr>
                <w:color w:val="auto"/>
                <w:sz w:val="21"/>
                <w:szCs w:val="21"/>
              </w:rPr>
            </w:pPr>
            <w:r>
              <w:rPr>
                <w:rFonts w:hint="eastAsia"/>
                <w:color w:val="auto"/>
                <w:sz w:val="21"/>
                <w:szCs w:val="21"/>
              </w:rPr>
              <w:t>/</w:t>
            </w:r>
          </w:p>
        </w:tc>
      </w:tr>
    </w:tbl>
    <w:p>
      <w:pPr>
        <w:pStyle w:val="117"/>
        <w:bidi w:val="0"/>
        <w:rPr>
          <w:color w:val="auto"/>
          <w:highlight w:val="none"/>
        </w:rPr>
      </w:pPr>
      <w:r>
        <w:rPr>
          <w:color w:val="auto"/>
          <w:highlight w:val="none"/>
        </w:rPr>
        <w:t>（5）环境空气补充监测评价结论</w:t>
      </w:r>
    </w:p>
    <w:p>
      <w:pPr>
        <w:spacing w:line="360" w:lineRule="auto"/>
        <w:ind w:firstLine="480" w:firstLineChars="200"/>
        <w:contextualSpacing/>
        <w:rPr>
          <w:rFonts w:hAnsi="宋体"/>
          <w:color w:val="auto"/>
          <w:sz w:val="24"/>
        </w:rPr>
      </w:pPr>
      <w:r>
        <w:rPr>
          <w:snapToGrid w:val="0"/>
          <w:color w:val="auto"/>
          <w:sz w:val="24"/>
          <w:lang w:val="en-GB"/>
        </w:rPr>
        <w:t>根据表</w:t>
      </w:r>
      <w:r>
        <w:rPr>
          <w:rFonts w:hint="eastAsia"/>
          <w:snapToGrid w:val="0"/>
          <w:color w:val="auto"/>
          <w:sz w:val="24"/>
          <w:lang w:val="en-US" w:eastAsia="zh-CN"/>
        </w:rPr>
        <w:t>3</w:t>
      </w:r>
      <w:r>
        <w:rPr>
          <w:snapToGrid w:val="0"/>
          <w:color w:val="auto"/>
          <w:sz w:val="24"/>
          <w:lang w:val="en-GB"/>
        </w:rPr>
        <w:t>-</w:t>
      </w:r>
      <w:r>
        <w:rPr>
          <w:rFonts w:hint="eastAsia"/>
          <w:snapToGrid w:val="0"/>
          <w:color w:val="auto"/>
          <w:sz w:val="24"/>
          <w:lang w:val="en-US" w:eastAsia="zh-CN"/>
        </w:rPr>
        <w:t>4</w:t>
      </w:r>
      <w:r>
        <w:rPr>
          <w:snapToGrid w:val="0"/>
          <w:color w:val="auto"/>
          <w:sz w:val="24"/>
          <w:lang w:val="en-GB"/>
        </w:rPr>
        <w:t>，本项目补充监测的</w:t>
      </w:r>
      <w:r>
        <w:rPr>
          <w:color w:val="auto"/>
          <w:sz w:val="24"/>
        </w:rPr>
        <w:t>TSP24小时平均浓度满足《环境空气质量标准》（GB3095-20</w:t>
      </w:r>
      <w:r>
        <w:rPr>
          <w:rFonts w:hint="eastAsia"/>
          <w:color w:val="auto"/>
          <w:sz w:val="24"/>
          <w:lang w:val="en-US" w:eastAsia="zh-CN"/>
        </w:rPr>
        <w:t>26</w:t>
      </w:r>
      <w:r>
        <w:rPr>
          <w:color w:val="auto"/>
          <w:sz w:val="24"/>
        </w:rPr>
        <w:t>）二级标准要求。</w:t>
      </w:r>
      <w:r>
        <w:rPr>
          <w:snapToGrid w:val="0"/>
          <w:color w:val="auto"/>
          <w:sz w:val="24"/>
          <w:lang w:val="en-GB"/>
        </w:rPr>
        <w:t>本项目</w:t>
      </w:r>
      <w:r>
        <w:rPr>
          <w:rFonts w:hint="eastAsia"/>
          <w:snapToGrid w:val="0"/>
          <w:color w:val="auto"/>
          <w:sz w:val="24"/>
          <w:lang w:val="en-GB"/>
        </w:rPr>
        <w:t>所在区域大气环境</w:t>
      </w:r>
      <w:r>
        <w:rPr>
          <w:bCs/>
          <w:snapToGrid w:val="0"/>
          <w:color w:val="auto"/>
          <w:sz w:val="24"/>
        </w:rPr>
        <w:t>苯并[a]芘</w:t>
      </w:r>
      <w:r>
        <w:rPr>
          <w:rFonts w:hint="eastAsia"/>
          <w:snapToGrid w:val="0"/>
          <w:color w:val="auto"/>
          <w:sz w:val="24"/>
          <w:lang w:val="en-GB"/>
        </w:rPr>
        <w:t>均未检出，</w:t>
      </w:r>
      <w:r>
        <w:rPr>
          <w:rFonts w:hAnsi="宋体"/>
          <w:color w:val="auto"/>
          <w:sz w:val="24"/>
        </w:rPr>
        <w:t>满足</w:t>
      </w:r>
      <w:r>
        <w:rPr>
          <w:color w:val="auto"/>
          <w:sz w:val="24"/>
        </w:rPr>
        <w:t>《环境空气质量标准》（GB3095-20</w:t>
      </w:r>
      <w:r>
        <w:rPr>
          <w:rFonts w:hint="eastAsia"/>
          <w:color w:val="auto"/>
          <w:sz w:val="24"/>
          <w:lang w:val="en-US" w:eastAsia="zh-CN"/>
        </w:rPr>
        <w:t>26</w:t>
      </w:r>
      <w:r>
        <w:rPr>
          <w:color w:val="auto"/>
          <w:sz w:val="24"/>
        </w:rPr>
        <w:t>）二级标准要求</w:t>
      </w:r>
      <w:r>
        <w:rPr>
          <w:rFonts w:hAnsi="宋体"/>
          <w:color w:val="auto"/>
          <w:sz w:val="24"/>
        </w:rPr>
        <w:t>。</w:t>
      </w:r>
    </w:p>
    <w:p>
      <w:pPr>
        <w:pStyle w:val="3"/>
        <w:numPr>
          <w:ilvl w:val="0"/>
          <w:numId w:val="0"/>
        </w:numPr>
        <w:bidi w:val="0"/>
        <w:ind w:leftChars="0"/>
        <w:rPr>
          <w:rFonts w:hint="default" w:ascii="宋体" w:hAnsi="宋体" w:eastAsia="宋体" w:cs="Times New Roman"/>
          <w:b w:val="0"/>
          <w:bCs w:val="0"/>
          <w:color w:val="auto"/>
          <w:sz w:val="28"/>
          <w:szCs w:val="28"/>
        </w:rPr>
      </w:pPr>
      <w:bookmarkStart w:id="244" w:name="_Toc22048"/>
      <w:bookmarkStart w:id="245" w:name="_Toc4067"/>
      <w:bookmarkStart w:id="246" w:name="_Toc7350"/>
      <w:bookmarkStart w:id="247" w:name="_Toc18804"/>
      <w:bookmarkStart w:id="248" w:name="_Toc18326"/>
      <w:bookmarkStart w:id="249" w:name="_Toc8619"/>
      <w:bookmarkStart w:id="250" w:name="_Toc13721"/>
      <w:bookmarkStart w:id="251" w:name="_Toc24008"/>
      <w:bookmarkStart w:id="252" w:name="_Toc17234"/>
      <w:bookmarkStart w:id="253" w:name="_Toc11638"/>
      <w:r>
        <w:rPr>
          <w:rFonts w:hint="default" w:ascii="宋体" w:hAnsi="宋体" w:eastAsia="宋体" w:cs="Times New Roman"/>
          <w:b w:val="0"/>
          <w:bCs w:val="0"/>
          <w:color w:val="auto"/>
          <w:sz w:val="28"/>
          <w:szCs w:val="28"/>
        </w:rPr>
        <w:t>5大气环境影响预测与评价</w:t>
      </w:r>
      <w:bookmarkEnd w:id="244"/>
      <w:bookmarkEnd w:id="245"/>
      <w:bookmarkEnd w:id="246"/>
      <w:bookmarkEnd w:id="247"/>
      <w:bookmarkEnd w:id="248"/>
      <w:bookmarkEnd w:id="249"/>
      <w:bookmarkEnd w:id="250"/>
      <w:bookmarkEnd w:id="251"/>
      <w:bookmarkEnd w:id="252"/>
      <w:bookmarkEnd w:id="253"/>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54" w:name="_Toc3848"/>
      <w:bookmarkStart w:id="255" w:name="_Toc3132"/>
      <w:bookmarkStart w:id="256" w:name="_Toc32146"/>
      <w:bookmarkStart w:id="257" w:name="_Toc14952"/>
      <w:bookmarkStart w:id="258" w:name="_Toc29273"/>
      <w:r>
        <w:rPr>
          <w:rFonts w:ascii="Times New Roman" w:hAnsi="Times New Roman" w:eastAsia="宋体" w:cs="Times New Roman"/>
          <w:b w:val="0"/>
          <w:bCs/>
          <w:color w:val="auto"/>
          <w:sz w:val="24"/>
          <w:szCs w:val="24"/>
          <w:highlight w:val="none"/>
        </w:rPr>
        <w:t>5.1</w:t>
      </w:r>
      <w:bookmarkEnd w:id="254"/>
      <w:r>
        <w:rPr>
          <w:rFonts w:hint="eastAsia" w:ascii="Times New Roman" w:hAnsi="Times New Roman" w:eastAsia="宋体" w:cs="Times New Roman"/>
          <w:b w:val="0"/>
          <w:bCs/>
          <w:color w:val="auto"/>
          <w:sz w:val="24"/>
          <w:szCs w:val="24"/>
          <w:highlight w:val="none"/>
        </w:rPr>
        <w:t>达标排放分析</w:t>
      </w:r>
      <w:bookmarkEnd w:id="255"/>
      <w:bookmarkEnd w:id="256"/>
      <w:bookmarkEnd w:id="257"/>
      <w:bookmarkEnd w:id="258"/>
    </w:p>
    <w:p>
      <w:pPr>
        <w:spacing w:line="360" w:lineRule="auto"/>
        <w:ind w:firstLine="480" w:firstLineChars="200"/>
        <w:contextualSpacing/>
        <w:jc w:val="left"/>
        <w:rPr>
          <w:bCs/>
          <w:color w:val="auto"/>
          <w:sz w:val="24"/>
        </w:rPr>
      </w:pPr>
      <w:r>
        <w:rPr>
          <w:color w:val="auto"/>
          <w:sz w:val="24"/>
        </w:rPr>
        <w:t>（1）</w:t>
      </w:r>
      <w:r>
        <w:rPr>
          <w:bCs/>
          <w:color w:val="auto"/>
          <w:sz w:val="24"/>
        </w:rPr>
        <w:t>碎石加热粉尘、筛分粉尘、热料仓落料粉尘、</w:t>
      </w:r>
      <w:r>
        <w:rPr>
          <w:rFonts w:hint="eastAsia"/>
          <w:bCs/>
          <w:color w:val="auto"/>
          <w:sz w:val="24"/>
        </w:rPr>
        <w:t>矿粉筒仓装卸粉尘、</w:t>
      </w:r>
      <w:r>
        <w:rPr>
          <w:bCs/>
          <w:color w:val="auto"/>
          <w:sz w:val="24"/>
        </w:rPr>
        <w:t>燃烧器烟气、</w:t>
      </w:r>
      <w:r>
        <w:rPr>
          <w:rFonts w:hint="eastAsia"/>
          <w:bCs/>
          <w:color w:val="auto"/>
          <w:sz w:val="24"/>
        </w:rPr>
        <w:t>冷料仓上料粉尘</w:t>
      </w:r>
    </w:p>
    <w:p>
      <w:pPr>
        <w:spacing w:line="360" w:lineRule="auto"/>
        <w:ind w:firstLine="480" w:firstLineChars="200"/>
        <w:contextualSpacing/>
        <w:jc w:val="left"/>
        <w:rPr>
          <w:color w:val="auto"/>
          <w:sz w:val="24"/>
        </w:rPr>
      </w:pPr>
      <w:r>
        <w:rPr>
          <w:rFonts w:hint="eastAsia"/>
          <w:color w:val="auto"/>
          <w:sz w:val="24"/>
        </w:rPr>
        <w:t>本项目碎石筛分、烘干废气、热料仓落料废气、矿粉筒仓装卸废气、冷料仓上料废气、燃烧器烟气经除尘系统（</w:t>
      </w:r>
      <w:r>
        <w:rPr>
          <w:rFonts w:hint="eastAsia"/>
          <w:color w:val="auto"/>
          <w:sz w:val="24"/>
          <w:lang w:val="en-US" w:eastAsia="zh-CN"/>
        </w:rPr>
        <w:t>重力</w:t>
      </w:r>
      <w:r>
        <w:rPr>
          <w:rFonts w:hint="eastAsia"/>
          <w:color w:val="auto"/>
          <w:sz w:val="24"/>
          <w:lang w:eastAsia="zh-CN"/>
        </w:rPr>
        <w:t>+布袋</w:t>
      </w:r>
      <w:r>
        <w:rPr>
          <w:rFonts w:hint="eastAsia"/>
          <w:color w:val="auto"/>
          <w:sz w:val="24"/>
        </w:rPr>
        <w:t>）处理后，由</w:t>
      </w:r>
      <w:r>
        <w:rPr>
          <w:rFonts w:hint="eastAsia"/>
          <w:color w:val="auto"/>
          <w:sz w:val="24"/>
          <w:lang w:val="en-US" w:eastAsia="zh-CN"/>
        </w:rPr>
        <w:t>15</w:t>
      </w:r>
      <w:r>
        <w:rPr>
          <w:rFonts w:hint="eastAsia"/>
          <w:color w:val="auto"/>
          <w:sz w:val="24"/>
          <w:lang w:eastAsia="zh-CN"/>
        </w:rPr>
        <w:t>m</w:t>
      </w:r>
      <w:r>
        <w:rPr>
          <w:rFonts w:hint="eastAsia"/>
          <w:color w:val="auto"/>
          <w:sz w:val="24"/>
        </w:rPr>
        <w:t>高除尘系统烟囱（DA001）排放，除尘效率为99%；</w:t>
      </w:r>
      <w:r>
        <w:rPr>
          <w:color w:val="auto"/>
          <w:sz w:val="24"/>
          <w:highlight w:val="none"/>
        </w:rPr>
        <w:t>颗粒物排放浓度</w:t>
      </w:r>
      <w:r>
        <w:rPr>
          <w:rFonts w:hint="eastAsia"/>
          <w:color w:val="auto"/>
          <w:sz w:val="24"/>
          <w:highlight w:val="none"/>
          <w:lang w:val="en-US" w:eastAsia="zh-CN"/>
        </w:rPr>
        <w:t>18.4</w:t>
      </w:r>
      <w:r>
        <w:rPr>
          <w:color w:val="auto"/>
          <w:sz w:val="24"/>
          <w:highlight w:val="none"/>
        </w:rPr>
        <w:t>mg/m</w:t>
      </w:r>
      <w:r>
        <w:rPr>
          <w:color w:val="auto"/>
          <w:sz w:val="24"/>
          <w:highlight w:val="none"/>
          <w:vertAlign w:val="superscript"/>
        </w:rPr>
        <w:t>3</w:t>
      </w:r>
      <w:r>
        <w:rPr>
          <w:color w:val="auto"/>
          <w:sz w:val="24"/>
          <w:highlight w:val="none"/>
        </w:rPr>
        <w:t>，排放</w:t>
      </w:r>
      <w:r>
        <w:rPr>
          <w:rFonts w:hint="eastAsia"/>
          <w:color w:val="auto"/>
          <w:sz w:val="24"/>
          <w:highlight w:val="none"/>
        </w:rPr>
        <w:t>速率</w:t>
      </w:r>
      <w:r>
        <w:rPr>
          <w:color w:val="auto"/>
          <w:sz w:val="24"/>
          <w:highlight w:val="none"/>
        </w:rPr>
        <w:t>为</w:t>
      </w:r>
      <w:r>
        <w:rPr>
          <w:rFonts w:hint="eastAsia"/>
          <w:color w:val="auto"/>
          <w:sz w:val="24"/>
          <w:highlight w:val="none"/>
          <w:lang w:val="en-US" w:eastAsia="zh-CN"/>
        </w:rPr>
        <w:t>0.502</w:t>
      </w:r>
      <w:r>
        <w:rPr>
          <w:rFonts w:hint="eastAsia"/>
          <w:color w:val="auto"/>
          <w:sz w:val="24"/>
          <w:highlight w:val="none"/>
        </w:rPr>
        <w:t>kg</w:t>
      </w:r>
      <w:r>
        <w:rPr>
          <w:color w:val="auto"/>
          <w:sz w:val="24"/>
          <w:highlight w:val="none"/>
        </w:rPr>
        <w:t>/</w:t>
      </w:r>
      <w:r>
        <w:rPr>
          <w:rFonts w:hint="eastAsia"/>
          <w:color w:val="auto"/>
          <w:sz w:val="24"/>
          <w:highlight w:val="none"/>
        </w:rPr>
        <w:t>h</w:t>
      </w:r>
      <w:r>
        <w:rPr>
          <w:color w:val="auto"/>
          <w:sz w:val="24"/>
          <w:highlight w:val="none"/>
        </w:rPr>
        <w:t>；SO</w:t>
      </w:r>
      <w:r>
        <w:rPr>
          <w:color w:val="auto"/>
          <w:sz w:val="24"/>
          <w:highlight w:val="none"/>
          <w:vertAlign w:val="subscript"/>
        </w:rPr>
        <w:t>2</w:t>
      </w:r>
      <w:r>
        <w:rPr>
          <w:color w:val="auto"/>
          <w:sz w:val="24"/>
          <w:highlight w:val="none"/>
        </w:rPr>
        <w:t>排放浓度</w:t>
      </w:r>
      <w:r>
        <w:rPr>
          <w:rFonts w:hint="eastAsia"/>
          <w:color w:val="auto"/>
          <w:sz w:val="24"/>
          <w:highlight w:val="none"/>
        </w:rPr>
        <w:t>0.</w:t>
      </w:r>
      <w:r>
        <w:rPr>
          <w:rFonts w:hint="eastAsia"/>
          <w:color w:val="auto"/>
          <w:sz w:val="24"/>
          <w:highlight w:val="none"/>
          <w:lang w:val="en-US" w:eastAsia="zh-CN"/>
        </w:rPr>
        <w:t>44</w:t>
      </w:r>
      <w:r>
        <w:rPr>
          <w:color w:val="auto"/>
          <w:sz w:val="24"/>
          <w:highlight w:val="none"/>
        </w:rPr>
        <w:t>mg/m</w:t>
      </w:r>
      <w:r>
        <w:rPr>
          <w:color w:val="auto"/>
          <w:sz w:val="24"/>
          <w:highlight w:val="none"/>
          <w:vertAlign w:val="superscript"/>
        </w:rPr>
        <w:t>3</w:t>
      </w:r>
      <w:r>
        <w:rPr>
          <w:color w:val="auto"/>
          <w:sz w:val="24"/>
          <w:highlight w:val="none"/>
        </w:rPr>
        <w:t>，排放</w:t>
      </w:r>
      <w:r>
        <w:rPr>
          <w:rFonts w:hint="eastAsia"/>
          <w:color w:val="auto"/>
          <w:sz w:val="24"/>
          <w:highlight w:val="none"/>
        </w:rPr>
        <w:t>速率</w:t>
      </w:r>
      <w:r>
        <w:rPr>
          <w:color w:val="auto"/>
          <w:sz w:val="24"/>
          <w:highlight w:val="none"/>
        </w:rPr>
        <w:t>为</w:t>
      </w:r>
      <w:r>
        <w:rPr>
          <w:rFonts w:hint="eastAsia"/>
          <w:color w:val="auto"/>
          <w:sz w:val="24"/>
          <w:highlight w:val="none"/>
        </w:rPr>
        <w:t>0.0</w:t>
      </w:r>
      <w:r>
        <w:rPr>
          <w:rFonts w:hint="eastAsia"/>
          <w:color w:val="auto"/>
          <w:sz w:val="24"/>
          <w:highlight w:val="none"/>
          <w:lang w:val="en-US" w:eastAsia="zh-CN"/>
        </w:rPr>
        <w:t>12</w:t>
      </w:r>
      <w:r>
        <w:rPr>
          <w:rFonts w:hint="eastAsia"/>
          <w:color w:val="auto"/>
          <w:sz w:val="24"/>
          <w:highlight w:val="none"/>
        </w:rPr>
        <w:t>kg</w:t>
      </w:r>
      <w:r>
        <w:rPr>
          <w:color w:val="auto"/>
          <w:sz w:val="24"/>
          <w:highlight w:val="none"/>
        </w:rPr>
        <w:t>/</w:t>
      </w:r>
      <w:r>
        <w:rPr>
          <w:rFonts w:hint="eastAsia"/>
          <w:color w:val="auto"/>
          <w:sz w:val="24"/>
          <w:highlight w:val="none"/>
        </w:rPr>
        <w:t>h</w:t>
      </w:r>
      <w:r>
        <w:rPr>
          <w:color w:val="auto"/>
          <w:sz w:val="24"/>
          <w:highlight w:val="none"/>
        </w:rPr>
        <w:t>；NO</w:t>
      </w:r>
      <w:r>
        <w:rPr>
          <w:color w:val="auto"/>
          <w:sz w:val="24"/>
          <w:highlight w:val="none"/>
          <w:vertAlign w:val="subscript"/>
        </w:rPr>
        <w:t>X</w:t>
      </w:r>
      <w:r>
        <w:rPr>
          <w:color w:val="auto"/>
          <w:sz w:val="24"/>
          <w:highlight w:val="none"/>
        </w:rPr>
        <w:t>排放浓度</w:t>
      </w:r>
      <w:r>
        <w:rPr>
          <w:rFonts w:hint="eastAsia"/>
          <w:color w:val="auto"/>
          <w:sz w:val="24"/>
          <w:highlight w:val="none"/>
          <w:lang w:val="en-US" w:eastAsia="zh-CN"/>
        </w:rPr>
        <w:t>13.9</w:t>
      </w:r>
      <w:r>
        <w:rPr>
          <w:color w:val="auto"/>
          <w:sz w:val="24"/>
          <w:highlight w:val="none"/>
        </w:rPr>
        <w:t>mg/m</w:t>
      </w:r>
      <w:r>
        <w:rPr>
          <w:color w:val="auto"/>
          <w:sz w:val="24"/>
          <w:highlight w:val="none"/>
          <w:vertAlign w:val="superscript"/>
        </w:rPr>
        <w:t>3</w:t>
      </w:r>
      <w:r>
        <w:rPr>
          <w:color w:val="auto"/>
          <w:sz w:val="24"/>
          <w:highlight w:val="none"/>
        </w:rPr>
        <w:t>，</w:t>
      </w:r>
      <w:r>
        <w:rPr>
          <w:color w:val="auto"/>
          <w:sz w:val="24"/>
          <w:szCs w:val="24"/>
          <w:highlight w:val="none"/>
        </w:rPr>
        <w:t>排放</w:t>
      </w:r>
      <w:r>
        <w:rPr>
          <w:rFonts w:hint="eastAsia"/>
          <w:color w:val="auto"/>
          <w:sz w:val="24"/>
          <w:szCs w:val="24"/>
          <w:highlight w:val="none"/>
        </w:rPr>
        <w:t>速率</w:t>
      </w:r>
      <w:r>
        <w:rPr>
          <w:color w:val="auto"/>
          <w:sz w:val="24"/>
          <w:szCs w:val="24"/>
          <w:highlight w:val="none"/>
        </w:rPr>
        <w:t>为</w:t>
      </w:r>
      <w:r>
        <w:rPr>
          <w:rFonts w:hint="eastAsia"/>
          <w:color w:val="auto"/>
          <w:sz w:val="24"/>
          <w:szCs w:val="24"/>
          <w:highlight w:val="none"/>
        </w:rPr>
        <w:t>0.379kg</w:t>
      </w:r>
      <w:r>
        <w:rPr>
          <w:color w:val="auto"/>
          <w:sz w:val="24"/>
          <w:szCs w:val="24"/>
          <w:highlight w:val="none"/>
        </w:rPr>
        <w:t>/</w:t>
      </w:r>
      <w:r>
        <w:rPr>
          <w:rFonts w:hint="eastAsia"/>
          <w:color w:val="auto"/>
          <w:sz w:val="24"/>
          <w:szCs w:val="24"/>
          <w:highlight w:val="none"/>
        </w:rPr>
        <w:t>h</w:t>
      </w:r>
      <w:r>
        <w:rPr>
          <w:color w:val="auto"/>
          <w:sz w:val="24"/>
        </w:rPr>
        <w:t>；满足《大气污染物综合排放标准》（GB16297-1996）表2中排放标准限值。</w:t>
      </w:r>
    </w:p>
    <w:p>
      <w:pPr>
        <w:spacing w:line="360" w:lineRule="auto"/>
        <w:ind w:firstLine="480" w:firstLineChars="200"/>
        <w:contextualSpacing/>
        <w:jc w:val="left"/>
        <w:rPr>
          <w:color w:val="auto"/>
          <w:sz w:val="24"/>
        </w:rPr>
      </w:pPr>
      <w:r>
        <w:rPr>
          <w:color w:val="auto"/>
          <w:sz w:val="24"/>
        </w:rPr>
        <w:t>（2）加热沥青导热油炉烟气</w:t>
      </w:r>
    </w:p>
    <w:p>
      <w:pPr>
        <w:spacing w:line="360" w:lineRule="auto"/>
        <w:ind w:firstLine="480" w:firstLineChars="200"/>
        <w:contextualSpacing/>
        <w:jc w:val="left"/>
        <w:rPr>
          <w:color w:val="auto"/>
          <w:sz w:val="24"/>
        </w:rPr>
      </w:pPr>
      <w:r>
        <w:rPr>
          <w:color w:val="auto"/>
          <w:sz w:val="24"/>
        </w:rPr>
        <w:t>本项目加热沥青热源由</w:t>
      </w:r>
      <w:r>
        <w:rPr>
          <w:rFonts w:hint="eastAsia"/>
          <w:color w:val="auto"/>
          <w:sz w:val="24"/>
        </w:rPr>
        <w:t>1台导热油炉</w:t>
      </w:r>
      <w:r>
        <w:rPr>
          <w:color w:val="auto"/>
          <w:sz w:val="24"/>
        </w:rPr>
        <w:t>提供，</w:t>
      </w:r>
      <w:r>
        <w:rPr>
          <w:rFonts w:hint="eastAsia"/>
          <w:color w:val="auto"/>
          <w:sz w:val="24"/>
        </w:rPr>
        <w:t>导热油炉</w:t>
      </w:r>
      <w:r>
        <w:rPr>
          <w:rFonts w:hint="eastAsia" w:eastAsiaTheme="minorEastAsia"/>
          <w:bCs/>
          <w:color w:val="auto"/>
          <w:sz w:val="24"/>
          <w:szCs w:val="24"/>
          <w:lang w:val="en-US" w:eastAsia="zh-CN"/>
        </w:rPr>
        <w:t>燃料</w:t>
      </w:r>
      <w:r>
        <w:rPr>
          <w:rFonts w:hint="eastAsia"/>
          <w:snapToGrid w:val="0"/>
          <w:color w:val="auto"/>
          <w:spacing w:val="0"/>
          <w:kern w:val="0"/>
          <w:sz w:val="24"/>
          <w:szCs w:val="24"/>
          <w:lang w:val="en-US" w:eastAsia="zh-CN"/>
        </w:rPr>
        <w:t>为低硫油、设置低氮燃烧器和布袋除尘器</w:t>
      </w:r>
      <w:r>
        <w:rPr>
          <w:rFonts w:hint="eastAsia"/>
          <w:snapToGrid w:val="0"/>
          <w:color w:val="auto"/>
          <w:spacing w:val="0"/>
          <w:kern w:val="0"/>
          <w:sz w:val="21"/>
          <w:szCs w:val="21"/>
          <w:lang w:val="en-US" w:eastAsia="zh-CN"/>
        </w:rPr>
        <w:t>，</w:t>
      </w:r>
      <w:r>
        <w:rPr>
          <w:rFonts w:hint="eastAsia"/>
          <w:color w:val="auto"/>
          <w:sz w:val="24"/>
        </w:rPr>
        <w:t>烟气由1根</w:t>
      </w:r>
      <w:r>
        <w:rPr>
          <w:rFonts w:hint="eastAsia"/>
          <w:color w:val="auto"/>
          <w:sz w:val="24"/>
          <w:lang w:val="en-US" w:eastAsia="zh-CN"/>
        </w:rPr>
        <w:t>15</w:t>
      </w:r>
      <w:r>
        <w:rPr>
          <w:rFonts w:hint="eastAsia"/>
          <w:color w:val="auto"/>
          <w:sz w:val="24"/>
          <w:lang w:eastAsia="zh-CN"/>
        </w:rPr>
        <w:t>m</w:t>
      </w:r>
      <w:r>
        <w:rPr>
          <w:rFonts w:hint="eastAsia"/>
          <w:color w:val="auto"/>
          <w:sz w:val="24"/>
        </w:rPr>
        <w:t>高排气筒（DA002）排放</w:t>
      </w:r>
      <w:r>
        <w:rPr>
          <w:color w:val="auto"/>
          <w:sz w:val="24"/>
        </w:rPr>
        <w:t>。颗粒物排放浓度</w:t>
      </w:r>
      <w:r>
        <w:rPr>
          <w:rFonts w:hint="eastAsia"/>
          <w:color w:val="auto"/>
          <w:sz w:val="24"/>
          <w:lang w:val="en-US" w:eastAsia="zh-CN"/>
        </w:rPr>
        <w:t>0.02</w:t>
      </w:r>
      <w:r>
        <w:rPr>
          <w:color w:val="auto"/>
          <w:sz w:val="24"/>
        </w:rPr>
        <w:t>mg/m</w:t>
      </w:r>
      <w:r>
        <w:rPr>
          <w:color w:val="auto"/>
          <w:sz w:val="24"/>
          <w:vertAlign w:val="superscript"/>
        </w:rPr>
        <w:t>3</w:t>
      </w:r>
      <w:r>
        <w:rPr>
          <w:color w:val="auto"/>
          <w:sz w:val="24"/>
        </w:rPr>
        <w:t>，SO</w:t>
      </w:r>
      <w:r>
        <w:rPr>
          <w:color w:val="auto"/>
          <w:sz w:val="24"/>
          <w:vertAlign w:val="subscript"/>
        </w:rPr>
        <w:t>2</w:t>
      </w:r>
      <w:r>
        <w:rPr>
          <w:color w:val="auto"/>
          <w:sz w:val="24"/>
        </w:rPr>
        <w:t>排放浓度</w:t>
      </w:r>
      <w:r>
        <w:rPr>
          <w:rFonts w:hint="eastAsia"/>
          <w:color w:val="auto"/>
          <w:sz w:val="24"/>
          <w:lang w:val="en-US" w:eastAsia="zh-CN"/>
        </w:rPr>
        <w:t>52.1</w:t>
      </w:r>
      <w:r>
        <w:rPr>
          <w:color w:val="auto"/>
          <w:sz w:val="24"/>
        </w:rPr>
        <w:t>mg/m</w:t>
      </w:r>
      <w:r>
        <w:rPr>
          <w:color w:val="auto"/>
          <w:sz w:val="24"/>
          <w:vertAlign w:val="superscript"/>
        </w:rPr>
        <w:t>3</w:t>
      </w:r>
      <w:r>
        <w:rPr>
          <w:color w:val="auto"/>
          <w:sz w:val="24"/>
        </w:rPr>
        <w:t>，NO</w:t>
      </w:r>
      <w:r>
        <w:rPr>
          <w:color w:val="auto"/>
          <w:sz w:val="24"/>
          <w:vertAlign w:val="subscript"/>
        </w:rPr>
        <w:t>X</w:t>
      </w:r>
      <w:r>
        <w:rPr>
          <w:color w:val="auto"/>
          <w:sz w:val="24"/>
        </w:rPr>
        <w:t>排放浓度</w:t>
      </w:r>
      <w:r>
        <w:rPr>
          <w:rFonts w:hint="eastAsia"/>
          <w:color w:val="auto"/>
          <w:sz w:val="24"/>
          <w:lang w:val="en-US" w:eastAsia="zh-CN"/>
        </w:rPr>
        <w:t>70</w:t>
      </w:r>
      <w:r>
        <w:rPr>
          <w:color w:val="auto"/>
          <w:sz w:val="24"/>
        </w:rPr>
        <w:t>mg/m</w:t>
      </w:r>
      <w:r>
        <w:rPr>
          <w:color w:val="auto"/>
          <w:sz w:val="24"/>
          <w:vertAlign w:val="superscript"/>
        </w:rPr>
        <w:t>3</w:t>
      </w:r>
      <w:r>
        <w:rPr>
          <w:color w:val="auto"/>
          <w:sz w:val="24"/>
        </w:rPr>
        <w:t>，</w:t>
      </w:r>
      <w:r>
        <w:rPr>
          <w:rFonts w:hint="eastAsia"/>
          <w:color w:val="auto"/>
          <w:sz w:val="24"/>
        </w:rPr>
        <w:t>烟气黑度＜1；</w:t>
      </w:r>
      <w:r>
        <w:rPr>
          <w:color w:val="auto"/>
          <w:sz w:val="24"/>
        </w:rPr>
        <w:t>颗粒物、二氧化硫、氮氧化物及烟气黑度均满足《锅炉大气污染物排放标准》（GB13271-2014）表</w:t>
      </w:r>
      <w:r>
        <w:rPr>
          <w:rFonts w:hint="eastAsia"/>
          <w:color w:val="auto"/>
          <w:sz w:val="24"/>
        </w:rPr>
        <w:t>2</w:t>
      </w:r>
      <w:r>
        <w:rPr>
          <w:color w:val="auto"/>
          <w:sz w:val="24"/>
        </w:rPr>
        <w:t>燃</w:t>
      </w:r>
      <w:r>
        <w:rPr>
          <w:rFonts w:hint="eastAsia"/>
          <w:color w:val="auto"/>
          <w:sz w:val="24"/>
          <w:lang w:val="en-US" w:eastAsia="zh-CN"/>
        </w:rPr>
        <w:t>油</w:t>
      </w:r>
      <w:r>
        <w:rPr>
          <w:color w:val="auto"/>
          <w:sz w:val="24"/>
        </w:rPr>
        <w:t>锅炉大气污染物排放限值标准。</w:t>
      </w:r>
    </w:p>
    <w:p>
      <w:pPr>
        <w:spacing w:line="360" w:lineRule="auto"/>
        <w:ind w:firstLine="480" w:firstLineChars="200"/>
        <w:contextualSpacing/>
        <w:jc w:val="left"/>
        <w:rPr>
          <w:bCs/>
          <w:color w:val="auto"/>
          <w:sz w:val="24"/>
        </w:rPr>
      </w:pPr>
      <w:r>
        <w:rPr>
          <w:color w:val="auto"/>
          <w:sz w:val="24"/>
        </w:rPr>
        <w:t>（3）</w:t>
      </w:r>
      <w:r>
        <w:rPr>
          <w:bCs/>
          <w:color w:val="auto"/>
          <w:sz w:val="24"/>
        </w:rPr>
        <w:t>沥青烟气</w:t>
      </w:r>
    </w:p>
    <w:p>
      <w:pPr>
        <w:pStyle w:val="33"/>
        <w:spacing w:after="0" w:line="360" w:lineRule="auto"/>
        <w:ind w:left="0" w:leftChars="0" w:firstLine="480"/>
        <w:rPr>
          <w:color w:val="auto"/>
          <w:sz w:val="24"/>
        </w:rPr>
      </w:pPr>
      <w:r>
        <w:rPr>
          <w:bCs/>
          <w:color w:val="auto"/>
          <w:sz w:val="24"/>
        </w:rPr>
        <w:t>本项目在沥青混凝土拌和、沥青储罐处会产生沥青烟气、苯并[a]芘和</w:t>
      </w:r>
      <w:r>
        <w:rPr>
          <w:color w:val="auto"/>
          <w:sz w:val="24"/>
        </w:rPr>
        <w:t>非甲烷总烃</w:t>
      </w:r>
      <w:r>
        <w:rPr>
          <w:bCs/>
          <w:color w:val="auto"/>
          <w:sz w:val="24"/>
        </w:rPr>
        <w:t>，本项目搅拌机出料口处进行</w:t>
      </w:r>
      <w:r>
        <w:rPr>
          <w:rFonts w:hint="eastAsia"/>
          <w:bCs/>
          <w:color w:val="auto"/>
          <w:sz w:val="24"/>
          <w:lang w:val="en-US" w:eastAsia="zh-CN"/>
        </w:rPr>
        <w:t>负压集气</w:t>
      </w:r>
      <w:r>
        <w:rPr>
          <w:bCs/>
          <w:color w:val="auto"/>
          <w:sz w:val="24"/>
        </w:rPr>
        <w:t>（收集效率9</w:t>
      </w:r>
      <w:r>
        <w:rPr>
          <w:rFonts w:hint="eastAsia"/>
          <w:bCs/>
          <w:color w:val="auto"/>
          <w:sz w:val="24"/>
          <w:lang w:val="en-US" w:eastAsia="zh-CN"/>
        </w:rPr>
        <w:t>0</w:t>
      </w:r>
      <w:r>
        <w:rPr>
          <w:bCs/>
          <w:color w:val="auto"/>
          <w:sz w:val="24"/>
        </w:rPr>
        <w:t>%），</w:t>
      </w:r>
      <w:r>
        <w:rPr>
          <w:color w:val="auto"/>
          <w:sz w:val="24"/>
        </w:rPr>
        <w:t>沥青在密闭储罐中储存过程中产生的烟气以及出料产生的烟气</w:t>
      </w:r>
      <w:r>
        <w:rPr>
          <w:bCs/>
          <w:color w:val="auto"/>
          <w:sz w:val="24"/>
        </w:rPr>
        <w:t>经</w:t>
      </w:r>
      <w:r>
        <w:rPr>
          <w:rFonts w:hint="eastAsia"/>
          <w:color w:val="auto"/>
          <w:sz w:val="24"/>
          <w:lang w:eastAsia="zh-CN"/>
        </w:rPr>
        <w:t>活性炭吸附</w:t>
      </w:r>
      <w:r>
        <w:rPr>
          <w:rFonts w:hint="eastAsia"/>
          <w:color w:val="auto"/>
          <w:sz w:val="24"/>
        </w:rPr>
        <w:t>（处理效率95%）处理后，经</w:t>
      </w:r>
      <w:r>
        <w:rPr>
          <w:rFonts w:hint="eastAsia"/>
          <w:color w:val="auto"/>
          <w:sz w:val="24"/>
          <w:lang w:val="en-US" w:eastAsia="zh-CN"/>
        </w:rPr>
        <w:t>15</w:t>
      </w:r>
      <w:r>
        <w:rPr>
          <w:rFonts w:hint="eastAsia"/>
          <w:color w:val="auto"/>
          <w:sz w:val="24"/>
          <w:lang w:eastAsia="zh-CN"/>
        </w:rPr>
        <w:t>m</w:t>
      </w:r>
      <w:r>
        <w:rPr>
          <w:rFonts w:hint="eastAsia"/>
          <w:color w:val="auto"/>
          <w:sz w:val="24"/>
        </w:rPr>
        <w:t>高排气筒（DA00</w:t>
      </w:r>
      <w:r>
        <w:rPr>
          <w:rFonts w:hint="eastAsia"/>
          <w:color w:val="auto"/>
          <w:sz w:val="24"/>
          <w:lang w:val="en-US" w:eastAsia="zh-CN"/>
        </w:rPr>
        <w:t>1</w:t>
      </w:r>
      <w:r>
        <w:rPr>
          <w:rFonts w:hint="eastAsia"/>
          <w:color w:val="auto"/>
          <w:sz w:val="24"/>
        </w:rPr>
        <w:t>）排放。</w:t>
      </w:r>
      <w:r>
        <w:rPr>
          <w:color w:val="auto"/>
          <w:sz w:val="24"/>
        </w:rPr>
        <w:t>风机风量为</w:t>
      </w:r>
      <w:r>
        <w:rPr>
          <w:rFonts w:hint="eastAsia"/>
          <w:color w:val="auto"/>
          <w:sz w:val="24"/>
        </w:rPr>
        <w:t>40000</w:t>
      </w:r>
      <w:r>
        <w:rPr>
          <w:color w:val="auto"/>
          <w:sz w:val="24"/>
        </w:rPr>
        <w:t>m</w:t>
      </w:r>
      <w:r>
        <w:rPr>
          <w:color w:val="auto"/>
          <w:sz w:val="24"/>
          <w:vertAlign w:val="superscript"/>
        </w:rPr>
        <w:t>3</w:t>
      </w:r>
      <w:r>
        <w:rPr>
          <w:color w:val="auto"/>
          <w:sz w:val="24"/>
        </w:rPr>
        <w:t>/h，有组织沥青烟</w:t>
      </w:r>
      <w:r>
        <w:rPr>
          <w:rFonts w:hint="eastAsia"/>
          <w:color w:val="auto"/>
          <w:sz w:val="24"/>
        </w:rPr>
        <w:t>排放</w:t>
      </w:r>
      <w:r>
        <w:rPr>
          <w:color w:val="auto"/>
          <w:sz w:val="24"/>
        </w:rPr>
        <w:t>速率为</w:t>
      </w:r>
      <w:r>
        <w:rPr>
          <w:rFonts w:hint="eastAsia"/>
          <w:color w:val="auto"/>
          <w:sz w:val="24"/>
        </w:rPr>
        <w:t>0.0</w:t>
      </w:r>
      <w:r>
        <w:rPr>
          <w:rFonts w:hint="eastAsia"/>
          <w:color w:val="auto"/>
          <w:sz w:val="24"/>
          <w:lang w:val="en-US" w:eastAsia="zh-CN"/>
        </w:rPr>
        <w:t>18</w:t>
      </w:r>
      <w:r>
        <w:rPr>
          <w:color w:val="auto"/>
          <w:sz w:val="24"/>
        </w:rPr>
        <w:t>kg/h，</w:t>
      </w:r>
      <w:r>
        <w:rPr>
          <w:rFonts w:hint="eastAsia"/>
          <w:color w:val="auto"/>
          <w:sz w:val="24"/>
        </w:rPr>
        <w:t>排放</w:t>
      </w:r>
      <w:r>
        <w:rPr>
          <w:color w:val="auto"/>
          <w:sz w:val="24"/>
        </w:rPr>
        <w:t>浓度为</w:t>
      </w:r>
      <w:r>
        <w:rPr>
          <w:rFonts w:hint="eastAsia"/>
          <w:color w:val="auto"/>
          <w:sz w:val="24"/>
          <w:lang w:val="en-US" w:eastAsia="zh-CN"/>
        </w:rPr>
        <w:t>0.45</w:t>
      </w:r>
      <w:r>
        <w:rPr>
          <w:color w:val="auto"/>
          <w:sz w:val="24"/>
        </w:rPr>
        <w:t>mg/m</w:t>
      </w:r>
      <w:r>
        <w:rPr>
          <w:color w:val="auto"/>
          <w:sz w:val="24"/>
          <w:vertAlign w:val="superscript"/>
        </w:rPr>
        <w:t>3</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芘排放速率为</w:t>
      </w:r>
      <w:r>
        <w:rPr>
          <w:rFonts w:hint="eastAsia"/>
          <w:color w:val="auto"/>
          <w:sz w:val="24"/>
          <w:lang w:val="en-US" w:eastAsia="zh-CN"/>
        </w:rPr>
        <w:t>3.75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7</w:t>
      </w:r>
      <w:r>
        <w:rPr>
          <w:color w:val="auto"/>
          <w:sz w:val="24"/>
        </w:rPr>
        <w:t>kg/h</w:t>
      </w:r>
      <w:r>
        <w:rPr>
          <w:rFonts w:hint="eastAsia" w:ascii="宋体" w:hAnsi="宋体" w:cs="宋体"/>
          <w:color w:val="auto"/>
          <w:sz w:val="24"/>
        </w:rPr>
        <w:t>，排放浓度为</w:t>
      </w:r>
      <w:r>
        <w:rPr>
          <w:rFonts w:hint="eastAsia"/>
          <w:color w:val="auto"/>
          <w:sz w:val="24"/>
        </w:rPr>
        <w:t>0.000</w:t>
      </w:r>
      <w:r>
        <w:rPr>
          <w:rFonts w:hint="eastAsia"/>
          <w:color w:val="auto"/>
          <w:sz w:val="24"/>
          <w:lang w:val="en-US" w:eastAsia="zh-CN"/>
        </w:rPr>
        <w:t>01</w:t>
      </w:r>
      <w:r>
        <w:rPr>
          <w:color w:val="auto"/>
          <w:sz w:val="24"/>
        </w:rPr>
        <w:t>mg/m</w:t>
      </w:r>
      <w:r>
        <w:rPr>
          <w:color w:val="auto"/>
          <w:sz w:val="24"/>
          <w:vertAlign w:val="superscript"/>
        </w:rPr>
        <w:t>3</w:t>
      </w:r>
      <w:r>
        <w:rPr>
          <w:color w:val="auto"/>
          <w:sz w:val="24"/>
        </w:rPr>
        <w:t>；非甲烷总烃</w:t>
      </w:r>
      <w:r>
        <w:rPr>
          <w:rFonts w:hint="eastAsia" w:ascii="宋体" w:hAnsi="宋体" w:cs="宋体"/>
          <w:color w:val="auto"/>
          <w:sz w:val="24"/>
        </w:rPr>
        <w:t>排放速率为</w:t>
      </w:r>
      <w:r>
        <w:rPr>
          <w:rFonts w:hint="eastAsia"/>
          <w:color w:val="auto"/>
          <w:sz w:val="24"/>
        </w:rPr>
        <w:t>0.00</w:t>
      </w:r>
      <w:r>
        <w:rPr>
          <w:rFonts w:hint="eastAsia"/>
          <w:color w:val="auto"/>
          <w:sz w:val="24"/>
          <w:lang w:val="en-US" w:eastAsia="zh-CN"/>
        </w:rPr>
        <w:t>1</w:t>
      </w:r>
      <w:r>
        <w:rPr>
          <w:color w:val="auto"/>
          <w:sz w:val="24"/>
        </w:rPr>
        <w:t>kg/h</w:t>
      </w:r>
      <w:r>
        <w:rPr>
          <w:rFonts w:hint="eastAsia" w:ascii="宋体" w:hAnsi="宋体" w:cs="宋体"/>
          <w:color w:val="auto"/>
          <w:sz w:val="24"/>
        </w:rPr>
        <w:t>，排放浓度为</w:t>
      </w:r>
      <w:r>
        <w:rPr>
          <w:rFonts w:hint="eastAsia"/>
          <w:color w:val="auto"/>
          <w:sz w:val="24"/>
        </w:rPr>
        <w:t>0.0</w:t>
      </w:r>
      <w:r>
        <w:rPr>
          <w:rFonts w:hint="eastAsia"/>
          <w:color w:val="auto"/>
          <w:sz w:val="24"/>
          <w:lang w:val="en-US" w:eastAsia="zh-CN"/>
        </w:rPr>
        <w:t>25</w:t>
      </w:r>
      <w:r>
        <w:rPr>
          <w:color w:val="auto"/>
          <w:sz w:val="24"/>
        </w:rPr>
        <w:t>mg/m</w:t>
      </w:r>
      <w:r>
        <w:rPr>
          <w:color w:val="auto"/>
          <w:sz w:val="24"/>
          <w:vertAlign w:val="superscript"/>
        </w:rPr>
        <w:t>3</w:t>
      </w:r>
      <w:r>
        <w:rPr>
          <w:rFonts w:hint="eastAsia"/>
          <w:color w:val="auto"/>
          <w:sz w:val="24"/>
          <w:lang w:val="en-US" w:eastAsia="zh-CN"/>
        </w:rPr>
        <w:t>,</w:t>
      </w:r>
      <w:r>
        <w:rPr>
          <w:color w:val="auto"/>
          <w:sz w:val="24"/>
        </w:rPr>
        <w:t>满足《大气污染物综合排放标准》（GB16297-1996）表2中排放标准限值。</w:t>
      </w:r>
    </w:p>
    <w:p>
      <w:pPr>
        <w:pStyle w:val="33"/>
        <w:spacing w:after="0" w:line="360" w:lineRule="auto"/>
        <w:ind w:left="0" w:leftChars="0" w:firstLine="480"/>
        <w:rPr>
          <w:color w:val="auto"/>
          <w:sz w:val="24"/>
        </w:rPr>
      </w:pPr>
      <w:r>
        <w:rPr>
          <w:color w:val="auto"/>
          <w:sz w:val="24"/>
        </w:rPr>
        <w:t>（</w:t>
      </w:r>
      <w:r>
        <w:rPr>
          <w:rFonts w:hint="eastAsia"/>
          <w:color w:val="auto"/>
          <w:sz w:val="24"/>
        </w:rPr>
        <w:t>4</w:t>
      </w:r>
      <w:r>
        <w:rPr>
          <w:color w:val="auto"/>
          <w:sz w:val="24"/>
        </w:rPr>
        <w:t>）无组织</w:t>
      </w:r>
      <w:r>
        <w:rPr>
          <w:rFonts w:hint="eastAsia"/>
          <w:color w:val="auto"/>
          <w:sz w:val="24"/>
        </w:rPr>
        <w:t>废气</w:t>
      </w:r>
    </w:p>
    <w:p>
      <w:pPr>
        <w:pStyle w:val="33"/>
        <w:spacing w:after="0" w:line="360" w:lineRule="auto"/>
        <w:ind w:left="0" w:leftChars="0" w:firstLine="480"/>
        <w:rPr>
          <w:rFonts w:hint="eastAsia" w:eastAsia="宋体"/>
          <w:color w:val="auto"/>
          <w:lang w:val="en-US" w:eastAsia="zh-CN"/>
        </w:rPr>
      </w:pPr>
      <w:r>
        <w:rPr>
          <w:color w:val="auto"/>
          <w:sz w:val="24"/>
        </w:rPr>
        <w:t>全厂</w:t>
      </w:r>
      <w:r>
        <w:rPr>
          <w:color w:val="auto"/>
          <w:sz w:val="24"/>
          <w:szCs w:val="24"/>
        </w:rPr>
        <w:t>无</w:t>
      </w:r>
      <w:r>
        <w:rPr>
          <w:rFonts w:hint="eastAsia"/>
          <w:color w:val="auto"/>
          <w:sz w:val="24"/>
          <w:szCs w:val="24"/>
        </w:rPr>
        <w:t>组织</w:t>
      </w:r>
      <w:r>
        <w:rPr>
          <w:color w:val="auto"/>
          <w:sz w:val="24"/>
          <w:szCs w:val="24"/>
        </w:rPr>
        <w:t>粉尘排放量为</w:t>
      </w:r>
      <w:r>
        <w:rPr>
          <w:rFonts w:hint="eastAsia"/>
          <w:color w:val="auto"/>
          <w:sz w:val="24"/>
          <w:szCs w:val="24"/>
        </w:rPr>
        <w:t>0.1072</w:t>
      </w:r>
      <w:r>
        <w:rPr>
          <w:rFonts w:hint="eastAsia"/>
          <w:color w:val="auto"/>
          <w:sz w:val="24"/>
          <w:szCs w:val="24"/>
          <w:lang w:val="en-US" w:eastAsia="zh-CN"/>
        </w:rPr>
        <w:t>t/a</w:t>
      </w:r>
      <w:r>
        <w:rPr>
          <w:color w:val="auto"/>
          <w:sz w:val="24"/>
          <w:szCs w:val="24"/>
        </w:rPr>
        <w:t>。</w:t>
      </w:r>
      <w:r>
        <w:rPr>
          <w:bCs/>
          <w:color w:val="auto"/>
          <w:sz w:val="24"/>
          <w:szCs w:val="24"/>
        </w:rPr>
        <w:t>经预测，</w:t>
      </w:r>
      <w:r>
        <w:rPr>
          <w:rFonts w:hint="eastAsia" w:ascii="Times New Roman" w:hAnsi="Times New Roman" w:cs="Times New Roman"/>
          <w:color w:val="auto"/>
          <w:sz w:val="24"/>
          <w:szCs w:val="24"/>
          <w:lang w:val="en-US" w:eastAsia="zh-CN"/>
        </w:rPr>
        <w:t>沥青预处理系统、拌合系统</w:t>
      </w:r>
      <w:r>
        <w:rPr>
          <w:rFonts w:hint="default" w:ascii="Times New Roman" w:hAnsi="Times New Roman" w:cs="Times New Roman"/>
          <w:color w:val="auto"/>
          <w:sz w:val="24"/>
          <w:szCs w:val="24"/>
          <w:lang w:val="en-US" w:eastAsia="zh-CN"/>
        </w:rPr>
        <w:t>无组织沥青烟</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val="en-US" w:eastAsia="zh-CN"/>
        </w:rPr>
        <w:t>量</w:t>
      </w:r>
      <w:r>
        <w:rPr>
          <w:rFonts w:hint="default" w:ascii="Times New Roman" w:hAnsi="Times New Roman" w:cs="Times New Roman"/>
          <w:color w:val="auto"/>
          <w:sz w:val="24"/>
          <w:szCs w:val="24"/>
        </w:rPr>
        <w:t>为0.0</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rPr>
        <w:t>t/a，苯并[a]芘排放量为0.00</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rPr>
        <w:t>t/a，非甲烷总烃排放量为0.0</w:t>
      </w:r>
      <w:r>
        <w:rPr>
          <w:rFonts w:hint="default" w:ascii="Times New Roman" w:hAnsi="Times New Roman" w:cs="Times New Roman"/>
          <w:color w:val="auto"/>
          <w:sz w:val="24"/>
          <w:szCs w:val="24"/>
          <w:lang w:val="en-US" w:eastAsia="zh-CN"/>
        </w:rPr>
        <w:t>027</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本项目柴油储罐</w:t>
      </w:r>
      <w:r>
        <w:rPr>
          <w:rFonts w:hint="eastAsia" w:cs="Times New Roman"/>
          <w:color w:val="auto"/>
          <w:sz w:val="24"/>
          <w:szCs w:val="24"/>
          <w:highlight w:val="none"/>
          <w:lang w:val="en-US" w:eastAsia="zh-CN"/>
        </w:rPr>
        <w:t>无组织</w:t>
      </w:r>
      <w:r>
        <w:rPr>
          <w:rFonts w:hint="default" w:ascii="Times New Roman" w:hAnsi="Times New Roman" w:cs="Times New Roman"/>
          <w:color w:val="auto"/>
          <w:sz w:val="24"/>
          <w:szCs w:val="24"/>
          <w:highlight w:val="none"/>
          <w:lang w:val="en-US" w:eastAsia="zh-CN"/>
        </w:rPr>
        <w:t>非甲烷总烃量为0.1</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bCs/>
          <w:color w:val="auto"/>
          <w:sz w:val="24"/>
          <w:szCs w:val="24"/>
        </w:rPr>
        <w:t>厂界无组织颗粒物</w:t>
      </w:r>
      <w:r>
        <w:rPr>
          <w:rFonts w:hint="eastAsia"/>
          <w:bCs/>
          <w:color w:val="auto"/>
          <w:sz w:val="24"/>
          <w:szCs w:val="24"/>
          <w:lang w:eastAsia="zh-CN"/>
        </w:rPr>
        <w:t>、</w:t>
      </w:r>
      <w:r>
        <w:rPr>
          <w:rFonts w:hint="default" w:ascii="Times New Roman" w:hAnsi="Times New Roman" w:cs="Times New Roman"/>
          <w:color w:val="auto"/>
          <w:sz w:val="24"/>
          <w:szCs w:val="24"/>
          <w:lang w:val="en-US" w:eastAsia="zh-CN"/>
        </w:rPr>
        <w:t>沥青烟</w:t>
      </w:r>
      <w:r>
        <w:rPr>
          <w:rFonts w:hint="eastAsia" w:cs="Times New Roman"/>
          <w:color w:val="auto"/>
          <w:sz w:val="24"/>
          <w:szCs w:val="24"/>
          <w:lang w:val="en-US" w:eastAsia="zh-CN"/>
        </w:rPr>
        <w:t>、</w:t>
      </w:r>
      <w:r>
        <w:rPr>
          <w:rFonts w:hint="default" w:ascii="Times New Roman" w:hAnsi="Times New Roman" w:cs="Times New Roman"/>
          <w:color w:val="auto"/>
          <w:sz w:val="24"/>
          <w:szCs w:val="24"/>
        </w:rPr>
        <w:t>苯并[a]芘</w:t>
      </w:r>
      <w:r>
        <w:rPr>
          <w:rFonts w:hint="eastAsia" w:cs="Times New Roman"/>
          <w:color w:val="auto"/>
          <w:sz w:val="24"/>
          <w:szCs w:val="24"/>
          <w:lang w:eastAsia="zh-CN"/>
        </w:rPr>
        <w:t>、</w:t>
      </w:r>
      <w:r>
        <w:rPr>
          <w:rFonts w:hint="default" w:ascii="Times New Roman" w:hAnsi="Times New Roman" w:cs="Times New Roman"/>
          <w:color w:val="auto"/>
          <w:sz w:val="24"/>
          <w:szCs w:val="24"/>
        </w:rPr>
        <w:t>非甲烷总烃</w:t>
      </w:r>
      <w:r>
        <w:rPr>
          <w:bCs/>
          <w:color w:val="auto"/>
          <w:sz w:val="24"/>
          <w:szCs w:val="24"/>
        </w:rPr>
        <w:t>排放监控值满足《大气污染物综合排放标准》（GB16297-1996）表</w:t>
      </w:r>
      <w:r>
        <w:rPr>
          <w:rFonts w:hint="eastAsia"/>
          <w:bCs/>
          <w:color w:val="auto"/>
          <w:sz w:val="24"/>
          <w:szCs w:val="24"/>
        </w:rPr>
        <w:t>2</w:t>
      </w:r>
      <w:r>
        <w:rPr>
          <w:bCs/>
          <w:color w:val="auto"/>
          <w:sz w:val="24"/>
          <w:szCs w:val="24"/>
        </w:rPr>
        <w:t>无组织排放监控浓度限值要求。</w:t>
      </w:r>
      <w:r>
        <w:rPr>
          <w:rFonts w:hint="eastAsia"/>
          <w:color w:val="auto"/>
          <w:sz w:val="24"/>
          <w:szCs w:val="24"/>
        </w:rPr>
        <w:t>厂区</w:t>
      </w:r>
      <w:r>
        <w:rPr>
          <w:color w:val="auto"/>
          <w:sz w:val="24"/>
          <w:szCs w:val="24"/>
        </w:rPr>
        <w:t>内无组织非甲烷总烃</w:t>
      </w:r>
      <w:r>
        <w:rPr>
          <w:rFonts w:hint="eastAsia"/>
          <w:color w:val="auto"/>
          <w:sz w:val="24"/>
          <w:szCs w:val="24"/>
          <w:lang w:val="en-US" w:eastAsia="zh-CN"/>
        </w:rPr>
        <w:t>满足</w:t>
      </w:r>
      <w:r>
        <w:rPr>
          <w:color w:val="auto"/>
          <w:sz w:val="24"/>
          <w:szCs w:val="24"/>
        </w:rPr>
        <w:t>《挥发性有机物无组织排放标准》（GB</w:t>
      </w:r>
      <w:r>
        <w:rPr>
          <w:rFonts w:hint="eastAsia"/>
          <w:color w:val="auto"/>
          <w:sz w:val="24"/>
          <w:szCs w:val="24"/>
        </w:rPr>
        <w:t>37822</w:t>
      </w:r>
      <w:r>
        <w:rPr>
          <w:color w:val="auto"/>
          <w:sz w:val="24"/>
          <w:szCs w:val="24"/>
        </w:rPr>
        <w:t>-20</w:t>
      </w:r>
      <w:r>
        <w:rPr>
          <w:rFonts w:hint="eastAsia"/>
          <w:color w:val="auto"/>
          <w:sz w:val="24"/>
          <w:szCs w:val="24"/>
        </w:rPr>
        <w:t>19</w:t>
      </w:r>
      <w:r>
        <w:rPr>
          <w:color w:val="auto"/>
          <w:sz w:val="24"/>
          <w:szCs w:val="24"/>
        </w:rPr>
        <w:t>）中表</w:t>
      </w:r>
      <w:r>
        <w:rPr>
          <w:rFonts w:hint="eastAsia"/>
          <w:color w:val="auto"/>
          <w:sz w:val="24"/>
          <w:szCs w:val="24"/>
        </w:rPr>
        <w:t>A.1无组织排放限值</w:t>
      </w:r>
      <w:r>
        <w:rPr>
          <w:rFonts w:hint="eastAsia"/>
          <w:color w:val="auto"/>
          <w:sz w:val="24"/>
          <w:szCs w:val="24"/>
          <w:lang w:eastAsia="zh-CN"/>
        </w:rPr>
        <w:t>。</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59" w:name="_Toc20163"/>
      <w:bookmarkStart w:id="260" w:name="_Toc3014"/>
      <w:bookmarkStart w:id="261" w:name="_Toc15081"/>
      <w:bookmarkStart w:id="262" w:name="_Toc18239"/>
      <w:r>
        <w:rPr>
          <w:rFonts w:ascii="Times New Roman" w:hAnsi="Times New Roman" w:eastAsia="宋体" w:cs="Times New Roman"/>
          <w:b w:val="0"/>
          <w:bCs/>
          <w:color w:val="auto"/>
          <w:sz w:val="24"/>
          <w:szCs w:val="24"/>
          <w:highlight w:val="none"/>
        </w:rPr>
        <w:t>5.</w:t>
      </w:r>
      <w:r>
        <w:rPr>
          <w:rFonts w:hint="eastAsia" w:ascii="Times New Roman" w:hAnsi="Times New Roman" w:eastAsia="宋体" w:cs="Times New Roman"/>
          <w:b w:val="0"/>
          <w:bCs/>
          <w:color w:val="auto"/>
          <w:sz w:val="24"/>
          <w:szCs w:val="24"/>
          <w:highlight w:val="none"/>
          <w:lang w:val="en-US" w:eastAsia="zh-CN"/>
        </w:rPr>
        <w:t>2污染物排放量核算</w:t>
      </w:r>
      <w:bookmarkEnd w:id="259"/>
      <w:bookmarkEnd w:id="260"/>
      <w:bookmarkEnd w:id="261"/>
      <w:bookmarkEnd w:id="262"/>
    </w:p>
    <w:p>
      <w:pPr>
        <w:pStyle w:val="33"/>
        <w:spacing w:after="0" w:line="360" w:lineRule="auto"/>
        <w:ind w:left="0" w:leftChars="0" w:firstLine="480"/>
        <w:rPr>
          <w:rFonts w:hint="default"/>
          <w:color w:val="auto"/>
          <w:sz w:val="24"/>
          <w:szCs w:val="24"/>
          <w:lang w:val="en-US" w:eastAsia="zh-CN"/>
        </w:rPr>
      </w:pPr>
      <w:r>
        <w:rPr>
          <w:rFonts w:hint="default"/>
          <w:color w:val="auto"/>
          <w:sz w:val="24"/>
          <w:szCs w:val="24"/>
          <w:lang w:val="en-US" w:eastAsia="zh-CN"/>
        </w:rPr>
        <w:t>根据《环境影响评价技术导则 大气环境》（HJ2.2-2018）中附录A推荐的估算模式进行计算，由估算模式计算结果可知，本项目排放污染物的最大地面空气质量浓度占标率Pmax＜10%且Pmax≥1%。因此，本项目大气环境影响评价等级为二级。根据《环境影响评价技术导则 大气环境》（HJ2.2-2018）中要求，二级评价项目不进行进一步预测与评价，只对污染物排放量进行核算。本项目大气污染物有组织排放量核算表见表5-1，无组织排放量核算表见表5-2，大气污染物年放量核算表见表5-3，污染源非正常排放量核算表见表5-4。</w:t>
      </w:r>
    </w:p>
    <w:p>
      <w:pPr>
        <w:pStyle w:val="135"/>
        <w:tabs>
          <w:tab w:val="clear" w:pos="5400"/>
        </w:tabs>
        <w:bidi w:val="0"/>
        <w:rPr>
          <w:color w:val="auto"/>
        </w:rPr>
      </w:pPr>
      <w:r>
        <w:rPr>
          <w:color w:val="auto"/>
        </w:rPr>
        <w:t>表</w:t>
      </w:r>
      <w:r>
        <w:rPr>
          <w:rFonts w:hint="eastAsia"/>
          <w:color w:val="auto"/>
          <w:lang w:val="en-US" w:eastAsia="zh-CN"/>
        </w:rPr>
        <w:t>5-1</w:t>
      </w:r>
      <w:r>
        <w:rPr>
          <w:rFonts w:hint="eastAsia"/>
          <w:color w:val="auto"/>
          <w:lang w:eastAsia="zh-CN"/>
        </w:rPr>
        <w:t xml:space="preserve"> </w:t>
      </w:r>
      <w:r>
        <w:rPr>
          <w:color w:val="auto"/>
        </w:rPr>
        <w:t>大气污染物有组织排放量核算表</w:t>
      </w:r>
    </w:p>
    <w:tbl>
      <w:tblPr>
        <w:tblStyle w:val="34"/>
        <w:tblW w:w="50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508"/>
        <w:gridCol w:w="1702"/>
        <w:gridCol w:w="1559"/>
        <w:gridCol w:w="1419"/>
        <w:gridCol w:w="1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tcBorders>
              <w:tl2br w:val="nil"/>
              <w:tr2bl w:val="nil"/>
            </w:tcBorders>
            <w:noWrap w:val="0"/>
            <w:vAlign w:val="center"/>
          </w:tcPr>
          <w:p>
            <w:pPr>
              <w:pStyle w:val="195"/>
              <w:bidi w:val="0"/>
              <w:rPr>
                <w:color w:val="auto"/>
              </w:rPr>
            </w:pPr>
            <w:r>
              <w:rPr>
                <w:color w:val="auto"/>
              </w:rPr>
              <w:t>序号</w:t>
            </w:r>
          </w:p>
        </w:tc>
        <w:tc>
          <w:tcPr>
            <w:tcW w:w="884" w:type="pct"/>
            <w:tcBorders>
              <w:tl2br w:val="nil"/>
              <w:tr2bl w:val="nil"/>
            </w:tcBorders>
            <w:noWrap w:val="0"/>
            <w:vAlign w:val="center"/>
          </w:tcPr>
          <w:p>
            <w:pPr>
              <w:pStyle w:val="195"/>
              <w:bidi w:val="0"/>
              <w:rPr>
                <w:color w:val="auto"/>
              </w:rPr>
            </w:pPr>
            <w:r>
              <w:rPr>
                <w:color w:val="auto"/>
              </w:rPr>
              <w:t>排放口编号</w:t>
            </w:r>
          </w:p>
        </w:tc>
        <w:tc>
          <w:tcPr>
            <w:tcW w:w="998" w:type="pct"/>
            <w:tcBorders>
              <w:tl2br w:val="nil"/>
              <w:tr2bl w:val="nil"/>
            </w:tcBorders>
            <w:noWrap w:val="0"/>
            <w:vAlign w:val="center"/>
          </w:tcPr>
          <w:p>
            <w:pPr>
              <w:pStyle w:val="195"/>
              <w:bidi w:val="0"/>
              <w:rPr>
                <w:color w:val="auto"/>
              </w:rPr>
            </w:pPr>
            <w:r>
              <w:rPr>
                <w:color w:val="auto"/>
              </w:rPr>
              <w:t>污染物</w:t>
            </w:r>
          </w:p>
        </w:tc>
        <w:tc>
          <w:tcPr>
            <w:tcW w:w="914" w:type="pct"/>
            <w:tcBorders>
              <w:tl2br w:val="nil"/>
              <w:tr2bl w:val="nil"/>
            </w:tcBorders>
            <w:noWrap w:val="0"/>
            <w:vAlign w:val="center"/>
          </w:tcPr>
          <w:p>
            <w:pPr>
              <w:pStyle w:val="195"/>
              <w:bidi w:val="0"/>
              <w:rPr>
                <w:color w:val="auto"/>
              </w:rPr>
            </w:pPr>
            <w:r>
              <w:rPr>
                <w:color w:val="auto"/>
              </w:rPr>
              <w:t>核算排放浓度（</w:t>
            </w:r>
            <w:r>
              <w:rPr>
                <w:rFonts w:hint="eastAsia"/>
                <w:color w:val="auto"/>
                <w:lang w:val="en-US" w:eastAsia="zh-CN"/>
              </w:rPr>
              <w:t>m</w:t>
            </w:r>
            <w:r>
              <w:rPr>
                <w:color w:val="auto"/>
              </w:rPr>
              <w:t>g/m</w:t>
            </w:r>
            <w:r>
              <w:rPr>
                <w:color w:val="auto"/>
                <w:vertAlign w:val="superscript"/>
              </w:rPr>
              <w:t>3</w:t>
            </w:r>
            <w:r>
              <w:rPr>
                <w:color w:val="auto"/>
              </w:rPr>
              <w:t>）</w:t>
            </w:r>
          </w:p>
        </w:tc>
        <w:tc>
          <w:tcPr>
            <w:tcW w:w="832" w:type="pct"/>
            <w:tcBorders>
              <w:tl2br w:val="nil"/>
              <w:tr2bl w:val="nil"/>
            </w:tcBorders>
            <w:noWrap w:val="0"/>
            <w:vAlign w:val="center"/>
          </w:tcPr>
          <w:p>
            <w:pPr>
              <w:pStyle w:val="195"/>
              <w:bidi w:val="0"/>
              <w:rPr>
                <w:color w:val="auto"/>
              </w:rPr>
            </w:pPr>
            <w:r>
              <w:rPr>
                <w:color w:val="auto"/>
              </w:rPr>
              <w:t>核算排放速率（kg/h）</w:t>
            </w:r>
          </w:p>
        </w:tc>
        <w:tc>
          <w:tcPr>
            <w:tcW w:w="860" w:type="pct"/>
            <w:tcBorders>
              <w:tl2br w:val="nil"/>
              <w:tr2bl w:val="nil"/>
            </w:tcBorders>
            <w:noWrap w:val="0"/>
            <w:vAlign w:val="center"/>
          </w:tcPr>
          <w:p>
            <w:pPr>
              <w:pStyle w:val="195"/>
              <w:bidi w:val="0"/>
              <w:rPr>
                <w:color w:val="auto"/>
              </w:rPr>
            </w:pPr>
            <w:r>
              <w:rPr>
                <w:color w:val="auto"/>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tcBorders>
              <w:tl2br w:val="nil"/>
              <w:tr2bl w:val="nil"/>
            </w:tcBorders>
            <w:noWrap w:val="0"/>
            <w:vAlign w:val="center"/>
          </w:tcPr>
          <w:p>
            <w:pPr>
              <w:pStyle w:val="195"/>
              <w:bidi w:val="0"/>
              <w:rPr>
                <w:rFonts w:hint="eastAsia" w:eastAsia="宋体"/>
                <w:color w:val="auto"/>
                <w:lang w:val="en-US" w:eastAsia="zh-CN"/>
              </w:rPr>
            </w:pPr>
            <w:r>
              <w:rPr>
                <w:rFonts w:hint="eastAsia"/>
                <w:color w:val="auto"/>
                <w:lang w:val="en-US" w:eastAsia="zh-CN"/>
              </w:rPr>
              <w:t>1</w:t>
            </w:r>
          </w:p>
        </w:tc>
        <w:tc>
          <w:tcPr>
            <w:tcW w:w="884" w:type="pct"/>
            <w:vMerge w:val="restart"/>
            <w:tcBorders>
              <w:tl2br w:val="nil"/>
              <w:tr2bl w:val="nil"/>
            </w:tcBorders>
            <w:noWrap w:val="0"/>
            <w:vAlign w:val="center"/>
          </w:tcPr>
          <w:p>
            <w:pPr>
              <w:contextualSpacing/>
              <w:jc w:val="center"/>
              <w:rPr>
                <w:rFonts w:hint="default"/>
                <w:color w:val="auto"/>
                <w:lang w:val="en-US" w:eastAsia="zh-CN"/>
              </w:rPr>
            </w:pPr>
            <w:r>
              <w:rPr>
                <w:rFonts w:hint="eastAsia"/>
                <w:color w:val="auto"/>
                <w:sz w:val="18"/>
                <w:szCs w:val="18"/>
              </w:rPr>
              <w:t>除尘</w:t>
            </w:r>
            <w:r>
              <w:rPr>
                <w:color w:val="auto"/>
                <w:sz w:val="18"/>
                <w:szCs w:val="18"/>
              </w:rPr>
              <w:t>系统烟囱（</w:t>
            </w:r>
            <w:r>
              <w:rPr>
                <w:rFonts w:hint="eastAsia"/>
                <w:color w:val="auto"/>
                <w:sz w:val="18"/>
                <w:szCs w:val="18"/>
              </w:rPr>
              <w:t>DA001</w:t>
            </w:r>
            <w:r>
              <w:rPr>
                <w:color w:val="auto"/>
                <w:sz w:val="18"/>
                <w:szCs w:val="18"/>
              </w:rPr>
              <w:t>）</w:t>
            </w:r>
          </w:p>
        </w:tc>
        <w:tc>
          <w:tcPr>
            <w:tcW w:w="998" w:type="pct"/>
            <w:tcBorders>
              <w:tl2br w:val="nil"/>
              <w:tr2bl w:val="nil"/>
            </w:tcBorders>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kern w:val="2"/>
                <w:sz w:val="18"/>
                <w:szCs w:val="18"/>
                <w:lang w:val="en-US" w:eastAsia="zh-CN" w:bidi="ar-SA"/>
              </w:rPr>
            </w:pPr>
            <w:r>
              <w:rPr>
                <w:rFonts w:hint="eastAsia"/>
                <w:color w:val="auto"/>
                <w:lang w:val="en-US" w:eastAsia="zh-CN"/>
              </w:rPr>
              <w:t>颗粒物</w:t>
            </w:r>
          </w:p>
        </w:tc>
        <w:tc>
          <w:tcPr>
            <w:tcW w:w="914" w:type="pct"/>
            <w:tcBorders>
              <w:tl2br w:val="nil"/>
              <w:tr2bl w:val="nil"/>
            </w:tcBorders>
            <w:shd w:val="clear" w:color="auto" w:fill="auto"/>
            <w:noWrap w:val="0"/>
            <w:vAlign w:val="center"/>
          </w:tcPr>
          <w:p>
            <w:pPr>
              <w:contextualSpacing/>
              <w:jc w:val="center"/>
              <w:rPr>
                <w:rFonts w:hint="default" w:ascii="Times New Roman" w:hAnsi="Times New Roman" w:eastAsia="宋体" w:cs="Times New Roman"/>
                <w:snapToGrid w:val="0"/>
                <w:color w:val="auto"/>
                <w:kern w:val="2"/>
                <w:sz w:val="18"/>
                <w:szCs w:val="18"/>
                <w:highlight w:val="yellow"/>
                <w:lang w:val="en-US" w:eastAsia="zh-CN" w:bidi="ar-SA"/>
              </w:rPr>
            </w:pPr>
            <w:r>
              <w:rPr>
                <w:rFonts w:hint="eastAsia"/>
                <w:color w:val="auto"/>
                <w:sz w:val="18"/>
                <w:szCs w:val="18"/>
                <w:highlight w:val="none"/>
                <w:lang w:val="en-US" w:eastAsia="zh-CN"/>
              </w:rPr>
              <w:t>18.4</w:t>
            </w:r>
          </w:p>
        </w:tc>
        <w:tc>
          <w:tcPr>
            <w:tcW w:w="832" w:type="pct"/>
            <w:tcBorders>
              <w:tl2br w:val="nil"/>
              <w:tr2bl w:val="nil"/>
            </w:tcBorders>
            <w:shd w:val="clear" w:color="auto" w:fill="auto"/>
            <w:noWrap w:val="0"/>
            <w:vAlign w:val="center"/>
          </w:tcPr>
          <w:p>
            <w:pPr>
              <w:contextualSpacing/>
              <w:jc w:val="center"/>
              <w:rPr>
                <w:rFonts w:hint="default" w:eastAsia="宋体"/>
                <w:color w:val="auto"/>
                <w:highlight w:val="none"/>
                <w:lang w:val="en-US" w:eastAsia="zh-CN"/>
              </w:rPr>
            </w:pPr>
            <w:r>
              <w:rPr>
                <w:rFonts w:hint="eastAsia"/>
                <w:color w:val="auto"/>
                <w:sz w:val="18"/>
                <w:szCs w:val="18"/>
                <w:highlight w:val="none"/>
                <w:lang w:val="en-US" w:eastAsia="zh-CN"/>
              </w:rPr>
              <w:t>0.502</w:t>
            </w:r>
          </w:p>
        </w:tc>
        <w:tc>
          <w:tcPr>
            <w:tcW w:w="860" w:type="pct"/>
            <w:tcBorders>
              <w:tl2br w:val="nil"/>
              <w:tr2bl w:val="nil"/>
            </w:tcBorders>
            <w:shd w:val="clear" w:color="auto" w:fill="auto"/>
            <w:noWrap w:val="0"/>
            <w:vAlign w:val="center"/>
          </w:tcPr>
          <w:p>
            <w:pPr>
              <w:pStyle w:val="195"/>
              <w:ind w:left="0" w:leftChars="0" w:firstLine="0" w:firstLineChars="0"/>
              <w:rPr>
                <w:rFonts w:hint="default" w:eastAsia="宋体"/>
                <w:color w:val="auto"/>
                <w:highlight w:val="none"/>
                <w:lang w:val="en-US" w:eastAsia="zh-CN"/>
              </w:rPr>
            </w:pPr>
            <w:r>
              <w:rPr>
                <w:rFonts w:hint="eastAsia"/>
                <w:color w:val="auto"/>
                <w:highlight w:val="none"/>
                <w:lang w:val="en-US" w:eastAsia="zh-CN"/>
              </w:rPr>
              <w:t>0.6013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rPr>
            </w:pPr>
          </w:p>
        </w:tc>
        <w:tc>
          <w:tcPr>
            <w:tcW w:w="884" w:type="pct"/>
            <w:vMerge w:val="continue"/>
            <w:tcBorders>
              <w:tl2br w:val="nil"/>
              <w:tr2bl w:val="nil"/>
            </w:tcBorders>
            <w:noWrap w:val="0"/>
            <w:vAlign w:val="center"/>
          </w:tcPr>
          <w:p>
            <w:pPr>
              <w:pStyle w:val="195"/>
              <w:bidi w:val="0"/>
              <w:rPr>
                <w:rFonts w:hint="eastAsia"/>
                <w:color w:val="auto"/>
                <w:lang w:val="en-US" w:eastAsia="zh-CN"/>
              </w:rPr>
            </w:pPr>
          </w:p>
        </w:tc>
        <w:tc>
          <w:tcPr>
            <w:tcW w:w="998" w:type="pct"/>
            <w:tcBorders>
              <w:tl2br w:val="nil"/>
              <w:tr2bl w:val="nil"/>
            </w:tcBorders>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eastAsia"/>
                <w:color w:val="auto"/>
                <w:lang w:val="en-US" w:eastAsia="zh-CN"/>
              </w:rPr>
              <w:t>二氧化硫</w:t>
            </w:r>
          </w:p>
        </w:tc>
        <w:tc>
          <w:tcPr>
            <w:tcW w:w="914" w:type="pct"/>
            <w:tcBorders>
              <w:tl2br w:val="nil"/>
              <w:tr2bl w:val="nil"/>
            </w:tcBorders>
            <w:shd w:val="clear" w:color="auto" w:fill="auto"/>
            <w:noWrap w:val="0"/>
            <w:vAlign w:val="center"/>
          </w:tcPr>
          <w:p>
            <w:pPr>
              <w:pStyle w:val="195"/>
              <w:ind w:left="0" w:leftChars="0" w:firstLine="0" w:firstLineChars="0"/>
              <w:rPr>
                <w:rFonts w:hint="eastAsia" w:ascii="Times New Roman" w:hAnsi="Times New Roman" w:eastAsia="宋体" w:cs="Times New Roman"/>
                <w:snapToGrid w:val="0"/>
                <w:color w:val="auto"/>
                <w:kern w:val="2"/>
                <w:sz w:val="18"/>
                <w:szCs w:val="18"/>
                <w:highlight w:val="yellow"/>
                <w:lang w:val="en-US" w:eastAsia="zh-CN" w:bidi="ar-SA"/>
              </w:rPr>
            </w:pPr>
            <w:r>
              <w:rPr>
                <w:rFonts w:hint="eastAsia"/>
                <w:color w:val="auto"/>
                <w:highlight w:val="none"/>
                <w:lang w:val="en-US" w:eastAsia="zh-CN"/>
              </w:rPr>
              <w:t>0.44</w:t>
            </w:r>
          </w:p>
        </w:tc>
        <w:tc>
          <w:tcPr>
            <w:tcW w:w="832" w:type="pct"/>
            <w:tcBorders>
              <w:tl2br w:val="nil"/>
              <w:tr2bl w:val="nil"/>
            </w:tcBorders>
            <w:shd w:val="clear" w:color="auto" w:fill="auto"/>
            <w:noWrap w:val="0"/>
            <w:vAlign w:val="center"/>
          </w:tcPr>
          <w:p>
            <w:pPr>
              <w:pStyle w:val="195"/>
              <w:ind w:left="0" w:leftChars="0" w:firstLine="0" w:firstLineChars="0"/>
              <w:rPr>
                <w:rFonts w:hint="eastAsia" w:ascii="Times New Roman" w:hAnsi="Times New Roman" w:eastAsia="宋体" w:cs="Times New Roman"/>
                <w:snapToGrid w:val="0"/>
                <w:color w:val="auto"/>
                <w:kern w:val="2"/>
                <w:sz w:val="18"/>
                <w:szCs w:val="18"/>
                <w:highlight w:val="yellow"/>
                <w:lang w:val="en-US" w:eastAsia="zh-CN" w:bidi="ar-SA"/>
              </w:rPr>
            </w:pPr>
            <w:r>
              <w:rPr>
                <w:rFonts w:hint="eastAsia"/>
                <w:color w:val="auto"/>
                <w:highlight w:val="none"/>
              </w:rPr>
              <w:t>0.01</w:t>
            </w:r>
            <w:r>
              <w:rPr>
                <w:rFonts w:hint="eastAsia"/>
                <w:color w:val="auto"/>
                <w:highlight w:val="none"/>
                <w:lang w:val="en-US" w:eastAsia="zh-CN"/>
              </w:rPr>
              <w:t>2</w:t>
            </w:r>
          </w:p>
        </w:tc>
        <w:tc>
          <w:tcPr>
            <w:tcW w:w="860" w:type="pct"/>
            <w:tcBorders>
              <w:tl2br w:val="nil"/>
              <w:tr2bl w:val="nil"/>
            </w:tcBorders>
            <w:shd w:val="clear" w:color="auto" w:fill="auto"/>
            <w:noWrap w:val="0"/>
            <w:vAlign w:val="center"/>
          </w:tcPr>
          <w:p>
            <w:pPr>
              <w:pStyle w:val="195"/>
              <w:ind w:left="0" w:leftChars="0" w:firstLine="0" w:firstLineChars="0"/>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rPr>
            </w:pPr>
          </w:p>
        </w:tc>
        <w:tc>
          <w:tcPr>
            <w:tcW w:w="884" w:type="pct"/>
            <w:vMerge w:val="continue"/>
            <w:tcBorders>
              <w:tl2br w:val="nil"/>
              <w:tr2bl w:val="nil"/>
            </w:tcBorders>
            <w:noWrap w:val="0"/>
            <w:vAlign w:val="center"/>
          </w:tcPr>
          <w:p>
            <w:pPr>
              <w:pStyle w:val="195"/>
              <w:bidi w:val="0"/>
              <w:rPr>
                <w:rFonts w:hint="eastAsia"/>
                <w:color w:val="auto"/>
                <w:lang w:val="en-US" w:eastAsia="zh-CN"/>
              </w:rPr>
            </w:pPr>
          </w:p>
        </w:tc>
        <w:tc>
          <w:tcPr>
            <w:tcW w:w="998" w:type="pct"/>
            <w:tcBorders>
              <w:tl2br w:val="nil"/>
              <w:tr2bl w:val="nil"/>
            </w:tcBorders>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2"/>
                <w:sz w:val="18"/>
                <w:szCs w:val="18"/>
                <w:lang w:val="en-US" w:eastAsia="zh-CN" w:bidi="ar-SA"/>
              </w:rPr>
            </w:pPr>
            <w:r>
              <w:rPr>
                <w:rFonts w:hint="eastAsia"/>
                <w:color w:val="auto"/>
                <w:lang w:val="en-US" w:eastAsia="zh-CN"/>
              </w:rPr>
              <w:t>氮氧化物</w:t>
            </w:r>
          </w:p>
        </w:tc>
        <w:tc>
          <w:tcPr>
            <w:tcW w:w="914" w:type="pct"/>
            <w:tcBorders>
              <w:tl2br w:val="nil"/>
              <w:tr2bl w:val="nil"/>
            </w:tcBorders>
            <w:shd w:val="clear" w:color="auto" w:fill="auto"/>
            <w:noWrap w:val="0"/>
            <w:vAlign w:val="center"/>
          </w:tcPr>
          <w:p>
            <w:pPr>
              <w:pStyle w:val="195"/>
              <w:ind w:left="0" w:leftChars="0" w:firstLine="0" w:firstLineChars="0"/>
              <w:rPr>
                <w:rFonts w:hint="eastAsia" w:ascii="Times New Roman" w:hAnsi="Times New Roman" w:eastAsia="宋体" w:cs="Times New Roman"/>
                <w:snapToGrid w:val="0"/>
                <w:color w:val="auto"/>
                <w:kern w:val="2"/>
                <w:sz w:val="18"/>
                <w:szCs w:val="18"/>
                <w:highlight w:val="yellow"/>
                <w:lang w:val="en-US" w:eastAsia="zh-CN" w:bidi="ar-SA"/>
              </w:rPr>
            </w:pPr>
            <w:r>
              <w:rPr>
                <w:rFonts w:hint="eastAsia"/>
                <w:color w:val="auto"/>
                <w:highlight w:val="none"/>
                <w:lang w:val="en-US" w:eastAsia="zh-CN"/>
              </w:rPr>
              <w:t>13.9</w:t>
            </w:r>
          </w:p>
        </w:tc>
        <w:tc>
          <w:tcPr>
            <w:tcW w:w="832" w:type="pct"/>
            <w:tcBorders>
              <w:tl2br w:val="nil"/>
              <w:tr2bl w:val="nil"/>
            </w:tcBorders>
            <w:shd w:val="clear" w:color="auto" w:fill="auto"/>
            <w:noWrap w:val="0"/>
            <w:vAlign w:val="center"/>
          </w:tcPr>
          <w:p>
            <w:pPr>
              <w:pStyle w:val="195"/>
              <w:ind w:left="0" w:leftChars="0" w:firstLine="0" w:firstLineChars="0"/>
              <w:rPr>
                <w:rFonts w:hint="eastAsia" w:ascii="Times New Roman" w:hAnsi="Times New Roman" w:eastAsia="宋体" w:cs="Times New Roman"/>
                <w:snapToGrid w:val="0"/>
                <w:color w:val="auto"/>
                <w:kern w:val="2"/>
                <w:sz w:val="18"/>
                <w:szCs w:val="18"/>
                <w:highlight w:val="yellow"/>
                <w:lang w:val="en-US" w:eastAsia="zh-CN" w:bidi="ar-SA"/>
              </w:rPr>
            </w:pPr>
            <w:r>
              <w:rPr>
                <w:rFonts w:hint="eastAsia"/>
                <w:color w:val="auto"/>
                <w:highlight w:val="none"/>
              </w:rPr>
              <w:t>0.379</w:t>
            </w:r>
          </w:p>
        </w:tc>
        <w:tc>
          <w:tcPr>
            <w:tcW w:w="860" w:type="pct"/>
            <w:tcBorders>
              <w:tl2br w:val="nil"/>
              <w:tr2bl w:val="nil"/>
            </w:tcBorders>
            <w:shd w:val="clear" w:color="auto" w:fill="auto"/>
            <w:noWrap w:val="0"/>
            <w:vAlign w:val="center"/>
          </w:tcPr>
          <w:p>
            <w:pPr>
              <w:pStyle w:val="195"/>
              <w:ind w:left="0" w:leftChars="0" w:firstLine="0" w:firstLineChars="0"/>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0.455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rPr>
            </w:pPr>
          </w:p>
        </w:tc>
        <w:tc>
          <w:tcPr>
            <w:tcW w:w="884" w:type="pct"/>
            <w:vMerge w:val="continue"/>
            <w:tcBorders>
              <w:tl2br w:val="nil"/>
              <w:tr2bl w:val="nil"/>
            </w:tcBorders>
            <w:noWrap w:val="0"/>
            <w:vAlign w:val="center"/>
          </w:tcPr>
          <w:p>
            <w:pPr>
              <w:pStyle w:val="195"/>
              <w:bidi w:val="0"/>
              <w:rPr>
                <w:rFonts w:hint="eastAsia"/>
                <w:color w:val="auto"/>
                <w:lang w:val="en-US" w:eastAsia="zh-CN"/>
              </w:rPr>
            </w:pPr>
          </w:p>
        </w:tc>
        <w:tc>
          <w:tcPr>
            <w:tcW w:w="998" w:type="pct"/>
            <w:tcBorders>
              <w:tl2br w:val="nil"/>
              <w:tr2bl w:val="nil"/>
            </w:tcBorders>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0"/>
                <w:sz w:val="18"/>
                <w:szCs w:val="18"/>
                <w:lang w:val="en-US" w:eastAsia="zh-CN" w:bidi="ar-SA"/>
              </w:rPr>
            </w:pPr>
            <w:r>
              <w:rPr>
                <w:rFonts w:hint="default"/>
                <w:color w:val="auto"/>
                <w:lang w:val="en-US" w:eastAsia="zh-CN"/>
              </w:rPr>
              <w:t>沥青烟</w:t>
            </w:r>
          </w:p>
        </w:tc>
        <w:tc>
          <w:tcPr>
            <w:tcW w:w="914" w:type="pct"/>
            <w:tcBorders>
              <w:tl2br w:val="nil"/>
              <w:tr2bl w:val="nil"/>
            </w:tcBorders>
            <w:shd w:val="clear" w:color="auto" w:fill="auto"/>
            <w:noWrap w:val="0"/>
            <w:vAlign w:val="center"/>
          </w:tcPr>
          <w:p>
            <w:pPr>
              <w:shd w:val="clear" w:color="auto" w:fill="FFFFFF"/>
              <w:contextualSpacing/>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lang w:val="en-US" w:eastAsia="zh-CN"/>
              </w:rPr>
              <w:t>0.45</w:t>
            </w:r>
          </w:p>
        </w:tc>
        <w:tc>
          <w:tcPr>
            <w:tcW w:w="832" w:type="pct"/>
            <w:tcBorders>
              <w:tl2br w:val="nil"/>
              <w:tr2bl w:val="nil"/>
            </w:tcBorders>
            <w:shd w:val="clear" w:color="auto" w:fill="auto"/>
            <w:noWrap w:val="0"/>
            <w:vAlign w:val="center"/>
          </w:tcPr>
          <w:p>
            <w:pPr>
              <w:contextualSpacing/>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rPr>
              <w:t>0.0</w:t>
            </w:r>
            <w:r>
              <w:rPr>
                <w:rFonts w:hint="eastAsia"/>
                <w:color w:val="auto"/>
                <w:sz w:val="18"/>
                <w:szCs w:val="18"/>
                <w:lang w:val="en-US" w:eastAsia="zh-CN"/>
              </w:rPr>
              <w:t>18</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0.0216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rPr>
            </w:pPr>
          </w:p>
        </w:tc>
        <w:tc>
          <w:tcPr>
            <w:tcW w:w="884" w:type="pct"/>
            <w:vMerge w:val="continue"/>
            <w:tcBorders>
              <w:tl2br w:val="nil"/>
              <w:tr2bl w:val="nil"/>
            </w:tcBorders>
            <w:noWrap w:val="0"/>
            <w:vAlign w:val="center"/>
          </w:tcPr>
          <w:p>
            <w:pPr>
              <w:pStyle w:val="195"/>
              <w:bidi w:val="0"/>
              <w:rPr>
                <w:rFonts w:hint="eastAsia"/>
                <w:color w:val="auto"/>
                <w:lang w:val="en-US" w:eastAsia="zh-CN"/>
              </w:rPr>
            </w:pPr>
          </w:p>
        </w:tc>
        <w:tc>
          <w:tcPr>
            <w:tcW w:w="998" w:type="pct"/>
            <w:tcBorders>
              <w:tl2br w:val="nil"/>
              <w:tr2bl w:val="nil"/>
            </w:tcBorders>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0"/>
                <w:sz w:val="18"/>
                <w:szCs w:val="18"/>
                <w:lang w:val="en-US" w:eastAsia="zh-CN" w:bidi="ar-SA"/>
              </w:rPr>
            </w:pPr>
            <w:r>
              <w:rPr>
                <w:rFonts w:hint="eastAsia"/>
                <w:color w:val="auto"/>
              </w:rPr>
              <w:t>苯并[</w:t>
            </w:r>
            <w:r>
              <w:rPr>
                <w:color w:val="auto"/>
              </w:rPr>
              <w:t>a]</w:t>
            </w:r>
            <w:r>
              <w:rPr>
                <w:rFonts w:hint="eastAsia"/>
                <w:color w:val="auto"/>
              </w:rPr>
              <w:t>芘</w:t>
            </w:r>
          </w:p>
        </w:tc>
        <w:tc>
          <w:tcPr>
            <w:tcW w:w="914" w:type="pct"/>
            <w:tcBorders>
              <w:tl2br w:val="nil"/>
              <w:tr2bl w:val="nil"/>
            </w:tcBorders>
            <w:shd w:val="clear" w:color="auto" w:fill="auto"/>
            <w:noWrap w:val="0"/>
            <w:vAlign w:val="center"/>
          </w:tcPr>
          <w:p>
            <w:pPr>
              <w:shd w:val="clear" w:color="auto" w:fill="FFFFFF"/>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18"/>
                <w:szCs w:val="18"/>
              </w:rPr>
              <w:t>0.000</w:t>
            </w:r>
            <w:r>
              <w:rPr>
                <w:rFonts w:hint="eastAsia"/>
                <w:color w:val="auto"/>
                <w:sz w:val="18"/>
                <w:szCs w:val="18"/>
                <w:lang w:val="en-US" w:eastAsia="zh-CN"/>
              </w:rPr>
              <w:t>01</w:t>
            </w:r>
          </w:p>
        </w:tc>
        <w:tc>
          <w:tcPr>
            <w:tcW w:w="832" w:type="pct"/>
            <w:tcBorders>
              <w:tl2br w:val="nil"/>
              <w:tr2bl w:val="nil"/>
            </w:tcBorders>
            <w:shd w:val="clear" w:color="auto" w:fill="auto"/>
            <w:noWrap w:val="0"/>
            <w:vAlign w:val="center"/>
          </w:tcPr>
          <w:p>
            <w:pPr>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18"/>
                <w:szCs w:val="18"/>
                <w:lang w:val="en-US" w:eastAsia="zh-CN"/>
              </w:rPr>
              <w:t>3.75</w:t>
            </w:r>
            <w:r>
              <w:rPr>
                <w:rFonts w:hint="eastAsia" w:ascii="宋体" w:hAnsi="宋体" w:cs="宋体"/>
                <w:color w:val="auto"/>
                <w:sz w:val="18"/>
                <w:szCs w:val="18"/>
              </w:rPr>
              <w:t>×</w:t>
            </w:r>
            <w:r>
              <w:rPr>
                <w:color w:val="auto"/>
                <w:sz w:val="18"/>
                <w:szCs w:val="18"/>
              </w:rPr>
              <w:t>10</w:t>
            </w:r>
            <w:r>
              <w:rPr>
                <w:color w:val="auto"/>
                <w:sz w:val="18"/>
                <w:szCs w:val="18"/>
                <w:vertAlign w:val="superscript"/>
              </w:rPr>
              <w:t>-</w:t>
            </w:r>
            <w:r>
              <w:rPr>
                <w:rFonts w:hint="eastAsia"/>
                <w:color w:val="auto"/>
                <w:sz w:val="18"/>
                <w:szCs w:val="18"/>
                <w:vertAlign w:val="superscript"/>
                <w:lang w:val="en-US" w:eastAsia="zh-CN"/>
              </w:rPr>
              <w:t>7</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4.5</w:t>
            </w:r>
            <w:r>
              <w:rPr>
                <w:rFonts w:hint="eastAsia" w:ascii="宋体" w:hAnsi="宋体" w:cs="宋体"/>
                <w:color w:val="auto"/>
                <w:sz w:val="18"/>
                <w:szCs w:val="18"/>
              </w:rPr>
              <w:t>×</w:t>
            </w:r>
            <w:r>
              <w:rPr>
                <w:color w:val="auto"/>
                <w:sz w:val="18"/>
                <w:szCs w:val="18"/>
              </w:rPr>
              <w:t>10</w:t>
            </w:r>
            <w:r>
              <w:rPr>
                <w:color w:val="auto"/>
                <w:sz w:val="18"/>
                <w:szCs w:val="18"/>
                <w:vertAlign w:val="superscript"/>
              </w:rPr>
              <w:t>-</w:t>
            </w:r>
            <w:r>
              <w:rPr>
                <w:rFonts w:hint="eastAsia"/>
                <w:color w:val="auto"/>
                <w:sz w:val="18"/>
                <w:szCs w:val="18"/>
                <w:vertAlign w:val="superscript"/>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rPr>
            </w:pPr>
          </w:p>
        </w:tc>
        <w:tc>
          <w:tcPr>
            <w:tcW w:w="884" w:type="pct"/>
            <w:vMerge w:val="continue"/>
            <w:tcBorders>
              <w:tl2br w:val="nil"/>
              <w:tr2bl w:val="nil"/>
            </w:tcBorders>
            <w:noWrap w:val="0"/>
            <w:vAlign w:val="center"/>
          </w:tcPr>
          <w:p>
            <w:pPr>
              <w:pStyle w:val="195"/>
              <w:bidi w:val="0"/>
              <w:rPr>
                <w:rFonts w:hint="eastAsia"/>
                <w:color w:val="auto"/>
                <w:lang w:val="en-US" w:eastAsia="zh-CN"/>
              </w:rPr>
            </w:pPr>
          </w:p>
        </w:tc>
        <w:tc>
          <w:tcPr>
            <w:tcW w:w="998" w:type="pct"/>
            <w:tcBorders>
              <w:tl2br w:val="nil"/>
              <w:tr2bl w:val="nil"/>
            </w:tcBorders>
            <w:shd w:val="clear" w:color="auto" w:fill="auto"/>
            <w:noWrap w:val="0"/>
            <w:vAlign w:val="center"/>
          </w:tcPr>
          <w:p>
            <w:pPr>
              <w:pStyle w:val="195"/>
              <w:bidi w:val="0"/>
              <w:ind w:left="0" w:leftChars="0" w:firstLine="0" w:firstLineChars="0"/>
              <w:rPr>
                <w:rFonts w:hint="eastAsia" w:ascii="Times New Roman" w:hAnsi="Times New Roman" w:eastAsia="宋体" w:cs="Times New Roman"/>
                <w:snapToGrid w:val="0"/>
                <w:color w:val="auto"/>
                <w:kern w:val="0"/>
                <w:sz w:val="18"/>
                <w:szCs w:val="18"/>
                <w:lang w:val="en-US" w:eastAsia="zh-CN" w:bidi="ar-SA"/>
              </w:rPr>
            </w:pPr>
            <w:r>
              <w:rPr>
                <w:rFonts w:hint="eastAsia"/>
                <w:color w:val="auto"/>
              </w:rPr>
              <w:t>非甲烷总烃</w:t>
            </w:r>
          </w:p>
        </w:tc>
        <w:tc>
          <w:tcPr>
            <w:tcW w:w="914" w:type="pct"/>
            <w:tcBorders>
              <w:tl2br w:val="nil"/>
              <w:tr2bl w:val="nil"/>
            </w:tcBorders>
            <w:shd w:val="clear" w:color="auto" w:fill="auto"/>
            <w:noWrap w:val="0"/>
            <w:vAlign w:val="center"/>
          </w:tcPr>
          <w:p>
            <w:pPr>
              <w:shd w:val="clear" w:color="auto" w:fill="FFFFFF"/>
              <w:contextualSpacing/>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18"/>
                <w:szCs w:val="18"/>
              </w:rPr>
              <w:t>0.0</w:t>
            </w:r>
            <w:r>
              <w:rPr>
                <w:rFonts w:hint="eastAsia"/>
                <w:color w:val="auto"/>
                <w:sz w:val="18"/>
                <w:szCs w:val="18"/>
                <w:lang w:val="en-US" w:eastAsia="zh-CN"/>
              </w:rPr>
              <w:t>25</w:t>
            </w:r>
          </w:p>
        </w:tc>
        <w:tc>
          <w:tcPr>
            <w:tcW w:w="832" w:type="pct"/>
            <w:tcBorders>
              <w:tl2br w:val="nil"/>
              <w:tr2bl w:val="nil"/>
            </w:tcBorders>
            <w:shd w:val="clear" w:color="auto" w:fill="auto"/>
            <w:noWrap w:val="0"/>
            <w:vAlign w:val="center"/>
          </w:tcPr>
          <w:p>
            <w:pPr>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18"/>
                <w:szCs w:val="18"/>
              </w:rPr>
              <w:t>0.00</w:t>
            </w:r>
            <w:r>
              <w:rPr>
                <w:rFonts w:hint="eastAsia"/>
                <w:color w:val="auto"/>
                <w:sz w:val="18"/>
                <w:szCs w:val="18"/>
                <w:lang w:val="en-US" w:eastAsia="zh-CN"/>
              </w:rPr>
              <w:t>1</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tcBorders>
              <w:tl2br w:val="nil"/>
              <w:tr2bl w:val="nil"/>
            </w:tcBorders>
            <w:noWrap w:val="0"/>
            <w:vAlign w:val="center"/>
          </w:tcPr>
          <w:p>
            <w:pPr>
              <w:pStyle w:val="195"/>
              <w:bidi w:val="0"/>
              <w:rPr>
                <w:rFonts w:hint="eastAsia" w:eastAsia="宋体"/>
                <w:color w:val="auto"/>
                <w:lang w:val="en-US" w:eastAsia="zh-CN"/>
              </w:rPr>
            </w:pPr>
            <w:r>
              <w:rPr>
                <w:rFonts w:hint="eastAsia"/>
                <w:color w:val="auto"/>
                <w:lang w:val="en-US" w:eastAsia="zh-CN"/>
              </w:rPr>
              <w:t>2</w:t>
            </w:r>
          </w:p>
        </w:tc>
        <w:tc>
          <w:tcPr>
            <w:tcW w:w="884" w:type="pct"/>
            <w:vMerge w:val="restart"/>
            <w:tcBorders>
              <w:tl2br w:val="nil"/>
              <w:tr2bl w:val="nil"/>
            </w:tcBorders>
            <w:noWrap w:val="0"/>
            <w:vAlign w:val="center"/>
          </w:tcPr>
          <w:p>
            <w:pPr>
              <w:contextualSpacing/>
              <w:jc w:val="center"/>
              <w:rPr>
                <w:rFonts w:hint="default"/>
                <w:color w:val="auto"/>
                <w:lang w:val="en-US" w:eastAsia="zh-CN"/>
              </w:rPr>
            </w:pPr>
            <w:r>
              <w:rPr>
                <w:color w:val="auto"/>
                <w:sz w:val="18"/>
                <w:szCs w:val="18"/>
              </w:rPr>
              <w:t>导热油炉烟囱（</w:t>
            </w:r>
            <w:r>
              <w:rPr>
                <w:rFonts w:hint="eastAsia"/>
                <w:color w:val="auto"/>
                <w:sz w:val="18"/>
                <w:szCs w:val="18"/>
              </w:rPr>
              <w:t>DA002</w:t>
            </w:r>
            <w:r>
              <w:rPr>
                <w:color w:val="auto"/>
                <w:sz w:val="18"/>
                <w:szCs w:val="18"/>
              </w:rPr>
              <w:t>）</w:t>
            </w:r>
          </w:p>
        </w:tc>
        <w:tc>
          <w:tcPr>
            <w:tcW w:w="998" w:type="pct"/>
            <w:tcBorders>
              <w:tl2br w:val="nil"/>
              <w:tr2bl w:val="nil"/>
            </w:tcBorders>
            <w:noWrap w:val="0"/>
            <w:vAlign w:val="center"/>
          </w:tcPr>
          <w:p>
            <w:pPr>
              <w:pStyle w:val="195"/>
              <w:bidi w:val="0"/>
              <w:rPr>
                <w:rFonts w:hint="eastAsia"/>
                <w:color w:val="auto"/>
                <w:lang w:val="en-US" w:eastAsia="zh-CN"/>
              </w:rPr>
            </w:pPr>
            <w:r>
              <w:rPr>
                <w:rFonts w:hint="eastAsia"/>
                <w:color w:val="auto"/>
              </w:rPr>
              <w:t>颗粒物</w:t>
            </w:r>
          </w:p>
        </w:tc>
        <w:tc>
          <w:tcPr>
            <w:tcW w:w="914" w:type="pct"/>
            <w:tcBorders>
              <w:tl2br w:val="nil"/>
              <w:tr2bl w:val="nil"/>
            </w:tcBorders>
            <w:noWrap w:val="0"/>
            <w:vAlign w:val="center"/>
          </w:tcPr>
          <w:p>
            <w:pPr>
              <w:contextualSpacing/>
              <w:jc w:val="center"/>
              <w:rPr>
                <w:rFonts w:hint="default"/>
                <w:color w:val="auto"/>
                <w:lang w:val="en-US"/>
              </w:rPr>
            </w:pPr>
            <w:r>
              <w:rPr>
                <w:rFonts w:hint="eastAsia"/>
                <w:color w:val="auto"/>
                <w:sz w:val="18"/>
                <w:szCs w:val="18"/>
                <w:lang w:val="en-US" w:eastAsia="zh-CN"/>
              </w:rPr>
              <w:t>0.02</w:t>
            </w:r>
          </w:p>
        </w:tc>
        <w:tc>
          <w:tcPr>
            <w:tcW w:w="832" w:type="pct"/>
            <w:tcBorders>
              <w:tl2br w:val="nil"/>
              <w:tr2bl w:val="nil"/>
            </w:tcBorders>
            <w:noWrap w:val="0"/>
            <w:vAlign w:val="center"/>
          </w:tcPr>
          <w:p>
            <w:pPr>
              <w:contextualSpacing/>
              <w:jc w:val="center"/>
              <w:rPr>
                <w:rFonts w:hint="default"/>
                <w:color w:val="auto"/>
                <w:lang w:val="en-US"/>
              </w:rPr>
            </w:pPr>
            <w:r>
              <w:rPr>
                <w:rFonts w:hint="default" w:eastAsia="宋体"/>
                <w:color w:val="auto"/>
                <w:sz w:val="18"/>
                <w:szCs w:val="18"/>
                <w:lang w:val="en-US" w:eastAsia="zh-CN"/>
              </w:rPr>
              <w:t>0.0</w:t>
            </w:r>
            <w:r>
              <w:rPr>
                <w:rFonts w:hint="eastAsia"/>
                <w:color w:val="auto"/>
                <w:sz w:val="18"/>
                <w:szCs w:val="18"/>
                <w:lang w:val="en-US" w:eastAsia="zh-CN"/>
              </w:rPr>
              <w:t>0033</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lang w:val="en-US" w:eastAsia="zh-CN"/>
              </w:rPr>
            </w:pPr>
          </w:p>
        </w:tc>
        <w:tc>
          <w:tcPr>
            <w:tcW w:w="884" w:type="pct"/>
            <w:vMerge w:val="continue"/>
            <w:tcBorders>
              <w:tl2br w:val="nil"/>
              <w:tr2bl w:val="nil"/>
            </w:tcBorders>
            <w:noWrap w:val="0"/>
            <w:vAlign w:val="center"/>
          </w:tcPr>
          <w:p>
            <w:pPr>
              <w:contextualSpacing/>
              <w:jc w:val="center"/>
              <w:rPr>
                <w:color w:val="auto"/>
                <w:sz w:val="18"/>
                <w:szCs w:val="18"/>
              </w:rPr>
            </w:pPr>
          </w:p>
        </w:tc>
        <w:tc>
          <w:tcPr>
            <w:tcW w:w="998" w:type="pct"/>
            <w:tcBorders>
              <w:tl2br w:val="nil"/>
              <w:tr2bl w:val="nil"/>
            </w:tcBorders>
            <w:noWrap w:val="0"/>
            <w:vAlign w:val="center"/>
          </w:tcPr>
          <w:p>
            <w:pPr>
              <w:pStyle w:val="195"/>
              <w:bidi w:val="0"/>
              <w:ind w:left="0" w:leftChars="0" w:firstLine="0" w:firstLineChars="0"/>
              <w:rPr>
                <w:rFonts w:hint="eastAsia"/>
                <w:color w:val="auto"/>
              </w:rPr>
            </w:pPr>
            <w:r>
              <w:rPr>
                <w:rFonts w:hint="eastAsia"/>
                <w:color w:val="auto"/>
                <w:lang w:val="en-US" w:eastAsia="zh-CN"/>
              </w:rPr>
              <w:t>二氧化硫</w:t>
            </w:r>
          </w:p>
        </w:tc>
        <w:tc>
          <w:tcPr>
            <w:tcW w:w="914" w:type="pct"/>
            <w:tcBorders>
              <w:tl2br w:val="nil"/>
              <w:tr2bl w:val="nil"/>
            </w:tcBorders>
            <w:noWrap w:val="0"/>
            <w:vAlign w:val="center"/>
          </w:tcPr>
          <w:p>
            <w:pPr>
              <w:contextualSpacing/>
              <w:jc w:val="center"/>
              <w:rPr>
                <w:rFonts w:hint="eastAsia"/>
                <w:color w:val="auto"/>
                <w:highlight w:val="none"/>
                <w:lang w:eastAsia="zh-CN"/>
              </w:rPr>
            </w:pPr>
            <w:r>
              <w:rPr>
                <w:rFonts w:hint="default" w:eastAsia="宋体"/>
                <w:color w:val="auto"/>
                <w:sz w:val="18"/>
                <w:szCs w:val="18"/>
                <w:lang w:val="en-US" w:eastAsia="zh-CN"/>
              </w:rPr>
              <w:t>52.1</w:t>
            </w:r>
          </w:p>
        </w:tc>
        <w:tc>
          <w:tcPr>
            <w:tcW w:w="832" w:type="pct"/>
            <w:tcBorders>
              <w:tl2br w:val="nil"/>
              <w:tr2bl w:val="nil"/>
            </w:tcBorders>
            <w:noWrap w:val="0"/>
            <w:vAlign w:val="center"/>
          </w:tcPr>
          <w:p>
            <w:pPr>
              <w:contextualSpacing/>
              <w:jc w:val="center"/>
              <w:rPr>
                <w:rFonts w:hint="eastAsia"/>
                <w:color w:val="auto"/>
                <w:highlight w:val="none"/>
                <w:lang w:val="en-US" w:eastAsia="zh-CN"/>
              </w:rPr>
            </w:pPr>
            <w:r>
              <w:rPr>
                <w:rFonts w:hint="default" w:eastAsia="宋体"/>
                <w:color w:val="auto"/>
                <w:sz w:val="18"/>
                <w:szCs w:val="18"/>
                <w:lang w:val="en-US" w:eastAsia="zh-CN"/>
              </w:rPr>
              <w:t>0.083</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tcBorders>
              <w:tl2br w:val="nil"/>
              <w:tr2bl w:val="nil"/>
            </w:tcBorders>
            <w:noWrap w:val="0"/>
            <w:vAlign w:val="center"/>
          </w:tcPr>
          <w:p>
            <w:pPr>
              <w:pStyle w:val="195"/>
              <w:bidi w:val="0"/>
              <w:rPr>
                <w:rFonts w:hint="eastAsia"/>
                <w:color w:val="auto"/>
                <w:lang w:val="en-US" w:eastAsia="zh-CN"/>
              </w:rPr>
            </w:pPr>
          </w:p>
        </w:tc>
        <w:tc>
          <w:tcPr>
            <w:tcW w:w="884" w:type="pct"/>
            <w:vMerge w:val="continue"/>
            <w:tcBorders>
              <w:tl2br w:val="nil"/>
              <w:tr2bl w:val="nil"/>
            </w:tcBorders>
            <w:noWrap w:val="0"/>
            <w:vAlign w:val="center"/>
          </w:tcPr>
          <w:p>
            <w:pPr>
              <w:contextualSpacing/>
              <w:jc w:val="center"/>
              <w:rPr>
                <w:color w:val="auto"/>
                <w:sz w:val="18"/>
                <w:szCs w:val="18"/>
              </w:rPr>
            </w:pPr>
          </w:p>
        </w:tc>
        <w:tc>
          <w:tcPr>
            <w:tcW w:w="998" w:type="pct"/>
            <w:tcBorders>
              <w:tl2br w:val="nil"/>
              <w:tr2bl w:val="nil"/>
            </w:tcBorders>
            <w:noWrap w:val="0"/>
            <w:vAlign w:val="center"/>
          </w:tcPr>
          <w:p>
            <w:pPr>
              <w:pStyle w:val="195"/>
              <w:bidi w:val="0"/>
              <w:ind w:left="0" w:leftChars="0" w:firstLine="0" w:firstLineChars="0"/>
              <w:rPr>
                <w:rFonts w:hint="eastAsia"/>
                <w:color w:val="auto"/>
              </w:rPr>
            </w:pPr>
            <w:r>
              <w:rPr>
                <w:rFonts w:hint="eastAsia"/>
                <w:color w:val="auto"/>
                <w:lang w:val="en-US" w:eastAsia="zh-CN"/>
              </w:rPr>
              <w:t>氮氧化物</w:t>
            </w:r>
          </w:p>
        </w:tc>
        <w:tc>
          <w:tcPr>
            <w:tcW w:w="914" w:type="pct"/>
            <w:tcBorders>
              <w:tl2br w:val="nil"/>
              <w:tr2bl w:val="nil"/>
            </w:tcBorders>
            <w:noWrap w:val="0"/>
            <w:vAlign w:val="center"/>
          </w:tcPr>
          <w:p>
            <w:pPr>
              <w:contextualSpacing/>
              <w:jc w:val="center"/>
              <w:rPr>
                <w:rFonts w:hint="eastAsia"/>
                <w:color w:val="auto"/>
                <w:highlight w:val="none"/>
                <w:lang w:eastAsia="zh-CN"/>
              </w:rPr>
            </w:pPr>
            <w:r>
              <w:rPr>
                <w:rFonts w:hint="eastAsia"/>
                <w:color w:val="auto"/>
                <w:sz w:val="18"/>
                <w:szCs w:val="18"/>
                <w:lang w:val="en-US" w:eastAsia="zh-CN"/>
              </w:rPr>
              <w:t>7</w:t>
            </w:r>
            <w:r>
              <w:rPr>
                <w:rFonts w:hint="default" w:eastAsia="宋体"/>
                <w:color w:val="auto"/>
                <w:sz w:val="18"/>
                <w:szCs w:val="18"/>
                <w:lang w:val="en-US" w:eastAsia="zh-CN"/>
              </w:rPr>
              <w:t>0</w:t>
            </w:r>
          </w:p>
        </w:tc>
        <w:tc>
          <w:tcPr>
            <w:tcW w:w="832" w:type="pct"/>
            <w:tcBorders>
              <w:tl2br w:val="nil"/>
              <w:tr2bl w:val="nil"/>
            </w:tcBorders>
            <w:noWrap w:val="0"/>
            <w:vAlign w:val="center"/>
          </w:tcPr>
          <w:p>
            <w:pPr>
              <w:contextualSpacing/>
              <w:jc w:val="center"/>
              <w:rPr>
                <w:rFonts w:hint="default"/>
                <w:color w:val="auto"/>
                <w:highlight w:val="none"/>
                <w:lang w:val="en-US" w:eastAsia="zh-CN"/>
              </w:rPr>
            </w:pPr>
            <w:r>
              <w:rPr>
                <w:rFonts w:hint="default" w:eastAsia="宋体"/>
                <w:color w:val="auto"/>
                <w:sz w:val="18"/>
                <w:szCs w:val="18"/>
                <w:lang w:val="en-US" w:eastAsia="zh-CN"/>
              </w:rPr>
              <w:t>0.1</w:t>
            </w:r>
            <w:r>
              <w:rPr>
                <w:rFonts w:hint="eastAsia"/>
                <w:color w:val="auto"/>
                <w:sz w:val="18"/>
                <w:szCs w:val="18"/>
                <w:lang w:val="en-US" w:eastAsia="zh-CN"/>
              </w:rPr>
              <w:t>12</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1394" w:type="pct"/>
            <w:gridSpan w:val="2"/>
            <w:vMerge w:val="restart"/>
            <w:tcBorders>
              <w:tl2br w:val="nil"/>
              <w:tr2bl w:val="nil"/>
            </w:tcBorders>
            <w:noWrap w:val="0"/>
            <w:vAlign w:val="center"/>
          </w:tcPr>
          <w:p>
            <w:pPr>
              <w:pStyle w:val="195"/>
              <w:bidi w:val="0"/>
              <w:rPr>
                <w:color w:val="auto"/>
              </w:rPr>
            </w:pPr>
            <w:r>
              <w:rPr>
                <w:color w:val="auto"/>
              </w:rPr>
              <w:t>有组织排放总计</w:t>
            </w:r>
          </w:p>
        </w:tc>
        <w:tc>
          <w:tcPr>
            <w:tcW w:w="2744" w:type="pct"/>
            <w:gridSpan w:val="3"/>
            <w:tcBorders>
              <w:tl2br w:val="nil"/>
              <w:tr2bl w:val="nil"/>
            </w:tcBorders>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kern w:val="2"/>
                <w:sz w:val="18"/>
                <w:szCs w:val="18"/>
                <w:lang w:val="en-US" w:eastAsia="zh-CN" w:bidi="ar-SA"/>
              </w:rPr>
            </w:pPr>
            <w:r>
              <w:rPr>
                <w:rFonts w:hint="eastAsia"/>
                <w:color w:val="auto"/>
              </w:rPr>
              <w:t>颗粒物</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color w:val="auto"/>
                <w:sz w:val="18"/>
                <w:szCs w:val="18"/>
                <w:lang w:val="en-US" w:eastAsia="zh-CN"/>
              </w:rPr>
            </w:pPr>
            <w:r>
              <w:rPr>
                <w:rFonts w:hint="eastAsia"/>
                <w:color w:val="auto"/>
                <w:sz w:val="18"/>
                <w:szCs w:val="18"/>
                <w:lang w:val="en-US" w:eastAsia="zh-CN"/>
              </w:rPr>
              <w:t>0.6233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94" w:type="pct"/>
            <w:gridSpan w:val="2"/>
            <w:vMerge w:val="continue"/>
            <w:tcBorders>
              <w:tl2br w:val="nil"/>
              <w:tr2bl w:val="nil"/>
            </w:tcBorders>
            <w:noWrap w:val="0"/>
            <w:vAlign w:val="center"/>
          </w:tcPr>
          <w:p>
            <w:pPr>
              <w:pStyle w:val="195"/>
              <w:bidi w:val="0"/>
              <w:rPr>
                <w:color w:val="auto"/>
              </w:rPr>
            </w:pPr>
          </w:p>
        </w:tc>
        <w:tc>
          <w:tcPr>
            <w:tcW w:w="2744" w:type="pct"/>
            <w:gridSpan w:val="3"/>
            <w:tcBorders>
              <w:tl2br w:val="nil"/>
              <w:tr2bl w:val="nil"/>
            </w:tcBorders>
            <w:noWrap w:val="0"/>
            <w:vAlign w:val="center"/>
          </w:tcPr>
          <w:p>
            <w:pPr>
              <w:pStyle w:val="195"/>
              <w:bidi w:val="0"/>
              <w:ind w:left="0" w:leftChars="0" w:firstLine="0" w:firstLineChars="0"/>
              <w:rPr>
                <w:color w:val="auto"/>
              </w:rPr>
            </w:pPr>
            <w:r>
              <w:rPr>
                <w:rFonts w:hint="eastAsia"/>
                <w:color w:val="auto"/>
                <w:lang w:val="en-US" w:eastAsia="zh-CN"/>
              </w:rPr>
              <w:t>二氧化硫</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eastAsia"/>
                <w:color w:val="auto"/>
                <w:sz w:val="18"/>
                <w:szCs w:val="18"/>
                <w:lang w:val="en-US" w:eastAsia="zh-CN"/>
              </w:rPr>
              <w:t>0.113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gridSpan w:val="2"/>
            <w:vMerge w:val="continue"/>
            <w:tcBorders>
              <w:tl2br w:val="nil"/>
              <w:tr2bl w:val="nil"/>
            </w:tcBorders>
            <w:noWrap w:val="0"/>
            <w:vAlign w:val="center"/>
          </w:tcPr>
          <w:p>
            <w:pPr>
              <w:pStyle w:val="195"/>
              <w:bidi w:val="0"/>
              <w:rPr>
                <w:color w:val="auto"/>
              </w:rPr>
            </w:pPr>
          </w:p>
        </w:tc>
        <w:tc>
          <w:tcPr>
            <w:tcW w:w="2744" w:type="pct"/>
            <w:gridSpan w:val="3"/>
            <w:tcBorders>
              <w:tl2br w:val="nil"/>
              <w:tr2bl w:val="nil"/>
            </w:tcBorders>
            <w:noWrap w:val="0"/>
            <w:vAlign w:val="center"/>
          </w:tcPr>
          <w:p>
            <w:pPr>
              <w:pStyle w:val="195"/>
              <w:bidi w:val="0"/>
              <w:ind w:left="0" w:leftChars="0" w:firstLine="0" w:firstLineChars="0"/>
              <w:rPr>
                <w:color w:val="auto"/>
              </w:rPr>
            </w:pPr>
            <w:r>
              <w:rPr>
                <w:rFonts w:hint="eastAsia"/>
                <w:color w:val="auto"/>
                <w:lang w:val="en-US" w:eastAsia="zh-CN"/>
              </w:rPr>
              <w:t>氮氧化物</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eastAsia"/>
                <w:color w:val="auto"/>
                <w:sz w:val="18"/>
                <w:szCs w:val="18"/>
                <w:lang w:val="en-US" w:eastAsia="zh-CN"/>
              </w:rPr>
              <w:t>0.589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gridSpan w:val="2"/>
            <w:vMerge w:val="continue"/>
            <w:tcBorders>
              <w:tl2br w:val="nil"/>
              <w:tr2bl w:val="nil"/>
            </w:tcBorders>
            <w:noWrap w:val="0"/>
            <w:vAlign w:val="center"/>
          </w:tcPr>
          <w:p>
            <w:pPr>
              <w:pStyle w:val="195"/>
              <w:bidi w:val="0"/>
              <w:rPr>
                <w:color w:val="auto"/>
              </w:rPr>
            </w:pPr>
          </w:p>
        </w:tc>
        <w:tc>
          <w:tcPr>
            <w:tcW w:w="2744" w:type="pct"/>
            <w:gridSpan w:val="3"/>
            <w:tcBorders>
              <w:tl2br w:val="nil"/>
              <w:tr2bl w:val="nil"/>
            </w:tcBorders>
            <w:noWrap w:val="0"/>
            <w:vAlign w:val="center"/>
          </w:tcPr>
          <w:p>
            <w:pPr>
              <w:pStyle w:val="195"/>
              <w:bidi w:val="0"/>
              <w:rPr>
                <w:color w:val="auto"/>
              </w:rPr>
            </w:pPr>
            <w:r>
              <w:rPr>
                <w:color w:val="auto"/>
              </w:rPr>
              <w:t>苯并</w:t>
            </w:r>
            <w:r>
              <w:rPr>
                <w:rFonts w:hint="eastAsia"/>
                <w:color w:val="auto"/>
              </w:rPr>
              <w:t>[a]</w:t>
            </w:r>
            <w:r>
              <w:rPr>
                <w:color w:val="auto"/>
              </w:rPr>
              <w:t>芘</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4.5</w:t>
            </w:r>
            <w:r>
              <w:rPr>
                <w:rFonts w:hint="eastAsia" w:ascii="宋体" w:hAnsi="宋体" w:cs="宋体"/>
                <w:color w:val="auto"/>
                <w:sz w:val="18"/>
                <w:szCs w:val="18"/>
              </w:rPr>
              <w:t>×</w:t>
            </w:r>
            <w:r>
              <w:rPr>
                <w:color w:val="auto"/>
                <w:sz w:val="18"/>
                <w:szCs w:val="18"/>
              </w:rPr>
              <w:t>10</w:t>
            </w:r>
            <w:r>
              <w:rPr>
                <w:color w:val="auto"/>
                <w:sz w:val="18"/>
                <w:szCs w:val="18"/>
                <w:vertAlign w:val="superscript"/>
              </w:rPr>
              <w:t>-</w:t>
            </w:r>
            <w:r>
              <w:rPr>
                <w:rFonts w:hint="eastAsia"/>
                <w:color w:val="auto"/>
                <w:sz w:val="18"/>
                <w:szCs w:val="18"/>
                <w:vertAlign w:val="superscript"/>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4" w:type="pct"/>
            <w:gridSpan w:val="2"/>
            <w:vMerge w:val="continue"/>
            <w:tcBorders>
              <w:tl2br w:val="nil"/>
              <w:tr2bl w:val="nil"/>
            </w:tcBorders>
            <w:noWrap w:val="0"/>
            <w:vAlign w:val="center"/>
          </w:tcPr>
          <w:p>
            <w:pPr>
              <w:pStyle w:val="195"/>
              <w:bidi w:val="0"/>
              <w:rPr>
                <w:color w:val="auto"/>
              </w:rPr>
            </w:pPr>
          </w:p>
        </w:tc>
        <w:tc>
          <w:tcPr>
            <w:tcW w:w="2744" w:type="pct"/>
            <w:gridSpan w:val="3"/>
            <w:tcBorders>
              <w:tl2br w:val="nil"/>
              <w:tr2bl w:val="nil"/>
            </w:tcBorders>
            <w:noWrap w:val="0"/>
            <w:vAlign w:val="center"/>
          </w:tcPr>
          <w:p>
            <w:pPr>
              <w:pStyle w:val="195"/>
              <w:bidi w:val="0"/>
              <w:rPr>
                <w:color w:val="auto"/>
              </w:rPr>
            </w:pPr>
            <w:r>
              <w:rPr>
                <w:color w:val="auto"/>
              </w:rPr>
              <w:t>非甲烷总烃</w:t>
            </w:r>
          </w:p>
        </w:tc>
        <w:tc>
          <w:tcPr>
            <w:tcW w:w="860"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eastAsia" w:cs="Times New Roman"/>
                <w:color w:val="auto"/>
                <w:kern w:val="2"/>
                <w:sz w:val="18"/>
                <w:szCs w:val="18"/>
                <w:highlight w:val="none"/>
                <w:lang w:val="en-US" w:eastAsia="zh-CN" w:bidi="ar-SA"/>
              </w:rPr>
              <w:t>0.0012</w:t>
            </w:r>
          </w:p>
        </w:tc>
      </w:tr>
    </w:tbl>
    <w:p>
      <w:pPr>
        <w:pStyle w:val="135"/>
        <w:tabs>
          <w:tab w:val="clear" w:pos="5400"/>
        </w:tabs>
        <w:bidi w:val="0"/>
        <w:rPr>
          <w:rFonts w:hint="eastAsia"/>
          <w:color w:val="auto"/>
        </w:rPr>
      </w:pPr>
      <w:r>
        <w:rPr>
          <w:color w:val="auto"/>
        </w:rPr>
        <w:t>表</w:t>
      </w:r>
      <w:r>
        <w:rPr>
          <w:rFonts w:hint="eastAsia"/>
          <w:color w:val="auto"/>
          <w:lang w:val="en-US" w:eastAsia="zh-CN"/>
        </w:rPr>
        <w:t>5-2</w:t>
      </w:r>
      <w:r>
        <w:rPr>
          <w:rFonts w:hint="eastAsia"/>
          <w:color w:val="auto"/>
        </w:rPr>
        <w:t xml:space="preserve"> </w:t>
      </w:r>
      <w:r>
        <w:rPr>
          <w:color w:val="auto"/>
        </w:rPr>
        <w:t>大气污染物无组织排放量核算表</w:t>
      </w: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8"/>
        <w:gridCol w:w="685"/>
        <w:gridCol w:w="1133"/>
        <w:gridCol w:w="1285"/>
        <w:gridCol w:w="1294"/>
        <w:gridCol w:w="1669"/>
        <w:gridCol w:w="1056"/>
        <w:gridCol w:w="8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 w:hRule="atLeast"/>
        </w:trPr>
        <w:tc>
          <w:tcPr>
            <w:tcW w:w="327" w:type="pct"/>
            <w:vMerge w:val="restart"/>
            <w:noWrap w:val="0"/>
            <w:vAlign w:val="center"/>
          </w:tcPr>
          <w:p>
            <w:pPr>
              <w:pStyle w:val="195"/>
              <w:bidi w:val="0"/>
              <w:rPr>
                <w:color w:val="auto"/>
              </w:rPr>
            </w:pPr>
            <w:r>
              <w:rPr>
                <w:color w:val="auto"/>
              </w:rPr>
              <w:t>序号</w:t>
            </w:r>
          </w:p>
        </w:tc>
        <w:tc>
          <w:tcPr>
            <w:tcW w:w="401" w:type="pct"/>
            <w:vMerge w:val="restart"/>
            <w:noWrap w:val="0"/>
            <w:vAlign w:val="center"/>
          </w:tcPr>
          <w:p>
            <w:pPr>
              <w:pStyle w:val="195"/>
              <w:bidi w:val="0"/>
              <w:rPr>
                <w:color w:val="auto"/>
              </w:rPr>
            </w:pPr>
            <w:r>
              <w:rPr>
                <w:color w:val="auto"/>
              </w:rPr>
              <w:t>排放口编号</w:t>
            </w:r>
          </w:p>
        </w:tc>
        <w:tc>
          <w:tcPr>
            <w:tcW w:w="664" w:type="pct"/>
            <w:vMerge w:val="restart"/>
            <w:noWrap w:val="0"/>
            <w:vAlign w:val="center"/>
          </w:tcPr>
          <w:p>
            <w:pPr>
              <w:pStyle w:val="195"/>
              <w:bidi w:val="0"/>
              <w:rPr>
                <w:color w:val="auto"/>
              </w:rPr>
            </w:pPr>
            <w:r>
              <w:rPr>
                <w:color w:val="auto"/>
              </w:rPr>
              <w:t>产污环节</w:t>
            </w:r>
          </w:p>
        </w:tc>
        <w:tc>
          <w:tcPr>
            <w:tcW w:w="753" w:type="pct"/>
            <w:vMerge w:val="restart"/>
            <w:noWrap w:val="0"/>
            <w:vAlign w:val="center"/>
          </w:tcPr>
          <w:p>
            <w:pPr>
              <w:pStyle w:val="195"/>
              <w:bidi w:val="0"/>
              <w:rPr>
                <w:color w:val="auto"/>
              </w:rPr>
            </w:pPr>
            <w:r>
              <w:rPr>
                <w:color w:val="auto"/>
              </w:rPr>
              <w:t>污染物</w:t>
            </w:r>
          </w:p>
        </w:tc>
        <w:tc>
          <w:tcPr>
            <w:tcW w:w="759" w:type="pct"/>
            <w:vMerge w:val="restart"/>
            <w:noWrap w:val="0"/>
            <w:vAlign w:val="center"/>
          </w:tcPr>
          <w:p>
            <w:pPr>
              <w:pStyle w:val="195"/>
              <w:bidi w:val="0"/>
              <w:rPr>
                <w:color w:val="auto"/>
              </w:rPr>
            </w:pPr>
            <w:r>
              <w:rPr>
                <w:color w:val="auto"/>
              </w:rPr>
              <w:t>主要污染防治措施</w:t>
            </w:r>
          </w:p>
        </w:tc>
        <w:tc>
          <w:tcPr>
            <w:tcW w:w="1598" w:type="pct"/>
            <w:gridSpan w:val="2"/>
            <w:noWrap w:val="0"/>
            <w:vAlign w:val="center"/>
          </w:tcPr>
          <w:p>
            <w:pPr>
              <w:pStyle w:val="195"/>
              <w:bidi w:val="0"/>
              <w:rPr>
                <w:color w:val="auto"/>
              </w:rPr>
            </w:pPr>
            <w:r>
              <w:rPr>
                <w:color w:val="auto"/>
              </w:rPr>
              <w:t>国家污染物排放标准</w:t>
            </w:r>
          </w:p>
        </w:tc>
        <w:tc>
          <w:tcPr>
            <w:tcW w:w="494" w:type="pct"/>
            <w:vMerge w:val="restart"/>
            <w:noWrap w:val="0"/>
            <w:vAlign w:val="center"/>
          </w:tcPr>
          <w:p>
            <w:pPr>
              <w:pStyle w:val="195"/>
              <w:bidi w:val="0"/>
              <w:rPr>
                <w:color w:val="auto"/>
              </w:rPr>
            </w:pPr>
            <w:r>
              <w:rPr>
                <w:color w:val="auto"/>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 w:hRule="atLeast"/>
        </w:trPr>
        <w:tc>
          <w:tcPr>
            <w:tcW w:w="327" w:type="pct"/>
            <w:vMerge w:val="continue"/>
            <w:noWrap w:val="0"/>
            <w:vAlign w:val="center"/>
          </w:tcPr>
          <w:p>
            <w:pPr>
              <w:pStyle w:val="195"/>
              <w:bidi w:val="0"/>
              <w:rPr>
                <w:color w:val="auto"/>
              </w:rPr>
            </w:pPr>
          </w:p>
        </w:tc>
        <w:tc>
          <w:tcPr>
            <w:tcW w:w="401" w:type="pct"/>
            <w:vMerge w:val="continue"/>
            <w:noWrap w:val="0"/>
            <w:vAlign w:val="center"/>
          </w:tcPr>
          <w:p>
            <w:pPr>
              <w:pStyle w:val="195"/>
              <w:bidi w:val="0"/>
              <w:rPr>
                <w:color w:val="auto"/>
              </w:rPr>
            </w:pPr>
          </w:p>
        </w:tc>
        <w:tc>
          <w:tcPr>
            <w:tcW w:w="664" w:type="pct"/>
            <w:vMerge w:val="continue"/>
            <w:noWrap w:val="0"/>
            <w:vAlign w:val="center"/>
          </w:tcPr>
          <w:p>
            <w:pPr>
              <w:pStyle w:val="195"/>
              <w:bidi w:val="0"/>
              <w:rPr>
                <w:color w:val="auto"/>
              </w:rPr>
            </w:pPr>
          </w:p>
        </w:tc>
        <w:tc>
          <w:tcPr>
            <w:tcW w:w="753" w:type="pct"/>
            <w:vMerge w:val="continue"/>
            <w:noWrap w:val="0"/>
            <w:vAlign w:val="center"/>
          </w:tcPr>
          <w:p>
            <w:pPr>
              <w:pStyle w:val="195"/>
              <w:bidi w:val="0"/>
              <w:rPr>
                <w:color w:val="auto"/>
              </w:rPr>
            </w:pPr>
          </w:p>
        </w:tc>
        <w:tc>
          <w:tcPr>
            <w:tcW w:w="759" w:type="pct"/>
            <w:vMerge w:val="continue"/>
            <w:noWrap w:val="0"/>
            <w:vAlign w:val="center"/>
          </w:tcPr>
          <w:p>
            <w:pPr>
              <w:pStyle w:val="195"/>
              <w:bidi w:val="0"/>
              <w:rPr>
                <w:color w:val="auto"/>
              </w:rPr>
            </w:pPr>
          </w:p>
        </w:tc>
        <w:tc>
          <w:tcPr>
            <w:tcW w:w="979" w:type="pct"/>
            <w:noWrap w:val="0"/>
            <w:vAlign w:val="center"/>
          </w:tcPr>
          <w:p>
            <w:pPr>
              <w:pStyle w:val="195"/>
              <w:bidi w:val="0"/>
              <w:rPr>
                <w:color w:val="auto"/>
              </w:rPr>
            </w:pPr>
            <w:r>
              <w:rPr>
                <w:color w:val="auto"/>
              </w:rPr>
              <w:t>标准名称</w:t>
            </w:r>
          </w:p>
        </w:tc>
        <w:tc>
          <w:tcPr>
            <w:tcW w:w="619" w:type="pct"/>
            <w:noWrap w:val="0"/>
            <w:vAlign w:val="center"/>
          </w:tcPr>
          <w:p>
            <w:pPr>
              <w:pStyle w:val="195"/>
              <w:bidi w:val="0"/>
              <w:rPr>
                <w:color w:val="auto"/>
              </w:rPr>
            </w:pPr>
            <w:r>
              <w:rPr>
                <w:color w:val="auto"/>
              </w:rPr>
              <w:t>浓度限值/(</w:t>
            </w:r>
            <w:r>
              <w:rPr>
                <w:rFonts w:hint="eastAsia"/>
                <w:color w:val="auto"/>
                <w:lang w:val="en-US" w:eastAsia="zh-CN"/>
              </w:rPr>
              <w:t>m</w:t>
            </w:r>
            <w:r>
              <w:rPr>
                <w:color w:val="auto"/>
              </w:rPr>
              <w:t>g/m</w:t>
            </w:r>
            <w:r>
              <w:rPr>
                <w:color w:val="auto"/>
                <w:vertAlign w:val="superscript"/>
              </w:rPr>
              <w:t>3</w:t>
            </w:r>
            <w:r>
              <w:rPr>
                <w:color w:val="auto"/>
              </w:rPr>
              <w:t>)</w:t>
            </w:r>
          </w:p>
        </w:tc>
        <w:tc>
          <w:tcPr>
            <w:tcW w:w="494" w:type="pct"/>
            <w:vMerge w:val="continue"/>
            <w:noWrap w:val="0"/>
            <w:vAlign w:val="center"/>
          </w:tcPr>
          <w:p>
            <w:pPr>
              <w:pStyle w:val="195"/>
              <w:bidi w:val="0"/>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noWrap w:val="0"/>
            <w:vAlign w:val="center"/>
          </w:tcPr>
          <w:p>
            <w:pPr>
              <w:pStyle w:val="195"/>
              <w:bidi w:val="0"/>
              <w:rPr>
                <w:rFonts w:hint="eastAsia" w:eastAsia="宋体"/>
                <w:color w:val="auto"/>
                <w:lang w:val="en-US" w:eastAsia="zh-CN"/>
              </w:rPr>
            </w:pPr>
            <w:r>
              <w:rPr>
                <w:rFonts w:hint="eastAsia"/>
                <w:color w:val="auto"/>
                <w:lang w:val="en-US" w:eastAsia="zh-CN"/>
              </w:rPr>
              <w:t>1</w:t>
            </w:r>
          </w:p>
        </w:tc>
        <w:tc>
          <w:tcPr>
            <w:tcW w:w="401" w:type="pct"/>
            <w:noWrap w:val="0"/>
            <w:vAlign w:val="center"/>
          </w:tcPr>
          <w:p>
            <w:pPr>
              <w:pStyle w:val="195"/>
              <w:bidi w:val="0"/>
              <w:rPr>
                <w:rFonts w:hint="eastAsia" w:eastAsia="宋体"/>
                <w:color w:val="auto"/>
                <w:lang w:val="en-US" w:eastAsia="zh-CN"/>
              </w:rPr>
            </w:pPr>
            <w:r>
              <w:rPr>
                <w:rFonts w:hint="eastAsia"/>
                <w:color w:val="auto"/>
                <w:lang w:val="en-US" w:eastAsia="zh-CN"/>
              </w:rPr>
              <w:t>/</w:t>
            </w:r>
          </w:p>
        </w:tc>
        <w:tc>
          <w:tcPr>
            <w:tcW w:w="664" w:type="pct"/>
            <w:noWrap w:val="0"/>
            <w:vAlign w:val="center"/>
          </w:tcPr>
          <w:p>
            <w:pPr>
              <w:contextualSpacing/>
              <w:jc w:val="center"/>
              <w:rPr>
                <w:rFonts w:hint="eastAsia"/>
                <w:color w:val="auto"/>
              </w:rPr>
            </w:pPr>
            <w:r>
              <w:rPr>
                <w:color w:val="auto"/>
                <w:sz w:val="18"/>
                <w:szCs w:val="18"/>
              </w:rPr>
              <w:t>堆场</w:t>
            </w:r>
          </w:p>
        </w:tc>
        <w:tc>
          <w:tcPr>
            <w:tcW w:w="753" w:type="pct"/>
            <w:noWrap w:val="0"/>
            <w:vAlign w:val="center"/>
          </w:tcPr>
          <w:p>
            <w:pPr>
              <w:contextualSpacing/>
              <w:jc w:val="center"/>
              <w:rPr>
                <w:rFonts w:hint="eastAsia"/>
                <w:color w:val="auto"/>
              </w:rPr>
            </w:pPr>
            <w:r>
              <w:rPr>
                <w:rFonts w:hAnsi="宋体"/>
                <w:color w:val="auto"/>
                <w:sz w:val="18"/>
                <w:szCs w:val="18"/>
              </w:rPr>
              <w:t>颗粒物</w:t>
            </w:r>
          </w:p>
        </w:tc>
        <w:tc>
          <w:tcPr>
            <w:tcW w:w="759" w:type="pct"/>
            <w:noWrap w:val="0"/>
            <w:vAlign w:val="center"/>
          </w:tcPr>
          <w:p>
            <w:pPr>
              <w:contextualSpacing/>
              <w:jc w:val="center"/>
              <w:rPr>
                <w:rFonts w:hint="eastAsia"/>
                <w:color w:val="auto"/>
              </w:rPr>
            </w:pPr>
            <w:r>
              <w:rPr>
                <w:rFonts w:hint="eastAsia" w:hAnsi="宋体"/>
                <w:bCs/>
                <w:color w:val="auto"/>
                <w:spacing w:val="-6"/>
                <w:sz w:val="18"/>
                <w:szCs w:val="18"/>
              </w:rPr>
              <w:t>洒水抑尘</w:t>
            </w:r>
            <w:r>
              <w:rPr>
                <w:rFonts w:hAnsi="宋体"/>
                <w:bCs/>
                <w:color w:val="auto"/>
                <w:spacing w:val="-6"/>
                <w:sz w:val="18"/>
                <w:szCs w:val="18"/>
              </w:rPr>
              <w:t>防风抑尘网</w:t>
            </w:r>
          </w:p>
        </w:tc>
        <w:tc>
          <w:tcPr>
            <w:tcW w:w="979" w:type="pct"/>
            <w:vMerge w:val="restart"/>
            <w:shd w:val="clear" w:color="auto" w:fill="auto"/>
            <w:noWrap w:val="0"/>
            <w:vAlign w:val="center"/>
          </w:tcPr>
          <w:p>
            <w:pPr>
              <w:pStyle w:val="195"/>
              <w:bidi w:val="0"/>
              <w:ind w:left="0" w:leftChars="0" w:firstLine="0" w:firstLineChars="0"/>
              <w:rPr>
                <w:rFonts w:ascii="Times New Roman" w:hAnsi="Times New Roman" w:eastAsia="宋体" w:cs="Times New Roman"/>
                <w:snapToGrid w:val="0"/>
                <w:color w:val="auto"/>
                <w:sz w:val="18"/>
                <w:szCs w:val="18"/>
                <w:lang w:val="en-US" w:eastAsia="zh-CN" w:bidi="ar-SA"/>
              </w:rPr>
            </w:pPr>
            <w:r>
              <w:rPr>
                <w:rFonts w:hint="eastAsia"/>
                <w:color w:val="auto"/>
              </w:rPr>
              <w:t>《大气污染物综合排放标准》（GB16297-1996）</w:t>
            </w:r>
          </w:p>
        </w:tc>
        <w:tc>
          <w:tcPr>
            <w:tcW w:w="619" w:type="pct"/>
            <w:vMerge w:val="restart"/>
            <w:noWrap w:val="0"/>
            <w:vAlign w:val="center"/>
          </w:tcPr>
          <w:p>
            <w:pPr>
              <w:pStyle w:val="195"/>
              <w:bidi w:val="0"/>
              <w:rPr>
                <w:rFonts w:hint="default" w:eastAsia="宋体"/>
                <w:color w:val="auto"/>
                <w:lang w:val="en-US" w:eastAsia="zh-CN"/>
              </w:rPr>
            </w:pPr>
            <w:r>
              <w:rPr>
                <w:rFonts w:hint="eastAsia"/>
                <w:color w:val="auto"/>
                <w:lang w:val="en-US" w:eastAsia="zh-CN"/>
              </w:rPr>
              <w:t>1.0</w:t>
            </w:r>
          </w:p>
        </w:tc>
        <w:tc>
          <w:tcPr>
            <w:tcW w:w="494" w:type="pct"/>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noWrap w:val="0"/>
            <w:vAlign w:val="center"/>
          </w:tcPr>
          <w:p>
            <w:pPr>
              <w:pStyle w:val="195"/>
              <w:bidi w:val="0"/>
              <w:rPr>
                <w:rFonts w:hint="eastAsia" w:eastAsia="宋体"/>
                <w:color w:val="auto"/>
                <w:lang w:val="en-US" w:eastAsia="zh-CN"/>
              </w:rPr>
            </w:pPr>
            <w:r>
              <w:rPr>
                <w:rFonts w:hint="eastAsia"/>
                <w:color w:val="auto"/>
                <w:lang w:val="en-US" w:eastAsia="zh-CN"/>
              </w:rPr>
              <w:t>2</w:t>
            </w:r>
          </w:p>
        </w:tc>
        <w:tc>
          <w:tcPr>
            <w:tcW w:w="401" w:type="pct"/>
            <w:noWrap w:val="0"/>
            <w:vAlign w:val="center"/>
          </w:tcPr>
          <w:p>
            <w:pPr>
              <w:pStyle w:val="195"/>
              <w:bidi w:val="0"/>
              <w:rPr>
                <w:rFonts w:hint="eastAsia" w:eastAsia="宋体"/>
                <w:color w:val="auto"/>
                <w:lang w:val="en-US" w:eastAsia="zh-CN"/>
              </w:rPr>
            </w:pPr>
            <w:r>
              <w:rPr>
                <w:rFonts w:hint="eastAsia"/>
                <w:color w:val="auto"/>
                <w:lang w:val="en-US" w:eastAsia="zh-CN"/>
              </w:rPr>
              <w:t>/</w:t>
            </w:r>
          </w:p>
        </w:tc>
        <w:tc>
          <w:tcPr>
            <w:tcW w:w="664" w:type="pct"/>
            <w:noWrap w:val="0"/>
            <w:vAlign w:val="center"/>
          </w:tcPr>
          <w:p>
            <w:pPr>
              <w:contextualSpacing/>
              <w:jc w:val="center"/>
              <w:rPr>
                <w:rFonts w:hint="eastAsia"/>
                <w:color w:val="auto"/>
              </w:rPr>
            </w:pPr>
            <w:r>
              <w:rPr>
                <w:color w:val="auto"/>
                <w:sz w:val="18"/>
                <w:szCs w:val="18"/>
              </w:rPr>
              <w:t>铲装集堆</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contextualSpacing/>
              <w:jc w:val="center"/>
              <w:textAlignment w:val="auto"/>
              <w:rPr>
                <w:rFonts w:hint="eastAsia"/>
                <w:color w:val="auto"/>
              </w:rPr>
            </w:pPr>
            <w:r>
              <w:rPr>
                <w:rFonts w:hint="eastAsia" w:ascii="Times New Roman" w:hAnsi="Times New Roman" w:eastAsia="宋体" w:cs="Times New Roman"/>
                <w:snapToGrid w:val="0"/>
                <w:color w:val="auto"/>
                <w:sz w:val="18"/>
                <w:szCs w:val="18"/>
                <w:lang w:val="en-US" w:eastAsia="zh-CN" w:bidi="ar-SA"/>
              </w:rPr>
              <w:t>颗粒物</w:t>
            </w:r>
          </w:p>
        </w:tc>
        <w:tc>
          <w:tcPr>
            <w:tcW w:w="759" w:type="pct"/>
            <w:noWrap w:val="0"/>
            <w:vAlign w:val="center"/>
          </w:tcPr>
          <w:p>
            <w:pPr>
              <w:contextualSpacing/>
              <w:jc w:val="center"/>
              <w:rPr>
                <w:rFonts w:hint="eastAsia"/>
                <w:color w:val="auto"/>
              </w:rPr>
            </w:pPr>
            <w:r>
              <w:rPr>
                <w:rFonts w:hAnsi="宋体"/>
                <w:bCs/>
                <w:color w:val="auto"/>
                <w:spacing w:val="-6"/>
                <w:sz w:val="18"/>
                <w:szCs w:val="18"/>
              </w:rPr>
              <w:t>洒水喷淋</w:t>
            </w:r>
          </w:p>
        </w:tc>
        <w:tc>
          <w:tcPr>
            <w:tcW w:w="979" w:type="pct"/>
            <w:vMerge w:val="continue"/>
            <w:noWrap w:val="0"/>
            <w:vAlign w:val="center"/>
          </w:tcPr>
          <w:p>
            <w:pPr>
              <w:pStyle w:val="195"/>
              <w:bidi w:val="0"/>
              <w:rPr>
                <w:color w:val="auto"/>
              </w:rPr>
            </w:pPr>
          </w:p>
        </w:tc>
        <w:tc>
          <w:tcPr>
            <w:tcW w:w="619" w:type="pct"/>
            <w:vMerge w:val="continue"/>
            <w:noWrap w:val="0"/>
            <w:vAlign w:val="center"/>
          </w:tcPr>
          <w:p>
            <w:pPr>
              <w:pStyle w:val="195"/>
              <w:bidi w:val="0"/>
              <w:rPr>
                <w:color w:val="auto"/>
              </w:rPr>
            </w:pPr>
          </w:p>
        </w:tc>
        <w:tc>
          <w:tcPr>
            <w:tcW w:w="494" w:type="pct"/>
            <w:noWrap w:val="0"/>
            <w:vAlign w:val="center"/>
          </w:tcPr>
          <w:p>
            <w:pPr>
              <w:pStyle w:val="195"/>
              <w:bidi w:val="0"/>
              <w:rPr>
                <w:rFonts w:hint="default" w:eastAsia="宋体"/>
                <w:color w:val="auto"/>
                <w:sz w:val="18"/>
                <w:szCs w:val="18"/>
                <w:lang w:val="en-US" w:eastAsia="zh-CN"/>
              </w:rPr>
            </w:pPr>
            <w:r>
              <w:rPr>
                <w:rFonts w:hint="eastAsia"/>
                <w:color w:val="auto"/>
                <w:sz w:val="18"/>
                <w:szCs w:val="18"/>
                <w:lang w:val="en-US" w:eastAsia="zh-CN"/>
              </w:rPr>
              <w:t>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noWrap w:val="0"/>
            <w:vAlign w:val="center"/>
          </w:tcPr>
          <w:p>
            <w:pPr>
              <w:pStyle w:val="195"/>
              <w:bidi w:val="0"/>
              <w:rPr>
                <w:rFonts w:hint="eastAsia" w:eastAsia="宋体"/>
                <w:color w:val="auto"/>
                <w:lang w:val="en-US" w:eastAsia="zh-CN"/>
              </w:rPr>
            </w:pPr>
            <w:r>
              <w:rPr>
                <w:rFonts w:hint="eastAsia"/>
                <w:color w:val="auto"/>
                <w:lang w:val="en-US" w:eastAsia="zh-CN"/>
              </w:rPr>
              <w:t>3</w:t>
            </w:r>
          </w:p>
        </w:tc>
        <w:tc>
          <w:tcPr>
            <w:tcW w:w="401" w:type="pct"/>
            <w:noWrap w:val="0"/>
            <w:vAlign w:val="center"/>
          </w:tcPr>
          <w:p>
            <w:pPr>
              <w:pStyle w:val="195"/>
              <w:bidi w:val="0"/>
              <w:rPr>
                <w:rFonts w:hint="eastAsia" w:eastAsia="宋体"/>
                <w:color w:val="auto"/>
                <w:lang w:val="en-US" w:eastAsia="zh-CN"/>
              </w:rPr>
            </w:pPr>
            <w:r>
              <w:rPr>
                <w:rFonts w:hint="eastAsia"/>
                <w:color w:val="auto"/>
                <w:lang w:val="en-US" w:eastAsia="zh-CN"/>
              </w:rPr>
              <w:t>/</w:t>
            </w:r>
          </w:p>
        </w:tc>
        <w:tc>
          <w:tcPr>
            <w:tcW w:w="664" w:type="pct"/>
            <w:noWrap w:val="0"/>
            <w:vAlign w:val="center"/>
          </w:tcPr>
          <w:p>
            <w:pPr>
              <w:contextualSpacing/>
              <w:jc w:val="center"/>
              <w:rPr>
                <w:rFonts w:hint="eastAsia"/>
                <w:color w:val="auto"/>
              </w:rPr>
            </w:pPr>
            <w:r>
              <w:rPr>
                <w:color w:val="auto"/>
                <w:sz w:val="18"/>
                <w:szCs w:val="18"/>
              </w:rPr>
              <w:t>上料</w:t>
            </w:r>
          </w:p>
        </w:tc>
        <w:tc>
          <w:tcPr>
            <w:tcW w:w="753" w:type="pct"/>
            <w:shd w:val="clear" w:color="auto" w:fill="auto"/>
            <w:noWrap w:val="0"/>
            <w:vAlign w:val="center"/>
          </w:tcPr>
          <w:p>
            <w:pPr>
              <w:contextualSpacing/>
              <w:jc w:val="center"/>
              <w:rPr>
                <w:rFonts w:hint="eastAsia" w:ascii="Times New Roman" w:hAnsi="Times New Roman" w:eastAsia="宋体" w:cs="Times New Roman"/>
                <w:snapToGrid w:val="0"/>
                <w:color w:val="auto"/>
                <w:sz w:val="18"/>
                <w:szCs w:val="18"/>
                <w:lang w:val="en-US" w:eastAsia="zh-CN" w:bidi="ar-SA"/>
              </w:rPr>
            </w:pPr>
            <w:r>
              <w:rPr>
                <w:rFonts w:hAnsi="宋体"/>
                <w:color w:val="auto"/>
                <w:sz w:val="18"/>
                <w:szCs w:val="18"/>
              </w:rPr>
              <w:t>颗粒物</w:t>
            </w:r>
          </w:p>
        </w:tc>
        <w:tc>
          <w:tcPr>
            <w:tcW w:w="759" w:type="pct"/>
            <w:shd w:val="clear" w:color="auto" w:fill="auto"/>
            <w:noWrap w:val="0"/>
            <w:vAlign w:val="center"/>
          </w:tcPr>
          <w:p>
            <w:pPr>
              <w:pStyle w:val="195"/>
              <w:bidi w:val="0"/>
              <w:ind w:left="0" w:leftChars="0" w:firstLine="0" w:firstLineChars="0"/>
              <w:rPr>
                <w:rFonts w:hint="default" w:ascii="Times New Roman" w:hAnsi="Times New Roman" w:eastAsia="宋体" w:cs="Times New Roman"/>
                <w:snapToGrid w:val="0"/>
                <w:color w:val="auto"/>
                <w:sz w:val="18"/>
                <w:szCs w:val="18"/>
                <w:lang w:val="en-US" w:eastAsia="zh-CN" w:bidi="ar-SA"/>
              </w:rPr>
            </w:pPr>
            <w:r>
              <w:rPr>
                <w:rFonts w:hint="eastAsia" w:cs="Times New Roman"/>
                <w:snapToGrid w:val="0"/>
                <w:color w:val="auto"/>
                <w:sz w:val="18"/>
                <w:szCs w:val="18"/>
                <w:lang w:val="en-US" w:eastAsia="zh-CN" w:bidi="ar-SA"/>
              </w:rPr>
              <w:t>/</w:t>
            </w:r>
          </w:p>
        </w:tc>
        <w:tc>
          <w:tcPr>
            <w:tcW w:w="979" w:type="pct"/>
            <w:vMerge w:val="continue"/>
            <w:noWrap w:val="0"/>
            <w:vAlign w:val="center"/>
          </w:tcPr>
          <w:p>
            <w:pPr>
              <w:pStyle w:val="195"/>
              <w:bidi w:val="0"/>
              <w:rPr>
                <w:color w:val="auto"/>
              </w:rPr>
            </w:pPr>
          </w:p>
        </w:tc>
        <w:tc>
          <w:tcPr>
            <w:tcW w:w="619" w:type="pct"/>
            <w:vMerge w:val="continue"/>
            <w:noWrap w:val="0"/>
            <w:vAlign w:val="center"/>
          </w:tcPr>
          <w:p>
            <w:pPr>
              <w:pStyle w:val="195"/>
              <w:bidi w:val="0"/>
              <w:rPr>
                <w:color w:val="auto"/>
              </w:rPr>
            </w:pPr>
          </w:p>
        </w:tc>
        <w:tc>
          <w:tcPr>
            <w:tcW w:w="494" w:type="pct"/>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noWrap w:val="0"/>
            <w:vAlign w:val="center"/>
          </w:tcPr>
          <w:p>
            <w:pPr>
              <w:pStyle w:val="195"/>
              <w:bidi w:val="0"/>
              <w:rPr>
                <w:rFonts w:hint="eastAsia" w:eastAsia="宋体"/>
                <w:color w:val="auto"/>
                <w:lang w:val="en-US" w:eastAsia="zh-CN"/>
              </w:rPr>
            </w:pPr>
            <w:r>
              <w:rPr>
                <w:rFonts w:hint="eastAsia"/>
                <w:color w:val="auto"/>
                <w:lang w:val="en-US" w:eastAsia="zh-CN"/>
              </w:rPr>
              <w:t>4</w:t>
            </w:r>
          </w:p>
        </w:tc>
        <w:tc>
          <w:tcPr>
            <w:tcW w:w="401" w:type="pct"/>
            <w:noWrap w:val="0"/>
            <w:vAlign w:val="center"/>
          </w:tcPr>
          <w:p>
            <w:pPr>
              <w:pStyle w:val="195"/>
              <w:bidi w:val="0"/>
              <w:rPr>
                <w:rFonts w:hint="eastAsia" w:eastAsia="宋体"/>
                <w:color w:val="auto"/>
                <w:lang w:val="en-US" w:eastAsia="zh-CN"/>
              </w:rPr>
            </w:pPr>
            <w:r>
              <w:rPr>
                <w:rFonts w:hint="eastAsia"/>
                <w:color w:val="auto"/>
                <w:lang w:val="en-US" w:eastAsia="zh-CN"/>
              </w:rPr>
              <w:t>/</w:t>
            </w:r>
          </w:p>
        </w:tc>
        <w:tc>
          <w:tcPr>
            <w:tcW w:w="664" w:type="pct"/>
            <w:noWrap w:val="0"/>
            <w:vAlign w:val="center"/>
          </w:tcPr>
          <w:p>
            <w:pPr>
              <w:pStyle w:val="195"/>
              <w:bidi w:val="0"/>
              <w:rPr>
                <w:rFonts w:hint="eastAsia"/>
                <w:color w:val="auto"/>
              </w:rPr>
            </w:pPr>
            <w:r>
              <w:rPr>
                <w:rFonts w:hint="eastAsia"/>
                <w:color w:val="auto"/>
                <w:lang w:val="en-US" w:eastAsia="zh-CN"/>
              </w:rPr>
              <w:t>柴油储罐</w:t>
            </w:r>
          </w:p>
        </w:tc>
        <w:tc>
          <w:tcPr>
            <w:tcW w:w="753" w:type="pct"/>
            <w:noWrap w:val="0"/>
            <w:vAlign w:val="center"/>
          </w:tcPr>
          <w:p>
            <w:pPr>
              <w:contextualSpacing/>
              <w:jc w:val="center"/>
              <w:rPr>
                <w:rFonts w:hint="eastAsia"/>
                <w:color w:val="auto"/>
              </w:rPr>
            </w:pPr>
            <w:r>
              <w:rPr>
                <w:rFonts w:hint="eastAsia" w:hAnsi="宋体"/>
                <w:color w:val="auto"/>
                <w:sz w:val="18"/>
                <w:szCs w:val="18"/>
              </w:rPr>
              <w:t>非甲烷总烃</w:t>
            </w:r>
          </w:p>
        </w:tc>
        <w:tc>
          <w:tcPr>
            <w:tcW w:w="759" w:type="pct"/>
            <w:noWrap w:val="0"/>
            <w:vAlign w:val="center"/>
          </w:tcPr>
          <w:p>
            <w:pPr>
              <w:bidi w:val="0"/>
              <w:jc w:val="center"/>
              <w:rPr>
                <w:rFonts w:hint="eastAsia"/>
                <w:color w:val="auto"/>
              </w:rPr>
            </w:pPr>
            <w:r>
              <w:rPr>
                <w:rFonts w:hint="eastAsia" w:cs="Times New Roman"/>
                <w:snapToGrid w:val="0"/>
                <w:color w:val="auto"/>
                <w:sz w:val="18"/>
                <w:szCs w:val="18"/>
                <w:lang w:val="en-US" w:eastAsia="zh-CN" w:bidi="ar-SA"/>
              </w:rPr>
              <w:t>/</w:t>
            </w:r>
          </w:p>
        </w:tc>
        <w:tc>
          <w:tcPr>
            <w:tcW w:w="979" w:type="pct"/>
            <w:vMerge w:val="continue"/>
            <w:noWrap w:val="0"/>
            <w:vAlign w:val="center"/>
          </w:tcPr>
          <w:p>
            <w:pPr>
              <w:pStyle w:val="195"/>
              <w:bidi w:val="0"/>
              <w:rPr>
                <w:color w:val="auto"/>
              </w:rPr>
            </w:pPr>
          </w:p>
        </w:tc>
        <w:tc>
          <w:tcPr>
            <w:tcW w:w="619" w:type="pct"/>
            <w:noWrap w:val="0"/>
            <w:vAlign w:val="center"/>
          </w:tcPr>
          <w:p>
            <w:pPr>
              <w:pStyle w:val="195"/>
              <w:bidi w:val="0"/>
              <w:rPr>
                <w:color w:val="auto"/>
              </w:rPr>
            </w:pPr>
            <w:r>
              <w:rPr>
                <w:rFonts w:hint="eastAsia"/>
                <w:color w:val="auto"/>
                <w:lang w:val="en-US" w:eastAsia="zh-CN"/>
              </w:rPr>
              <w:t>4.0</w:t>
            </w:r>
          </w:p>
        </w:tc>
        <w:tc>
          <w:tcPr>
            <w:tcW w:w="494" w:type="pct"/>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vMerge w:val="restart"/>
            <w:noWrap w:val="0"/>
            <w:vAlign w:val="center"/>
          </w:tcPr>
          <w:p>
            <w:pPr>
              <w:pStyle w:val="195"/>
              <w:bidi w:val="0"/>
              <w:rPr>
                <w:rFonts w:hint="default"/>
                <w:color w:val="auto"/>
                <w:lang w:val="en-US" w:eastAsia="zh-CN"/>
              </w:rPr>
            </w:pPr>
            <w:r>
              <w:rPr>
                <w:rFonts w:hint="eastAsia"/>
                <w:color w:val="auto"/>
                <w:lang w:val="en-US" w:eastAsia="zh-CN"/>
              </w:rPr>
              <w:t>5</w:t>
            </w:r>
          </w:p>
        </w:tc>
        <w:tc>
          <w:tcPr>
            <w:tcW w:w="401" w:type="pct"/>
            <w:vMerge w:val="restart"/>
            <w:noWrap w:val="0"/>
            <w:vAlign w:val="center"/>
          </w:tcPr>
          <w:p>
            <w:pPr>
              <w:pStyle w:val="195"/>
              <w:bidi w:val="0"/>
              <w:rPr>
                <w:rFonts w:hint="eastAsia"/>
                <w:color w:val="auto"/>
                <w:lang w:val="en-US" w:eastAsia="zh-CN"/>
              </w:rPr>
            </w:pPr>
            <w:r>
              <w:rPr>
                <w:rFonts w:hint="eastAsia"/>
                <w:color w:val="auto"/>
                <w:lang w:val="en-US" w:eastAsia="zh-CN"/>
              </w:rPr>
              <w:t>/</w:t>
            </w:r>
          </w:p>
        </w:tc>
        <w:tc>
          <w:tcPr>
            <w:tcW w:w="664" w:type="pct"/>
            <w:vMerge w:val="restart"/>
            <w:noWrap w:val="0"/>
            <w:vAlign w:val="center"/>
          </w:tcPr>
          <w:p>
            <w:pPr>
              <w:pStyle w:val="195"/>
              <w:bidi w:val="0"/>
              <w:rPr>
                <w:rFonts w:hint="eastAsia"/>
                <w:color w:val="auto"/>
                <w:lang w:val="en-US" w:eastAsia="zh-CN"/>
              </w:rPr>
            </w:pPr>
            <w:r>
              <w:rPr>
                <w:rFonts w:hint="eastAsia"/>
                <w:bCs/>
                <w:color w:val="auto"/>
                <w:sz w:val="18"/>
                <w:szCs w:val="18"/>
                <w:lang w:val="en-US" w:eastAsia="zh-CN"/>
              </w:rPr>
              <w:t>沥青预处理系统、拌合系统</w:t>
            </w:r>
          </w:p>
        </w:tc>
        <w:tc>
          <w:tcPr>
            <w:tcW w:w="753" w:type="pct"/>
            <w:noWrap w:val="0"/>
            <w:vAlign w:val="center"/>
          </w:tcPr>
          <w:p>
            <w:pPr>
              <w:pStyle w:val="195"/>
              <w:bidi w:val="0"/>
              <w:ind w:left="0" w:leftChars="0" w:firstLine="0" w:firstLineChars="0"/>
              <w:rPr>
                <w:rFonts w:hint="eastAsia" w:hAnsi="宋体"/>
                <w:color w:val="auto"/>
                <w:sz w:val="18"/>
                <w:szCs w:val="18"/>
              </w:rPr>
            </w:pPr>
            <w:r>
              <w:rPr>
                <w:rFonts w:hint="eastAsia"/>
                <w:color w:val="auto"/>
              </w:rPr>
              <w:t>沥青烟</w:t>
            </w:r>
          </w:p>
        </w:tc>
        <w:tc>
          <w:tcPr>
            <w:tcW w:w="759" w:type="pct"/>
            <w:vMerge w:val="restart"/>
            <w:noWrap w:val="0"/>
            <w:vAlign w:val="center"/>
          </w:tcPr>
          <w:p>
            <w:pPr>
              <w:bidi w:val="0"/>
              <w:jc w:val="center"/>
              <w:rPr>
                <w:rFonts w:hint="eastAsia" w:cs="Times New Roman"/>
                <w:snapToGrid w:val="0"/>
                <w:color w:val="auto"/>
                <w:sz w:val="18"/>
                <w:szCs w:val="18"/>
                <w:lang w:val="en-US" w:eastAsia="zh-CN" w:bidi="ar-SA"/>
              </w:rPr>
            </w:pPr>
            <w:r>
              <w:rPr>
                <w:rFonts w:hint="eastAsia" w:cs="Times New Roman"/>
                <w:snapToGrid w:val="0"/>
                <w:color w:val="auto"/>
                <w:sz w:val="18"/>
                <w:szCs w:val="18"/>
                <w:lang w:val="en-US" w:eastAsia="zh-CN" w:bidi="ar-SA"/>
              </w:rPr>
              <w:t>/</w:t>
            </w:r>
          </w:p>
        </w:tc>
        <w:tc>
          <w:tcPr>
            <w:tcW w:w="979" w:type="pct"/>
            <w:vMerge w:val="continue"/>
            <w:noWrap w:val="0"/>
            <w:vAlign w:val="center"/>
          </w:tcPr>
          <w:p>
            <w:pPr>
              <w:pStyle w:val="195"/>
              <w:bidi w:val="0"/>
              <w:rPr>
                <w:color w:val="auto"/>
              </w:rPr>
            </w:pPr>
          </w:p>
        </w:tc>
        <w:tc>
          <w:tcPr>
            <w:tcW w:w="619" w:type="pct"/>
            <w:noWrap w:val="0"/>
            <w:vAlign w:val="center"/>
          </w:tcPr>
          <w:p>
            <w:pPr>
              <w:pStyle w:val="207"/>
              <w:rPr>
                <w:rFonts w:hint="eastAsia"/>
                <w:color w:val="auto"/>
                <w:sz w:val="18"/>
                <w:szCs w:val="18"/>
                <w:lang w:val="en-US" w:eastAsia="zh-CN"/>
              </w:rPr>
            </w:pPr>
            <w:r>
              <w:rPr>
                <w:rFonts w:eastAsiaTheme="minorEastAsia"/>
                <w:color w:val="auto"/>
                <w:sz w:val="18"/>
                <w:szCs w:val="18"/>
              </w:rPr>
              <w:t>生产设备不得有明显无组织排放存在</w:t>
            </w:r>
          </w:p>
        </w:tc>
        <w:tc>
          <w:tcPr>
            <w:tcW w:w="494" w:type="pct"/>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vMerge w:val="continue"/>
            <w:noWrap w:val="0"/>
            <w:vAlign w:val="center"/>
          </w:tcPr>
          <w:p>
            <w:pPr>
              <w:pStyle w:val="195"/>
              <w:bidi w:val="0"/>
              <w:rPr>
                <w:rFonts w:hint="eastAsia"/>
                <w:color w:val="auto"/>
                <w:lang w:val="en-US" w:eastAsia="zh-CN"/>
              </w:rPr>
            </w:pPr>
          </w:p>
        </w:tc>
        <w:tc>
          <w:tcPr>
            <w:tcW w:w="401" w:type="pct"/>
            <w:vMerge w:val="continue"/>
            <w:noWrap w:val="0"/>
            <w:vAlign w:val="center"/>
          </w:tcPr>
          <w:p>
            <w:pPr>
              <w:pStyle w:val="195"/>
              <w:bidi w:val="0"/>
              <w:rPr>
                <w:rFonts w:hint="eastAsia"/>
                <w:color w:val="auto"/>
                <w:lang w:val="en-US" w:eastAsia="zh-CN"/>
              </w:rPr>
            </w:pPr>
          </w:p>
        </w:tc>
        <w:tc>
          <w:tcPr>
            <w:tcW w:w="664" w:type="pct"/>
            <w:vMerge w:val="continue"/>
            <w:noWrap w:val="0"/>
            <w:vAlign w:val="center"/>
          </w:tcPr>
          <w:p>
            <w:pPr>
              <w:pStyle w:val="195"/>
              <w:bidi w:val="0"/>
              <w:rPr>
                <w:rFonts w:hint="eastAsia"/>
                <w:color w:val="auto"/>
                <w:lang w:val="en-US" w:eastAsia="zh-CN"/>
              </w:rPr>
            </w:pPr>
          </w:p>
        </w:tc>
        <w:tc>
          <w:tcPr>
            <w:tcW w:w="753" w:type="pct"/>
            <w:noWrap w:val="0"/>
            <w:vAlign w:val="center"/>
          </w:tcPr>
          <w:p>
            <w:pPr>
              <w:pStyle w:val="195"/>
              <w:bidi w:val="0"/>
              <w:ind w:left="0" w:leftChars="0" w:firstLine="0" w:firstLineChars="0"/>
              <w:rPr>
                <w:rFonts w:hint="eastAsia" w:hAnsi="宋体"/>
                <w:color w:val="auto"/>
                <w:sz w:val="18"/>
                <w:szCs w:val="18"/>
              </w:rPr>
            </w:pPr>
            <w:r>
              <w:rPr>
                <w:color w:val="auto"/>
              </w:rPr>
              <w:t>苯并</w:t>
            </w:r>
            <w:r>
              <w:rPr>
                <w:rFonts w:hint="eastAsia"/>
                <w:color w:val="auto"/>
              </w:rPr>
              <w:t>[a]</w:t>
            </w:r>
            <w:r>
              <w:rPr>
                <w:color w:val="auto"/>
              </w:rPr>
              <w:t>芘</w:t>
            </w:r>
          </w:p>
        </w:tc>
        <w:tc>
          <w:tcPr>
            <w:tcW w:w="759" w:type="pct"/>
            <w:vMerge w:val="continue"/>
            <w:noWrap w:val="0"/>
            <w:vAlign w:val="center"/>
          </w:tcPr>
          <w:p>
            <w:pPr>
              <w:bidi w:val="0"/>
              <w:jc w:val="center"/>
              <w:rPr>
                <w:rFonts w:hint="eastAsia" w:cs="Times New Roman"/>
                <w:snapToGrid w:val="0"/>
                <w:color w:val="auto"/>
                <w:sz w:val="18"/>
                <w:szCs w:val="18"/>
                <w:lang w:val="en-US" w:eastAsia="zh-CN" w:bidi="ar-SA"/>
              </w:rPr>
            </w:pPr>
          </w:p>
        </w:tc>
        <w:tc>
          <w:tcPr>
            <w:tcW w:w="979" w:type="pct"/>
            <w:vMerge w:val="continue"/>
            <w:noWrap w:val="0"/>
            <w:vAlign w:val="center"/>
          </w:tcPr>
          <w:p>
            <w:pPr>
              <w:pStyle w:val="195"/>
              <w:bidi w:val="0"/>
              <w:rPr>
                <w:color w:val="auto"/>
              </w:rPr>
            </w:pPr>
          </w:p>
        </w:tc>
        <w:tc>
          <w:tcPr>
            <w:tcW w:w="619" w:type="pct"/>
            <w:noWrap w:val="0"/>
            <w:vAlign w:val="center"/>
          </w:tcPr>
          <w:p>
            <w:pPr>
              <w:pStyle w:val="207"/>
              <w:rPr>
                <w:rFonts w:hint="eastAsia"/>
                <w:color w:val="auto"/>
                <w:sz w:val="18"/>
                <w:szCs w:val="18"/>
                <w:lang w:val="en-US" w:eastAsia="zh-CN"/>
              </w:rPr>
            </w:pPr>
            <w:r>
              <w:rPr>
                <w:rFonts w:eastAsiaTheme="minorEastAsia"/>
                <w:color w:val="auto"/>
                <w:sz w:val="18"/>
                <w:szCs w:val="18"/>
              </w:rPr>
              <w:t>0.008μg/m</w:t>
            </w:r>
            <w:r>
              <w:rPr>
                <w:rFonts w:eastAsiaTheme="minorEastAsia"/>
                <w:color w:val="auto"/>
                <w:sz w:val="18"/>
                <w:szCs w:val="18"/>
                <w:vertAlign w:val="superscript"/>
              </w:rPr>
              <w:t>3</w:t>
            </w:r>
          </w:p>
        </w:tc>
        <w:tc>
          <w:tcPr>
            <w:tcW w:w="494" w:type="pct"/>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0.000001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327" w:type="pct"/>
            <w:vMerge w:val="continue"/>
            <w:noWrap w:val="0"/>
            <w:vAlign w:val="center"/>
          </w:tcPr>
          <w:p>
            <w:pPr>
              <w:pStyle w:val="195"/>
              <w:bidi w:val="0"/>
              <w:rPr>
                <w:rFonts w:hint="eastAsia"/>
                <w:color w:val="auto"/>
                <w:lang w:val="en-US" w:eastAsia="zh-CN"/>
              </w:rPr>
            </w:pPr>
          </w:p>
        </w:tc>
        <w:tc>
          <w:tcPr>
            <w:tcW w:w="401" w:type="pct"/>
            <w:vMerge w:val="continue"/>
            <w:noWrap w:val="0"/>
            <w:vAlign w:val="center"/>
          </w:tcPr>
          <w:p>
            <w:pPr>
              <w:pStyle w:val="195"/>
              <w:bidi w:val="0"/>
              <w:rPr>
                <w:rFonts w:hint="eastAsia"/>
                <w:color w:val="auto"/>
                <w:lang w:val="en-US" w:eastAsia="zh-CN"/>
              </w:rPr>
            </w:pPr>
          </w:p>
        </w:tc>
        <w:tc>
          <w:tcPr>
            <w:tcW w:w="664" w:type="pct"/>
            <w:vMerge w:val="continue"/>
            <w:noWrap w:val="0"/>
            <w:vAlign w:val="center"/>
          </w:tcPr>
          <w:p>
            <w:pPr>
              <w:pStyle w:val="195"/>
              <w:bidi w:val="0"/>
              <w:rPr>
                <w:rFonts w:hint="eastAsia"/>
                <w:color w:val="auto"/>
                <w:lang w:val="en-US" w:eastAsia="zh-CN"/>
              </w:rPr>
            </w:pPr>
          </w:p>
        </w:tc>
        <w:tc>
          <w:tcPr>
            <w:tcW w:w="753" w:type="pct"/>
            <w:noWrap w:val="0"/>
            <w:vAlign w:val="center"/>
          </w:tcPr>
          <w:p>
            <w:pPr>
              <w:pStyle w:val="195"/>
              <w:bidi w:val="0"/>
              <w:ind w:left="0" w:leftChars="0" w:firstLine="0" w:firstLineChars="0"/>
              <w:rPr>
                <w:rFonts w:hint="eastAsia" w:hAnsi="宋体"/>
                <w:color w:val="auto"/>
                <w:sz w:val="18"/>
                <w:szCs w:val="18"/>
              </w:rPr>
            </w:pPr>
            <w:r>
              <w:rPr>
                <w:color w:val="auto"/>
              </w:rPr>
              <w:t>非甲烷总烃</w:t>
            </w:r>
          </w:p>
        </w:tc>
        <w:tc>
          <w:tcPr>
            <w:tcW w:w="759" w:type="pct"/>
            <w:vMerge w:val="continue"/>
            <w:noWrap w:val="0"/>
            <w:vAlign w:val="center"/>
          </w:tcPr>
          <w:p>
            <w:pPr>
              <w:bidi w:val="0"/>
              <w:jc w:val="center"/>
              <w:rPr>
                <w:rFonts w:hint="eastAsia" w:cs="Times New Roman"/>
                <w:snapToGrid w:val="0"/>
                <w:color w:val="auto"/>
                <w:sz w:val="18"/>
                <w:szCs w:val="18"/>
                <w:lang w:val="en-US" w:eastAsia="zh-CN" w:bidi="ar-SA"/>
              </w:rPr>
            </w:pPr>
          </w:p>
        </w:tc>
        <w:tc>
          <w:tcPr>
            <w:tcW w:w="979" w:type="pct"/>
            <w:vMerge w:val="continue"/>
            <w:noWrap w:val="0"/>
            <w:vAlign w:val="center"/>
          </w:tcPr>
          <w:p>
            <w:pPr>
              <w:pStyle w:val="195"/>
              <w:bidi w:val="0"/>
              <w:rPr>
                <w:color w:val="auto"/>
              </w:rPr>
            </w:pPr>
          </w:p>
        </w:tc>
        <w:tc>
          <w:tcPr>
            <w:tcW w:w="619" w:type="pct"/>
            <w:noWrap w:val="0"/>
            <w:vAlign w:val="center"/>
          </w:tcPr>
          <w:p>
            <w:pPr>
              <w:pStyle w:val="207"/>
              <w:rPr>
                <w:rFonts w:hint="eastAsia"/>
                <w:color w:val="auto"/>
                <w:sz w:val="18"/>
                <w:szCs w:val="18"/>
                <w:lang w:val="en-US" w:eastAsia="zh-CN"/>
              </w:rPr>
            </w:pPr>
            <w:r>
              <w:rPr>
                <w:rFonts w:hint="eastAsia" w:eastAsiaTheme="minorEastAsia"/>
                <w:color w:val="auto"/>
                <w:sz w:val="18"/>
                <w:szCs w:val="18"/>
              </w:rPr>
              <w:t>4</w:t>
            </w:r>
            <w:r>
              <w:rPr>
                <w:rFonts w:eastAsiaTheme="minorEastAsia"/>
                <w:color w:val="auto"/>
                <w:sz w:val="18"/>
                <w:szCs w:val="18"/>
              </w:rPr>
              <w:t>.0</w:t>
            </w:r>
          </w:p>
        </w:tc>
        <w:tc>
          <w:tcPr>
            <w:tcW w:w="494" w:type="pct"/>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2147" w:type="pct"/>
            <w:gridSpan w:val="4"/>
            <w:vMerge w:val="restart"/>
            <w:noWrap w:val="0"/>
            <w:vAlign w:val="center"/>
          </w:tcPr>
          <w:p>
            <w:pPr>
              <w:pStyle w:val="195"/>
              <w:bidi w:val="0"/>
              <w:rPr>
                <w:color w:val="auto"/>
              </w:rPr>
            </w:pPr>
            <w:r>
              <w:rPr>
                <w:color w:val="auto"/>
              </w:rPr>
              <w:t>无组织排放总计</w:t>
            </w:r>
          </w:p>
        </w:tc>
        <w:tc>
          <w:tcPr>
            <w:tcW w:w="1738" w:type="pct"/>
            <w:gridSpan w:val="2"/>
            <w:noWrap w:val="0"/>
            <w:vAlign w:val="center"/>
          </w:tcPr>
          <w:p>
            <w:pPr>
              <w:pStyle w:val="195"/>
              <w:bidi w:val="0"/>
              <w:rPr>
                <w:rFonts w:hint="default" w:eastAsia="宋体"/>
                <w:color w:val="auto"/>
                <w:lang w:val="en-US" w:eastAsia="zh-CN"/>
              </w:rPr>
            </w:pPr>
            <w:r>
              <w:rPr>
                <w:rFonts w:hint="eastAsia"/>
                <w:color w:val="auto"/>
                <w:lang w:val="en-US" w:eastAsia="zh-CN"/>
              </w:rPr>
              <w:t>工业粉尘</w:t>
            </w:r>
          </w:p>
        </w:tc>
        <w:tc>
          <w:tcPr>
            <w:tcW w:w="1113" w:type="pct"/>
            <w:gridSpan w:val="2"/>
            <w:noWrap w:val="0"/>
            <w:vAlign w:val="center"/>
          </w:tcPr>
          <w:p>
            <w:pPr>
              <w:pStyle w:val="195"/>
              <w:bidi w:val="0"/>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1072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2147" w:type="pct"/>
            <w:gridSpan w:val="4"/>
            <w:vMerge w:val="continue"/>
            <w:noWrap w:val="0"/>
            <w:vAlign w:val="center"/>
          </w:tcPr>
          <w:p>
            <w:pPr>
              <w:pStyle w:val="195"/>
              <w:bidi w:val="0"/>
              <w:rPr>
                <w:color w:val="auto"/>
              </w:rPr>
            </w:pPr>
          </w:p>
        </w:tc>
        <w:tc>
          <w:tcPr>
            <w:tcW w:w="1738" w:type="pct"/>
            <w:gridSpan w:val="2"/>
            <w:noWrap w:val="0"/>
            <w:vAlign w:val="center"/>
          </w:tcPr>
          <w:p>
            <w:pPr>
              <w:pStyle w:val="195"/>
              <w:bidi w:val="0"/>
              <w:rPr>
                <w:rFonts w:hint="eastAsia"/>
                <w:color w:val="auto"/>
              </w:rPr>
            </w:pPr>
            <w:r>
              <w:rPr>
                <w:rFonts w:hint="eastAsia"/>
                <w:color w:val="auto"/>
              </w:rPr>
              <w:t>非甲烷总烃</w:t>
            </w:r>
          </w:p>
        </w:tc>
        <w:tc>
          <w:tcPr>
            <w:tcW w:w="1113" w:type="pct"/>
            <w:gridSpan w:val="2"/>
            <w:noWrap w:val="0"/>
            <w:vAlign w:val="center"/>
          </w:tcPr>
          <w:p>
            <w:pPr>
              <w:pStyle w:val="195"/>
              <w:bidi w:val="0"/>
              <w:rPr>
                <w:rFonts w:hint="default"/>
                <w:color w:val="auto"/>
                <w:sz w:val="18"/>
                <w:szCs w:val="18"/>
                <w:lang w:val="en-US" w:eastAsia="zh-CN"/>
              </w:rPr>
            </w:pPr>
            <w:r>
              <w:rPr>
                <w:rFonts w:hint="eastAsia"/>
                <w:color w:val="auto"/>
                <w:sz w:val="18"/>
                <w:szCs w:val="18"/>
                <w:lang w:val="en-US" w:eastAsia="zh-CN"/>
              </w:rPr>
              <w:t>0.0117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2147" w:type="pct"/>
            <w:gridSpan w:val="4"/>
            <w:vMerge w:val="continue"/>
            <w:noWrap w:val="0"/>
            <w:vAlign w:val="center"/>
          </w:tcPr>
          <w:p>
            <w:pPr>
              <w:pStyle w:val="195"/>
              <w:bidi w:val="0"/>
              <w:rPr>
                <w:color w:val="auto"/>
              </w:rPr>
            </w:pPr>
          </w:p>
        </w:tc>
        <w:tc>
          <w:tcPr>
            <w:tcW w:w="1738" w:type="pct"/>
            <w:gridSpan w:val="2"/>
            <w:noWrap w:val="0"/>
            <w:vAlign w:val="center"/>
          </w:tcPr>
          <w:p>
            <w:pPr>
              <w:pStyle w:val="195"/>
              <w:bidi w:val="0"/>
              <w:ind w:left="0" w:leftChars="0" w:firstLine="0" w:firstLineChars="0"/>
              <w:rPr>
                <w:rFonts w:hint="eastAsia"/>
                <w:color w:val="auto"/>
              </w:rPr>
            </w:pPr>
            <w:r>
              <w:rPr>
                <w:rFonts w:hint="eastAsia"/>
                <w:color w:val="auto"/>
              </w:rPr>
              <w:t>沥青烟</w:t>
            </w:r>
          </w:p>
        </w:tc>
        <w:tc>
          <w:tcPr>
            <w:tcW w:w="1113" w:type="pct"/>
            <w:gridSpan w:val="2"/>
            <w:noWrap w:val="0"/>
            <w:vAlign w:val="center"/>
          </w:tcPr>
          <w:p>
            <w:pPr>
              <w:pStyle w:val="195"/>
              <w:bidi w:val="0"/>
              <w:ind w:left="0" w:leftChars="0" w:firstLine="0" w:firstLineChars="0"/>
              <w:rPr>
                <w:rFonts w:hint="eastAsia"/>
                <w:color w:val="auto"/>
                <w:sz w:val="18"/>
                <w:szCs w:val="18"/>
                <w:lang w:val="en-US" w:eastAsia="zh-CN"/>
              </w:rPr>
            </w:pPr>
            <w:r>
              <w:rPr>
                <w:rFonts w:hint="eastAsia"/>
                <w:color w:val="auto"/>
                <w:sz w:val="18"/>
                <w:szCs w:val="18"/>
                <w:lang w:val="en-US" w:eastAsia="zh-CN"/>
              </w:rPr>
              <w:t>0.048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2147" w:type="pct"/>
            <w:gridSpan w:val="4"/>
            <w:vMerge w:val="continue"/>
            <w:noWrap w:val="0"/>
            <w:vAlign w:val="center"/>
          </w:tcPr>
          <w:p>
            <w:pPr>
              <w:pStyle w:val="195"/>
              <w:bidi w:val="0"/>
              <w:rPr>
                <w:color w:val="auto"/>
              </w:rPr>
            </w:pPr>
          </w:p>
        </w:tc>
        <w:tc>
          <w:tcPr>
            <w:tcW w:w="1738" w:type="pct"/>
            <w:gridSpan w:val="2"/>
            <w:noWrap w:val="0"/>
            <w:vAlign w:val="center"/>
          </w:tcPr>
          <w:p>
            <w:pPr>
              <w:pStyle w:val="195"/>
              <w:bidi w:val="0"/>
              <w:ind w:left="0" w:leftChars="0" w:firstLine="0" w:firstLineChars="0"/>
              <w:rPr>
                <w:rFonts w:hint="eastAsia"/>
                <w:color w:val="auto"/>
              </w:rPr>
            </w:pPr>
            <w:r>
              <w:rPr>
                <w:color w:val="auto"/>
              </w:rPr>
              <w:t>苯并</w:t>
            </w:r>
            <w:r>
              <w:rPr>
                <w:rFonts w:hint="eastAsia"/>
                <w:color w:val="auto"/>
              </w:rPr>
              <w:t>[a]</w:t>
            </w:r>
            <w:r>
              <w:rPr>
                <w:color w:val="auto"/>
              </w:rPr>
              <w:t>芘</w:t>
            </w:r>
          </w:p>
        </w:tc>
        <w:tc>
          <w:tcPr>
            <w:tcW w:w="1113" w:type="pct"/>
            <w:gridSpan w:val="2"/>
            <w:noWrap w:val="0"/>
            <w:vAlign w:val="center"/>
          </w:tcPr>
          <w:p>
            <w:pPr>
              <w:pStyle w:val="195"/>
              <w:bidi w:val="0"/>
              <w:ind w:left="0" w:leftChars="0" w:firstLine="0" w:firstLineChars="0"/>
              <w:rPr>
                <w:rFonts w:hint="eastAsia"/>
                <w:color w:val="auto"/>
                <w:sz w:val="18"/>
                <w:szCs w:val="18"/>
                <w:lang w:val="en-US" w:eastAsia="zh-CN"/>
              </w:rPr>
            </w:pPr>
            <w:r>
              <w:rPr>
                <w:rFonts w:hint="eastAsia"/>
                <w:color w:val="auto"/>
                <w:sz w:val="18"/>
                <w:szCs w:val="18"/>
                <w:lang w:val="en-US" w:eastAsia="zh-CN"/>
              </w:rPr>
              <w:t>0.000001</w:t>
            </w:r>
          </w:p>
        </w:tc>
      </w:tr>
    </w:tbl>
    <w:p>
      <w:pPr>
        <w:pStyle w:val="135"/>
        <w:tabs>
          <w:tab w:val="clear" w:pos="5400"/>
        </w:tabs>
        <w:bidi w:val="0"/>
        <w:rPr>
          <w:color w:val="auto"/>
        </w:rPr>
      </w:pPr>
      <w:r>
        <w:rPr>
          <w:color w:val="auto"/>
        </w:rPr>
        <w:t>表</w:t>
      </w:r>
      <w:r>
        <w:rPr>
          <w:rFonts w:hint="eastAsia"/>
          <w:color w:val="auto"/>
          <w:lang w:val="en-US" w:eastAsia="zh-CN"/>
        </w:rPr>
        <w:t>5-3</w:t>
      </w:r>
      <w:r>
        <w:rPr>
          <w:color w:val="auto"/>
        </w:rPr>
        <w:t xml:space="preserve"> 污染源非正常排放量核算表</w:t>
      </w:r>
    </w:p>
    <w:tbl>
      <w:tblPr>
        <w:tblStyle w:val="34"/>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01"/>
        <w:gridCol w:w="1891"/>
        <w:gridCol w:w="957"/>
        <w:gridCol w:w="1306"/>
        <w:gridCol w:w="1177"/>
        <w:gridCol w:w="924"/>
        <w:gridCol w:w="96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763"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非正常排放源</w:t>
            </w:r>
          </w:p>
        </w:tc>
        <w:tc>
          <w:tcPr>
            <w:tcW w:w="1109"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非正常排放原因</w:t>
            </w:r>
          </w:p>
        </w:tc>
        <w:tc>
          <w:tcPr>
            <w:tcW w:w="561"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766"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非正常排放速率（kg/h）</w:t>
            </w:r>
          </w:p>
        </w:tc>
        <w:tc>
          <w:tcPr>
            <w:tcW w:w="690" w:type="pct"/>
            <w:vAlign w:val="center"/>
          </w:tcPr>
          <w:p>
            <w:pPr>
              <w:adjustRightInd w:val="0"/>
              <w:snapToGrid w:val="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非正常排放浓度/mg/m</w:t>
            </w:r>
            <w:r>
              <w:rPr>
                <w:rFonts w:hint="default" w:ascii="Times New Roman" w:hAnsi="Times New Roman" w:cs="Times New Roman"/>
                <w:snapToGrid w:val="0"/>
                <w:color w:val="auto"/>
                <w:szCs w:val="21"/>
                <w:vertAlign w:val="superscript"/>
              </w:rPr>
              <w:t>3</w:t>
            </w:r>
          </w:p>
        </w:tc>
        <w:tc>
          <w:tcPr>
            <w:tcW w:w="542"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单次持续时间/</w:t>
            </w:r>
          </w:p>
        </w:tc>
        <w:tc>
          <w:tcPr>
            <w:tcW w:w="565"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年发生频次/次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763" w:type="pct"/>
            <w:vAlign w:val="center"/>
          </w:tcPr>
          <w:p>
            <w:pPr>
              <w:spacing w:line="0" w:lineRule="atLeast"/>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拌合系统粉尘</w:t>
            </w:r>
            <w:r>
              <w:rPr>
                <w:rFonts w:hint="default" w:ascii="Times New Roman" w:hAnsi="Times New Roman" w:cs="Times New Roman"/>
                <w:color w:val="auto"/>
                <w:szCs w:val="21"/>
              </w:rPr>
              <w:t>（DA001）</w:t>
            </w:r>
          </w:p>
        </w:tc>
        <w:tc>
          <w:tcPr>
            <w:tcW w:w="1109" w:type="pct"/>
            <w:vAlign w:val="center"/>
          </w:tcPr>
          <w:p>
            <w:pPr>
              <w:pStyle w:val="86"/>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当除尘系统滤袋破口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除尘系统处理效率下降</w:t>
            </w:r>
            <w:r>
              <w:rPr>
                <w:rFonts w:hint="default" w:ascii="Times New Roman" w:hAnsi="Times New Roman" w:cs="Times New Roman"/>
                <w:color w:val="auto"/>
                <w:sz w:val="21"/>
                <w:szCs w:val="21"/>
                <w:lang w:val="en-US" w:eastAsia="zh-CN"/>
              </w:rPr>
              <w:t>50%</w:t>
            </w:r>
          </w:p>
        </w:tc>
        <w:tc>
          <w:tcPr>
            <w:tcW w:w="561"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766" w:type="pct"/>
            <w:vAlign w:val="center"/>
          </w:tcPr>
          <w:p>
            <w:pPr>
              <w:spacing w:line="0" w:lineRule="atLeast"/>
              <w:contextualSpacing/>
              <w:jc w:val="center"/>
              <w:rPr>
                <w:rFonts w:hint="default" w:ascii="Times New Roman" w:hAnsi="Times New Roman" w:eastAsia="宋体" w:cs="Times New Roman"/>
                <w:color w:val="auto"/>
                <w:szCs w:val="21"/>
                <w:highlight w:val="yellow"/>
                <w:lang w:val="en-US" w:eastAsia="zh-CN"/>
              </w:rPr>
            </w:pPr>
            <w:r>
              <w:rPr>
                <w:rFonts w:hint="default" w:ascii="Times New Roman" w:hAnsi="Times New Roman" w:cs="Times New Roman"/>
                <w:color w:val="auto"/>
                <w:szCs w:val="21"/>
                <w:highlight w:val="none"/>
                <w:lang w:val="en-US" w:eastAsia="zh-CN"/>
              </w:rPr>
              <w:t>25.1</w:t>
            </w:r>
          </w:p>
        </w:tc>
        <w:tc>
          <w:tcPr>
            <w:tcW w:w="690" w:type="pct"/>
            <w:vAlign w:val="center"/>
          </w:tcPr>
          <w:p>
            <w:pPr>
              <w:pStyle w:val="83"/>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920</w:t>
            </w:r>
          </w:p>
        </w:tc>
        <w:tc>
          <w:tcPr>
            <w:tcW w:w="542" w:type="pct"/>
            <w:vMerge w:val="restar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65" w:type="pct"/>
            <w:vMerge w:val="restar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763" w:type="pct"/>
            <w:vAlign w:val="center"/>
          </w:tcPr>
          <w:p>
            <w:pPr>
              <w:spacing w:line="0" w:lineRule="atLeast"/>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导热油炉废气</w:t>
            </w:r>
            <w:r>
              <w:rPr>
                <w:rFonts w:hint="default" w:ascii="Times New Roman" w:hAnsi="Times New Roman" w:cs="Times New Roman"/>
                <w:color w:val="auto"/>
                <w:szCs w:val="21"/>
              </w:rPr>
              <w:t>（DA00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1891" w:type="dxa"/>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当除尘系统滤袋破口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除尘系统处理效率下降</w:t>
            </w:r>
            <w:r>
              <w:rPr>
                <w:rFonts w:hint="default" w:ascii="Times New Roman" w:hAnsi="Times New Roman" w:cs="Times New Roman"/>
                <w:color w:val="auto"/>
                <w:sz w:val="21"/>
                <w:szCs w:val="21"/>
                <w:lang w:val="en-US" w:eastAsia="zh-CN"/>
              </w:rPr>
              <w:t>50%</w:t>
            </w:r>
          </w:p>
        </w:tc>
        <w:tc>
          <w:tcPr>
            <w:tcW w:w="957" w:type="dxa"/>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766" w:type="pct"/>
            <w:vAlign w:val="center"/>
          </w:tcPr>
          <w:p>
            <w:pPr>
              <w:spacing w:line="0" w:lineRule="atLeast"/>
              <w:contextualSpacing/>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0.016</w:t>
            </w:r>
          </w:p>
        </w:tc>
        <w:tc>
          <w:tcPr>
            <w:tcW w:w="690" w:type="pct"/>
            <w:vAlign w:val="center"/>
          </w:tcPr>
          <w:p>
            <w:pPr>
              <w:pStyle w:val="83"/>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10.18</w:t>
            </w:r>
          </w:p>
        </w:tc>
        <w:tc>
          <w:tcPr>
            <w:tcW w:w="542"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c>
          <w:tcPr>
            <w:tcW w:w="565"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5" w:hRule="atLeast"/>
          <w:jc w:val="center"/>
        </w:trPr>
        <w:tc>
          <w:tcPr>
            <w:tcW w:w="763" w:type="pct"/>
            <w:vMerge w:val="restart"/>
            <w:vAlign w:val="center"/>
          </w:tcPr>
          <w:p>
            <w:pPr>
              <w:spacing w:line="0" w:lineRule="atLeast"/>
              <w:contextualSpacing/>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lang w:val="en-US" w:eastAsia="zh-CN"/>
              </w:rPr>
              <w:t>沥青预处理系统、拌合系统废气</w:t>
            </w:r>
            <w:r>
              <w:rPr>
                <w:rFonts w:hint="default" w:ascii="Times New Roman" w:hAnsi="Times New Roman" w:cs="Times New Roman"/>
                <w:color w:val="auto"/>
                <w:szCs w:val="21"/>
              </w:rPr>
              <w:t>（DA00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c>
          <w:tcPr>
            <w:tcW w:w="1109" w:type="pct"/>
            <w:vMerge w:val="restar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bCs/>
                <w:color w:val="auto"/>
                <w:sz w:val="21"/>
                <w:szCs w:val="21"/>
                <w:lang w:eastAsia="zh-CN"/>
              </w:rPr>
              <w:t>活性炭吸附</w:t>
            </w:r>
            <w:r>
              <w:rPr>
                <w:rFonts w:hint="default" w:ascii="Times New Roman" w:hAnsi="Times New Roman" w:cs="Times New Roman"/>
                <w:color w:val="auto"/>
                <w:sz w:val="21"/>
                <w:szCs w:val="21"/>
              </w:rPr>
              <w:t>废气处理设备故障，处理装置异味处理效率下降，本项目异味处理效率按50%考虑</w:t>
            </w:r>
          </w:p>
        </w:tc>
        <w:tc>
          <w:tcPr>
            <w:tcW w:w="561"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沥青烟</w:t>
            </w:r>
          </w:p>
        </w:tc>
        <w:tc>
          <w:tcPr>
            <w:tcW w:w="1306" w:type="dxa"/>
            <w:vAlign w:val="center"/>
          </w:tcPr>
          <w:p>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0.18</w:t>
            </w:r>
          </w:p>
        </w:tc>
        <w:tc>
          <w:tcPr>
            <w:tcW w:w="1177" w:type="dxa"/>
            <w:vAlign w:val="center"/>
          </w:tcPr>
          <w:p>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542"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c>
          <w:tcPr>
            <w:tcW w:w="565"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0" w:hRule="atLeast"/>
          <w:jc w:val="center"/>
        </w:trPr>
        <w:tc>
          <w:tcPr>
            <w:tcW w:w="763" w:type="pct"/>
            <w:vMerge w:val="continue"/>
            <w:vAlign w:val="center"/>
          </w:tcPr>
          <w:p>
            <w:pPr>
              <w:spacing w:line="0" w:lineRule="atLeast"/>
              <w:contextualSpacing/>
              <w:jc w:val="center"/>
              <w:rPr>
                <w:rFonts w:hint="default" w:ascii="Times New Roman" w:hAnsi="Times New Roman" w:cs="Times New Roman"/>
                <w:color w:val="auto"/>
                <w:szCs w:val="21"/>
              </w:rPr>
            </w:pPr>
          </w:p>
        </w:tc>
        <w:tc>
          <w:tcPr>
            <w:tcW w:w="1109"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c>
          <w:tcPr>
            <w:tcW w:w="561"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苯并[a]芘</w:t>
            </w:r>
          </w:p>
        </w:tc>
        <w:tc>
          <w:tcPr>
            <w:tcW w:w="1306" w:type="dxa"/>
            <w:vAlign w:val="center"/>
          </w:tcPr>
          <w:p>
            <w:pPr>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3.75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c>
          <w:tcPr>
            <w:tcW w:w="1177" w:type="dxa"/>
            <w:vAlign w:val="center"/>
          </w:tcPr>
          <w:p>
            <w:pPr>
              <w:contextualSpacing/>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0.0001</w:t>
            </w:r>
          </w:p>
        </w:tc>
        <w:tc>
          <w:tcPr>
            <w:tcW w:w="542"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c>
          <w:tcPr>
            <w:tcW w:w="565"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0" w:hRule="atLeast"/>
          <w:jc w:val="center"/>
        </w:trPr>
        <w:tc>
          <w:tcPr>
            <w:tcW w:w="763" w:type="pct"/>
            <w:vMerge w:val="continue"/>
            <w:vAlign w:val="center"/>
          </w:tcPr>
          <w:p>
            <w:pPr>
              <w:spacing w:line="0" w:lineRule="atLeast"/>
              <w:contextualSpacing/>
              <w:jc w:val="center"/>
              <w:rPr>
                <w:rFonts w:hint="default" w:ascii="Times New Roman" w:hAnsi="Times New Roman" w:cs="Times New Roman"/>
                <w:color w:val="auto"/>
                <w:szCs w:val="21"/>
              </w:rPr>
            </w:pPr>
          </w:p>
        </w:tc>
        <w:tc>
          <w:tcPr>
            <w:tcW w:w="1109"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c>
          <w:tcPr>
            <w:tcW w:w="561" w:type="pct"/>
            <w:vAlign w:val="center"/>
          </w:tcPr>
          <w:p>
            <w:pPr>
              <w:pStyle w:val="86"/>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1306" w:type="dxa"/>
            <w:vAlign w:val="center"/>
          </w:tcPr>
          <w:p>
            <w:pPr>
              <w:contextualSpacing/>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0.01</w:t>
            </w:r>
          </w:p>
        </w:tc>
        <w:tc>
          <w:tcPr>
            <w:tcW w:w="1177" w:type="dxa"/>
            <w:vAlign w:val="center"/>
          </w:tcPr>
          <w:p>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0.25</w:t>
            </w:r>
          </w:p>
        </w:tc>
        <w:tc>
          <w:tcPr>
            <w:tcW w:w="542"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c>
          <w:tcPr>
            <w:tcW w:w="565" w:type="pct"/>
            <w:vMerge w:val="continue"/>
            <w:vAlign w:val="center"/>
          </w:tcPr>
          <w:p>
            <w:pPr>
              <w:pStyle w:val="86"/>
              <w:spacing w:line="240" w:lineRule="auto"/>
              <w:ind w:firstLine="0" w:firstLineChars="0"/>
              <w:jc w:val="center"/>
              <w:rPr>
                <w:rFonts w:hint="default" w:ascii="Times New Roman" w:hAnsi="Times New Roman" w:cs="Times New Roman"/>
                <w:color w:val="auto"/>
                <w:sz w:val="21"/>
                <w:szCs w:val="21"/>
              </w:rPr>
            </w:pPr>
          </w:p>
        </w:tc>
      </w:tr>
    </w:tbl>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63" w:name="_Toc6627"/>
      <w:bookmarkStart w:id="264" w:name="_Toc12298"/>
      <w:bookmarkStart w:id="265" w:name="_Toc20874"/>
      <w:bookmarkStart w:id="266" w:name="_Toc19021"/>
      <w:r>
        <w:rPr>
          <w:rFonts w:ascii="Times New Roman" w:hAnsi="Times New Roman" w:eastAsia="宋体" w:cs="Times New Roman"/>
          <w:b w:val="0"/>
          <w:bCs/>
          <w:color w:val="auto"/>
          <w:sz w:val="24"/>
          <w:szCs w:val="24"/>
          <w:highlight w:val="none"/>
        </w:rPr>
        <w:t>5.</w:t>
      </w:r>
      <w:r>
        <w:rPr>
          <w:rFonts w:hint="eastAsia" w:ascii="Times New Roman" w:hAnsi="Times New Roman" w:eastAsia="宋体" w:cs="Times New Roman"/>
          <w:b w:val="0"/>
          <w:bCs/>
          <w:color w:val="auto"/>
          <w:sz w:val="24"/>
          <w:szCs w:val="24"/>
          <w:highlight w:val="none"/>
          <w:lang w:val="en-US" w:eastAsia="zh-CN"/>
        </w:rPr>
        <w:t>3环境防护距离</w:t>
      </w:r>
      <w:bookmarkEnd w:id="263"/>
      <w:bookmarkEnd w:id="264"/>
      <w:bookmarkEnd w:id="265"/>
      <w:bookmarkEnd w:id="266"/>
    </w:p>
    <w:p>
      <w:pPr>
        <w:pStyle w:val="117"/>
        <w:bidi w:val="0"/>
        <w:rPr>
          <w:rFonts w:hint="default"/>
          <w:color w:val="auto"/>
          <w:lang w:val="en-US" w:eastAsia="zh-CN"/>
        </w:rPr>
      </w:pPr>
      <w:r>
        <w:rPr>
          <w:rFonts w:hint="default"/>
          <w:color w:val="auto"/>
          <w:lang w:val="en-US" w:eastAsia="zh-CN"/>
        </w:rPr>
        <w:t>根据《环境影响评价技术导则 大气环境》（HJ2.2-2018）中“评价等级判定及大气环境影响预测与评价”的要求，以项目排放的颗粒物、二氧化硫、氮氧化物、沥青烟、苯并[a]芘、非甲烷总烃为污染源，经估算模型计算，评价工作等级为二级，不进行进一步预测与评价，厂界外污染物短期贡献浓度未超过环境质量短期浓度标准值，项目不设置大气环境防护距离。</w:t>
      </w:r>
    </w:p>
    <w:p>
      <w:pPr>
        <w:pStyle w:val="3"/>
        <w:numPr>
          <w:ilvl w:val="0"/>
          <w:numId w:val="0"/>
        </w:numPr>
        <w:bidi w:val="0"/>
        <w:ind w:leftChars="0"/>
        <w:rPr>
          <w:rFonts w:hint="default" w:ascii="宋体" w:hAnsi="宋体" w:eastAsia="宋体" w:cs="Times New Roman"/>
          <w:b w:val="0"/>
          <w:bCs w:val="0"/>
          <w:color w:val="auto"/>
          <w:sz w:val="28"/>
          <w:szCs w:val="28"/>
        </w:rPr>
      </w:pPr>
      <w:bookmarkStart w:id="267" w:name="_Toc22376"/>
      <w:bookmarkStart w:id="268" w:name="_Toc26450"/>
      <w:bookmarkStart w:id="269" w:name="_Toc12925"/>
      <w:bookmarkStart w:id="270" w:name="_Toc23824"/>
      <w:bookmarkStart w:id="271" w:name="_Toc19347"/>
      <w:bookmarkStart w:id="272" w:name="_Toc22175"/>
      <w:bookmarkStart w:id="273" w:name="_Toc267"/>
      <w:bookmarkStart w:id="274" w:name="_Toc4578"/>
      <w:bookmarkStart w:id="275" w:name="_Toc10473"/>
      <w:bookmarkStart w:id="276" w:name="_Toc13974"/>
      <w:r>
        <w:rPr>
          <w:rFonts w:hint="default" w:ascii="宋体" w:hAnsi="宋体" w:eastAsia="宋体" w:cs="Times New Roman"/>
          <w:b w:val="0"/>
          <w:bCs w:val="0"/>
          <w:color w:val="auto"/>
          <w:sz w:val="28"/>
          <w:szCs w:val="28"/>
        </w:rPr>
        <w:t>6大气污染防治措施及其可行性论证</w:t>
      </w:r>
      <w:bookmarkEnd w:id="267"/>
      <w:bookmarkEnd w:id="268"/>
      <w:bookmarkEnd w:id="269"/>
      <w:bookmarkEnd w:id="270"/>
      <w:bookmarkEnd w:id="271"/>
      <w:bookmarkEnd w:id="272"/>
      <w:bookmarkEnd w:id="273"/>
      <w:bookmarkEnd w:id="274"/>
      <w:bookmarkEnd w:id="275"/>
      <w:bookmarkEnd w:id="276"/>
    </w:p>
    <w:p>
      <w:pPr>
        <w:spacing w:line="360" w:lineRule="auto"/>
        <w:ind w:firstLine="480" w:firstLineChars="200"/>
        <w:contextualSpacing/>
        <w:jc w:val="left"/>
        <w:rPr>
          <w:color w:val="auto"/>
          <w:sz w:val="24"/>
        </w:rPr>
      </w:pPr>
      <w:r>
        <w:rPr>
          <w:color w:val="auto"/>
          <w:sz w:val="24"/>
        </w:rPr>
        <w:t>袋式除尘技术是利用纤维织物的拦截、惯性、扩散、重力、静电等协同作用对含尘气体进行过滤的技术，当含尘气体进入袋式除尘器后，颗粒大、比重大的烟尘，由于重力的作用沉降下来，落入灰斗，</w:t>
      </w:r>
      <w:r>
        <w:rPr>
          <w:rFonts w:hint="eastAsia"/>
          <w:color w:val="auto"/>
          <w:sz w:val="24"/>
        </w:rPr>
        <w:t>废气</w:t>
      </w:r>
      <w:r>
        <w:rPr>
          <w:color w:val="auto"/>
          <w:sz w:val="24"/>
        </w:rPr>
        <w:t>中较细小的</w:t>
      </w:r>
      <w:r>
        <w:rPr>
          <w:rFonts w:hint="eastAsia"/>
          <w:color w:val="auto"/>
          <w:sz w:val="24"/>
        </w:rPr>
        <w:t>颗粒</w:t>
      </w:r>
      <w:r>
        <w:rPr>
          <w:color w:val="auto"/>
          <w:sz w:val="24"/>
        </w:rPr>
        <w:t>在通过滤料时被阻留，使</w:t>
      </w:r>
      <w:r>
        <w:rPr>
          <w:rFonts w:hint="eastAsia"/>
          <w:color w:val="auto"/>
          <w:sz w:val="24"/>
        </w:rPr>
        <w:t>废气</w:t>
      </w:r>
      <w:r>
        <w:rPr>
          <w:color w:val="auto"/>
          <w:sz w:val="24"/>
        </w:rPr>
        <w:t>得到净化，袋式除尘器除尘效率基本不受烟尘比电阻和烟气工况变化等影响，占地面积小，控制系统简单，可实现较为稳定的低排放。袋式除尘器除尘效率为99.5%~99.99%。</w:t>
      </w:r>
      <w:r>
        <w:rPr>
          <w:rFonts w:hint="eastAsia" w:ascii="宋体" w:hAnsi="宋体" w:cs="宋体"/>
          <w:color w:val="auto"/>
          <w:sz w:val="24"/>
        </w:rPr>
        <w:t>根据《排污许可证申请与核发技术规范 石墨及其他非金属矿物制品制造》（</w:t>
      </w:r>
      <w:r>
        <w:rPr>
          <w:color w:val="auto"/>
          <w:sz w:val="24"/>
        </w:rPr>
        <w:t>HJ1119</w:t>
      </w:r>
      <w:r>
        <w:rPr>
          <w:rFonts w:hint="eastAsia" w:ascii="宋体" w:hAnsi="宋体" w:cs="宋体"/>
          <w:color w:val="auto"/>
          <w:sz w:val="24"/>
        </w:rPr>
        <w:t>—</w:t>
      </w:r>
      <w:r>
        <w:rPr>
          <w:color w:val="auto"/>
          <w:sz w:val="24"/>
        </w:rPr>
        <w:t>2020</w:t>
      </w:r>
      <w:r>
        <w:rPr>
          <w:rFonts w:hint="eastAsia" w:ascii="宋体" w:hAnsi="宋体" w:cs="宋体"/>
          <w:color w:val="auto"/>
          <w:sz w:val="24"/>
        </w:rPr>
        <w:t>）中粉料仓给出的除尘技术措施可知，项目回配备</w:t>
      </w:r>
      <w:r>
        <w:rPr>
          <w:rFonts w:hint="eastAsia"/>
          <w:color w:val="auto"/>
          <w:sz w:val="24"/>
        </w:rPr>
        <w:t>除尘系统（</w:t>
      </w:r>
      <w:r>
        <w:rPr>
          <w:rFonts w:hint="eastAsia"/>
          <w:color w:val="auto"/>
          <w:sz w:val="24"/>
          <w:lang w:val="en-US" w:eastAsia="zh-CN"/>
        </w:rPr>
        <w:t>重力</w:t>
      </w:r>
      <w:r>
        <w:rPr>
          <w:rFonts w:hint="eastAsia"/>
          <w:color w:val="auto"/>
          <w:sz w:val="24"/>
          <w:lang w:eastAsia="zh-CN"/>
        </w:rPr>
        <w:t>+布袋</w:t>
      </w:r>
      <w:r>
        <w:rPr>
          <w:rFonts w:hint="eastAsia"/>
          <w:color w:val="auto"/>
          <w:sz w:val="24"/>
        </w:rPr>
        <w:t>）属于可行性技术。</w:t>
      </w:r>
    </w:p>
    <w:p>
      <w:pPr>
        <w:pStyle w:val="171"/>
        <w:snapToGrid/>
        <w:ind w:firstLine="480"/>
        <w:contextualSpacing/>
        <w:jc w:val="left"/>
        <w:rPr>
          <w:rFonts w:hAnsiTheme="minorEastAsia" w:eastAsiaTheme="minorEastAsia"/>
          <w:color w:val="auto"/>
          <w:kern w:val="0"/>
          <w:sz w:val="24"/>
        </w:rPr>
      </w:pPr>
      <w:r>
        <w:rPr>
          <w:rFonts w:hAnsiTheme="minorEastAsia" w:eastAsiaTheme="minorEastAsia"/>
          <w:color w:val="auto"/>
          <w:kern w:val="0"/>
          <w:sz w:val="24"/>
        </w:rPr>
        <w:t>根据</w:t>
      </w:r>
      <w:r>
        <w:rPr>
          <w:rFonts w:hAnsiTheme="minorEastAsia" w:eastAsiaTheme="minorEastAsia"/>
          <w:bCs/>
          <w:color w:val="auto"/>
          <w:kern w:val="0"/>
          <w:sz w:val="24"/>
        </w:rPr>
        <w:t>《大气污染物综合排放标准》（</w:t>
      </w:r>
      <w:r>
        <w:rPr>
          <w:rFonts w:eastAsiaTheme="minorEastAsia"/>
          <w:bCs/>
          <w:color w:val="auto"/>
          <w:kern w:val="0"/>
          <w:sz w:val="24"/>
        </w:rPr>
        <w:t>GB16297-1996</w:t>
      </w:r>
      <w:r>
        <w:rPr>
          <w:rFonts w:hAnsiTheme="minorEastAsia" w:eastAsiaTheme="minorEastAsia"/>
          <w:bCs/>
          <w:color w:val="auto"/>
          <w:kern w:val="0"/>
          <w:sz w:val="24"/>
        </w:rPr>
        <w:t>）</w:t>
      </w:r>
      <w:r>
        <w:rPr>
          <w:rFonts w:hAnsiTheme="minorEastAsia" w:eastAsiaTheme="minorEastAsia"/>
          <w:color w:val="auto"/>
          <w:kern w:val="0"/>
          <w:sz w:val="24"/>
        </w:rPr>
        <w:t>中要求的</w:t>
      </w:r>
      <w:r>
        <w:rPr>
          <w:rFonts w:hint="eastAsia" w:eastAsiaTheme="minorEastAsia"/>
          <w:color w:val="auto"/>
          <w:kern w:val="0"/>
          <w:sz w:val="24"/>
        </w:rPr>
        <w:t>“</w:t>
      </w:r>
      <w:r>
        <w:rPr>
          <w:rFonts w:hint="eastAsia" w:hAnsiTheme="minorEastAsia" w:eastAsiaTheme="minorEastAsia"/>
          <w:color w:val="auto"/>
          <w:kern w:val="0"/>
          <w:sz w:val="24"/>
        </w:rPr>
        <w:t>排气筒</w:t>
      </w:r>
      <w:r>
        <w:rPr>
          <w:rFonts w:hAnsiTheme="minorEastAsia" w:eastAsiaTheme="minorEastAsia"/>
          <w:color w:val="auto"/>
          <w:kern w:val="0"/>
          <w:sz w:val="24"/>
        </w:rPr>
        <w:t>高度高出周围半径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5m以上”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lang w:val="en-US" w:eastAsia="zh-CN"/>
        </w:rPr>
        <w:t>10</w:t>
      </w:r>
      <w:r>
        <w:rPr>
          <w:rFonts w:hint="eastAsia" w:hAnsiTheme="minorEastAsia" w:eastAsiaTheme="minorEastAsia"/>
          <w:color w:val="auto"/>
          <w:kern w:val="0"/>
          <w:sz w:val="24"/>
        </w:rPr>
        <w:t>m，本项目排气筒高度为</w:t>
      </w:r>
      <w:r>
        <w:rPr>
          <w:rFonts w:hint="eastAsia" w:hAnsiTheme="minorEastAsia" w:eastAsiaTheme="minorEastAsia"/>
          <w:color w:val="auto"/>
          <w:kern w:val="0"/>
          <w:sz w:val="24"/>
          <w:lang w:val="en-US" w:eastAsia="zh-CN"/>
        </w:rPr>
        <w:t>15</w:t>
      </w:r>
      <w:r>
        <w:rPr>
          <w:rFonts w:hint="eastAsia" w:hAnsiTheme="minorEastAsia" w:eastAsiaTheme="minorEastAsia"/>
          <w:color w:val="auto"/>
          <w:kern w:val="0"/>
          <w:sz w:val="24"/>
        </w:rPr>
        <w:t>m，高于</w:t>
      </w:r>
      <w:r>
        <w:rPr>
          <w:rFonts w:hAnsiTheme="minorEastAsia" w:eastAsiaTheme="minorEastAsia"/>
          <w:color w:val="auto"/>
          <w:kern w:val="0"/>
          <w:sz w:val="24"/>
        </w:rPr>
        <w:t>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5m以上。因此，本项目</w:t>
      </w:r>
      <w:r>
        <w:rPr>
          <w:rFonts w:hint="eastAsia"/>
          <w:color w:val="auto"/>
          <w:sz w:val="24"/>
        </w:rPr>
        <w:t>除尘系统排气筒（DA001）设置合理。</w:t>
      </w:r>
    </w:p>
    <w:p>
      <w:pPr>
        <w:spacing w:line="360" w:lineRule="auto"/>
        <w:ind w:firstLine="480" w:firstLineChars="200"/>
        <w:contextualSpacing/>
        <w:rPr>
          <w:rFonts w:hint="eastAsia"/>
          <w:color w:val="auto"/>
          <w:sz w:val="24"/>
        </w:rPr>
      </w:pPr>
      <w:r>
        <w:rPr>
          <w:rFonts w:hAnsiTheme="minorEastAsia" w:eastAsiaTheme="minorEastAsia"/>
          <w:color w:val="auto"/>
          <w:kern w:val="0"/>
          <w:sz w:val="24"/>
        </w:rPr>
        <w:t>根据</w:t>
      </w:r>
      <w:r>
        <w:rPr>
          <w:bCs/>
          <w:color w:val="auto"/>
          <w:sz w:val="24"/>
        </w:rPr>
        <w:t>《锅炉大气污染物排放标准》（GB13271-2014）</w:t>
      </w:r>
      <w:r>
        <w:rPr>
          <w:rFonts w:hAnsiTheme="minorEastAsia" w:eastAsiaTheme="minorEastAsia"/>
          <w:color w:val="auto"/>
          <w:kern w:val="0"/>
          <w:sz w:val="24"/>
        </w:rPr>
        <w:t>中要求的</w:t>
      </w:r>
      <w:r>
        <w:rPr>
          <w:rFonts w:hint="eastAsia" w:eastAsiaTheme="minorEastAsia"/>
          <w:color w:val="auto"/>
          <w:kern w:val="0"/>
          <w:sz w:val="24"/>
        </w:rPr>
        <w:t>“燃</w:t>
      </w:r>
      <w:r>
        <w:rPr>
          <w:rFonts w:hint="eastAsia" w:eastAsiaTheme="minorEastAsia"/>
          <w:color w:val="auto"/>
          <w:kern w:val="0"/>
          <w:sz w:val="24"/>
          <w:lang w:val="en-US" w:eastAsia="zh-CN"/>
        </w:rPr>
        <w:t>油</w:t>
      </w:r>
      <w:r>
        <w:rPr>
          <w:rFonts w:hint="eastAsia" w:eastAsiaTheme="minorEastAsia"/>
          <w:color w:val="auto"/>
          <w:kern w:val="0"/>
          <w:sz w:val="24"/>
        </w:rPr>
        <w:t>锅炉烟囱不低于8m，新建锅炉房的烟囱周围</w:t>
      </w:r>
      <w:r>
        <w:rPr>
          <w:rFonts w:hAnsiTheme="minorEastAsia" w:eastAsiaTheme="minorEastAsia"/>
          <w:color w:val="auto"/>
          <w:kern w:val="0"/>
          <w:sz w:val="24"/>
        </w:rPr>
        <w:t>半径</w:t>
      </w:r>
      <w:r>
        <w:rPr>
          <w:rFonts w:eastAsiaTheme="minorEastAsia"/>
          <w:color w:val="auto"/>
          <w:kern w:val="0"/>
          <w:sz w:val="24"/>
        </w:rPr>
        <w:t>200m范围内</w:t>
      </w:r>
      <w:r>
        <w:rPr>
          <w:rFonts w:hint="eastAsia" w:eastAsiaTheme="minorEastAsia"/>
          <w:color w:val="auto"/>
          <w:kern w:val="0"/>
          <w:sz w:val="24"/>
        </w:rPr>
        <w:t>有</w:t>
      </w:r>
      <w:r>
        <w:rPr>
          <w:rFonts w:hAnsiTheme="minorEastAsia" w:eastAsiaTheme="minorEastAsia"/>
          <w:color w:val="auto"/>
          <w:kern w:val="0"/>
          <w:sz w:val="24"/>
        </w:rPr>
        <w:t>建筑物时，其烟囱高出最高建筑物</w:t>
      </w:r>
      <w:r>
        <w:rPr>
          <w:rFonts w:hint="eastAsia" w:hAnsiTheme="minorEastAsia" w:eastAsiaTheme="minorEastAsia"/>
          <w:color w:val="auto"/>
          <w:kern w:val="0"/>
          <w:sz w:val="24"/>
        </w:rPr>
        <w:t>3m以上”</w:t>
      </w:r>
      <w:r>
        <w:rPr>
          <w:rFonts w:hAnsiTheme="minorEastAsia" w:eastAsiaTheme="minorEastAsia"/>
          <w:color w:val="auto"/>
          <w:kern w:val="0"/>
          <w:sz w:val="24"/>
        </w:rPr>
        <w:t>，本项目周围半径</w:t>
      </w:r>
      <w:r>
        <w:rPr>
          <w:rFonts w:eastAsiaTheme="minorEastAsia"/>
          <w:color w:val="auto"/>
          <w:kern w:val="0"/>
          <w:sz w:val="24"/>
        </w:rPr>
        <w:t>200m范围内</w:t>
      </w:r>
      <w:r>
        <w:rPr>
          <w:rFonts w:hint="eastAsia" w:eastAsiaTheme="minorEastAsia"/>
          <w:color w:val="auto"/>
          <w:kern w:val="0"/>
          <w:sz w:val="24"/>
        </w:rPr>
        <w:t>最高</w:t>
      </w:r>
      <w:r>
        <w:rPr>
          <w:rFonts w:hAnsiTheme="minorEastAsia" w:eastAsiaTheme="minorEastAsia"/>
          <w:color w:val="auto"/>
          <w:kern w:val="0"/>
          <w:sz w:val="24"/>
        </w:rPr>
        <w:t>建筑物为</w:t>
      </w:r>
      <w:r>
        <w:rPr>
          <w:rFonts w:hint="eastAsia" w:hAnsiTheme="minorEastAsia" w:eastAsiaTheme="minorEastAsia"/>
          <w:color w:val="auto"/>
          <w:kern w:val="0"/>
          <w:sz w:val="24"/>
          <w:lang w:val="en-US" w:eastAsia="zh-CN"/>
        </w:rPr>
        <w:t>10</w:t>
      </w:r>
      <w:r>
        <w:rPr>
          <w:rFonts w:hint="eastAsia" w:hAnsiTheme="minorEastAsia" w:eastAsiaTheme="minorEastAsia"/>
          <w:color w:val="auto"/>
          <w:kern w:val="0"/>
          <w:sz w:val="24"/>
        </w:rPr>
        <w:t>m，本项目锅炉烟囱高度为</w:t>
      </w:r>
      <w:r>
        <w:rPr>
          <w:rFonts w:hint="eastAsia" w:hAnsiTheme="minorEastAsia" w:eastAsiaTheme="minorEastAsia"/>
          <w:color w:val="auto"/>
          <w:kern w:val="0"/>
          <w:sz w:val="24"/>
          <w:lang w:val="en-US" w:eastAsia="zh-CN"/>
        </w:rPr>
        <w:t>15</w:t>
      </w:r>
      <w:r>
        <w:rPr>
          <w:rFonts w:hint="eastAsia" w:hAnsiTheme="minorEastAsia" w:eastAsiaTheme="minorEastAsia"/>
          <w:color w:val="auto"/>
          <w:kern w:val="0"/>
          <w:sz w:val="24"/>
        </w:rPr>
        <w:t>m，高于</w:t>
      </w:r>
      <w:r>
        <w:rPr>
          <w:rFonts w:hAnsiTheme="minorEastAsia" w:eastAsiaTheme="minorEastAsia"/>
          <w:color w:val="auto"/>
          <w:kern w:val="0"/>
          <w:sz w:val="24"/>
        </w:rPr>
        <w:t>周围半径</w:t>
      </w:r>
      <w:r>
        <w:rPr>
          <w:rFonts w:eastAsiaTheme="minorEastAsia"/>
          <w:color w:val="auto"/>
          <w:kern w:val="0"/>
          <w:sz w:val="24"/>
        </w:rPr>
        <w:t>200m范围内的</w:t>
      </w:r>
      <w:r>
        <w:rPr>
          <w:rFonts w:hAnsiTheme="minorEastAsia" w:eastAsiaTheme="minorEastAsia"/>
          <w:color w:val="auto"/>
          <w:kern w:val="0"/>
          <w:sz w:val="24"/>
        </w:rPr>
        <w:t>建筑物</w:t>
      </w:r>
      <w:r>
        <w:rPr>
          <w:rFonts w:hint="eastAsia" w:hAnsiTheme="minorEastAsia" w:eastAsiaTheme="minorEastAsia"/>
          <w:color w:val="auto"/>
          <w:kern w:val="0"/>
          <w:sz w:val="24"/>
        </w:rPr>
        <w:t>3m以上。因此，本项目</w:t>
      </w:r>
      <w:r>
        <w:rPr>
          <w:rFonts w:hint="eastAsia"/>
          <w:color w:val="auto"/>
          <w:sz w:val="24"/>
        </w:rPr>
        <w:t>排气筒（DA002）设置合理。</w:t>
      </w:r>
    </w:p>
    <w:p>
      <w:pPr>
        <w:pStyle w:val="86"/>
        <w:rPr>
          <w:bCs/>
          <w:color w:val="auto"/>
        </w:rPr>
      </w:pPr>
      <w:r>
        <w:rPr>
          <w:bCs/>
          <w:color w:val="auto"/>
        </w:rPr>
        <w:t>根据《排污许可证申请与核发技术规范 石墨及其他非金属矿物制品制造》（HJ1119-2020）附录A，</w:t>
      </w:r>
      <w:r>
        <w:rPr>
          <w:color w:val="auto"/>
        </w:rPr>
        <w:t>沥青罐呼吸及成品出料废气采用</w:t>
      </w:r>
      <w:r>
        <w:rPr>
          <w:rFonts w:hint="eastAsia"/>
          <w:bCs/>
          <w:color w:val="auto"/>
          <w:lang w:eastAsia="zh-CN"/>
        </w:rPr>
        <w:t>活性炭吸附</w:t>
      </w:r>
      <w:r>
        <w:rPr>
          <w:color w:val="auto"/>
        </w:rPr>
        <w:t>措施</w:t>
      </w:r>
      <w:r>
        <w:rPr>
          <w:bCs/>
          <w:color w:val="auto"/>
        </w:rPr>
        <w:t>为可行性技术</w:t>
      </w:r>
      <w:r>
        <w:rPr>
          <w:rFonts w:hint="eastAsia"/>
          <w:bCs/>
          <w:color w:val="auto"/>
        </w:rPr>
        <w:t>。本项目</w:t>
      </w:r>
      <w:r>
        <w:rPr>
          <w:bCs/>
          <w:color w:val="auto"/>
        </w:rPr>
        <w:t>沥青罐呼吸及成品出料废气采用</w:t>
      </w:r>
      <w:r>
        <w:rPr>
          <w:rFonts w:hint="eastAsia"/>
          <w:bCs/>
          <w:color w:val="auto"/>
          <w:lang w:eastAsia="zh-CN"/>
        </w:rPr>
        <w:t>活性炭吸附</w:t>
      </w:r>
      <w:r>
        <w:rPr>
          <w:rFonts w:hint="eastAsia"/>
          <w:bCs/>
          <w:color w:val="auto"/>
        </w:rPr>
        <w:t>属于可行性技术。</w:t>
      </w:r>
    </w:p>
    <w:p>
      <w:pPr>
        <w:pStyle w:val="117"/>
        <w:bidi w:val="0"/>
        <w:rPr>
          <w:rFonts w:hint="eastAsia" w:eastAsia="宋体"/>
          <w:bCs/>
          <w:color w:val="auto"/>
          <w:lang w:val="en-US" w:eastAsia="zh-CN"/>
        </w:rPr>
      </w:pPr>
      <w:r>
        <w:rPr>
          <w:rFonts w:hint="eastAsia"/>
          <w:bCs/>
          <w:color w:val="auto"/>
        </w:rPr>
        <w:t>无组织采取洒水降尘满足无组织排放控制要求，根据《扬尘源颗粒物排放清单编制技术指南（试行）》，堆场风蚀TSP洒水控制效率为52%，堆场操作（集堆产装参照堆场操作）TSP洒水控制效率为74%；上料过程参照《逸散性工业粉尘控制技术》原料卸料水喷雾洒水抑尘效率为50%，因此本项目铲装集堆、装卸采取洒水降尘技术可行</w:t>
      </w:r>
      <w:r>
        <w:rPr>
          <w:rFonts w:hint="eastAsia"/>
          <w:bCs/>
          <w:color w:val="auto"/>
          <w:lang w:eastAsia="zh-CN"/>
        </w:rPr>
        <w:t>。</w:t>
      </w:r>
    </w:p>
    <w:p>
      <w:pPr>
        <w:pStyle w:val="117"/>
        <w:bidi w:val="0"/>
        <w:rPr>
          <w:rFonts w:hint="default"/>
          <w:color w:val="auto"/>
          <w:lang w:val="en-US" w:eastAsia="zh-CN"/>
        </w:rPr>
      </w:pPr>
      <w:r>
        <w:rPr>
          <w:rFonts w:hint="default"/>
          <w:color w:val="auto"/>
          <w:lang w:val="en-US" w:eastAsia="zh-CN"/>
        </w:rPr>
        <w:t>综上，在采取本次评价提出的有组织废气治理措施和无组织废气防治措施后，各污染物排放均可满足相应排放标准，且能够做到稳定达标排放，因此本项目采取的大气污染防治措施可行。</w:t>
      </w:r>
    </w:p>
    <w:p>
      <w:pPr>
        <w:pStyle w:val="3"/>
        <w:numPr>
          <w:ilvl w:val="0"/>
          <w:numId w:val="0"/>
        </w:numPr>
        <w:bidi w:val="0"/>
        <w:ind w:leftChars="0"/>
        <w:rPr>
          <w:rFonts w:hint="eastAsia" w:ascii="宋体" w:hAnsi="宋体" w:eastAsia="宋体" w:cs="Times New Roman"/>
          <w:b w:val="0"/>
          <w:bCs w:val="0"/>
          <w:color w:val="auto"/>
          <w:sz w:val="28"/>
          <w:szCs w:val="28"/>
        </w:rPr>
      </w:pPr>
      <w:bookmarkStart w:id="277" w:name="_Toc15896"/>
      <w:bookmarkStart w:id="278" w:name="_Toc28309"/>
      <w:bookmarkStart w:id="279" w:name="_Toc22117"/>
      <w:bookmarkStart w:id="280" w:name="_Toc9225"/>
      <w:bookmarkStart w:id="281" w:name="_Toc16668"/>
      <w:bookmarkStart w:id="282" w:name="_Toc24928"/>
      <w:bookmarkStart w:id="283" w:name="_Toc28760"/>
      <w:bookmarkStart w:id="284" w:name="_Toc31270"/>
      <w:bookmarkStart w:id="285" w:name="_Toc26106"/>
      <w:bookmarkStart w:id="286" w:name="_Toc24912"/>
      <w:r>
        <w:rPr>
          <w:rFonts w:hint="eastAsia" w:ascii="宋体" w:hAnsi="宋体" w:eastAsia="宋体" w:cs="Times New Roman"/>
          <w:b w:val="0"/>
          <w:bCs w:val="0"/>
          <w:color w:val="auto"/>
          <w:sz w:val="28"/>
          <w:szCs w:val="28"/>
        </w:rPr>
        <w:t>7环境管理与监测</w:t>
      </w:r>
      <w:bookmarkEnd w:id="277"/>
      <w:bookmarkEnd w:id="278"/>
      <w:bookmarkEnd w:id="279"/>
      <w:bookmarkEnd w:id="280"/>
      <w:bookmarkEnd w:id="281"/>
      <w:bookmarkEnd w:id="282"/>
      <w:bookmarkEnd w:id="283"/>
      <w:bookmarkEnd w:id="284"/>
      <w:bookmarkEnd w:id="285"/>
      <w:bookmarkEnd w:id="286"/>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87" w:name="_Toc31378"/>
      <w:bookmarkStart w:id="288" w:name="_Toc19170"/>
      <w:bookmarkStart w:id="289" w:name="_Toc9610"/>
      <w:bookmarkStart w:id="290" w:name="_Toc26218"/>
      <w:bookmarkStart w:id="291" w:name="_Toc25232"/>
      <w:r>
        <w:rPr>
          <w:rFonts w:ascii="Times New Roman" w:hAnsi="Times New Roman" w:eastAsia="宋体" w:cs="Times New Roman"/>
          <w:b w:val="0"/>
          <w:bCs/>
          <w:color w:val="auto"/>
          <w:sz w:val="24"/>
          <w:szCs w:val="24"/>
          <w:highlight w:val="none"/>
        </w:rPr>
        <w:t>7.1环境管理</w:t>
      </w:r>
      <w:bookmarkEnd w:id="287"/>
      <w:bookmarkEnd w:id="288"/>
      <w:bookmarkEnd w:id="289"/>
      <w:bookmarkEnd w:id="290"/>
      <w:bookmarkEnd w:id="291"/>
    </w:p>
    <w:p>
      <w:pPr>
        <w:pStyle w:val="117"/>
        <w:bidi w:val="0"/>
        <w:rPr>
          <w:color w:val="auto"/>
        </w:rPr>
      </w:pPr>
      <w:r>
        <w:rPr>
          <w:color w:val="auto"/>
        </w:rPr>
        <w:t>环境管理是企业管理的一项重要内容。加强环境监督管理力度，是实现环境、生产、经济协调发展和走可持续发展道路的重要保证。为了最大限度地减轻施工作业及生产工艺过程中对环境的影响，确保工厂环保安全高效的生产，建立科学有效的环境管理体制，落实各项环保和安全措施显得尤为重要。通过建立环境管理体系，提高员工环保意识、规范企业管理、推行清洁生产，实现污染控制，保护环境质量，以实现环境效益、社会效益、经济效益的统一。</w:t>
      </w:r>
    </w:p>
    <w:p>
      <w:pPr>
        <w:pStyle w:val="117"/>
        <w:bidi w:val="0"/>
        <w:rPr>
          <w:color w:val="auto"/>
        </w:rPr>
      </w:pPr>
      <w:r>
        <w:rPr>
          <w:rFonts w:hint="eastAsia"/>
          <w:color w:val="auto"/>
        </w:rPr>
        <w:t>①</w:t>
      </w:r>
      <w:r>
        <w:rPr>
          <w:color w:val="auto"/>
        </w:rPr>
        <w:t>根据国家环保政策、标准及环境监测要求，制定该项目运行期环保管理规章制度、各种污染物排放控制指标；</w:t>
      </w:r>
    </w:p>
    <w:p>
      <w:pPr>
        <w:pStyle w:val="117"/>
        <w:bidi w:val="0"/>
        <w:rPr>
          <w:color w:val="auto"/>
        </w:rPr>
      </w:pPr>
      <w:r>
        <w:rPr>
          <w:rFonts w:hint="eastAsia"/>
          <w:color w:val="auto"/>
        </w:rPr>
        <w:t>②</w:t>
      </w:r>
      <w:r>
        <w:rPr>
          <w:color w:val="auto"/>
        </w:rPr>
        <w:t>负责该项目内所有环保设施的日常运行管理，保障各环保设施的正常运行，并对环保设施的改进提出积极的建议；</w:t>
      </w:r>
    </w:p>
    <w:p>
      <w:pPr>
        <w:pStyle w:val="117"/>
        <w:bidi w:val="0"/>
        <w:rPr>
          <w:color w:val="auto"/>
        </w:rPr>
      </w:pPr>
      <w:r>
        <w:rPr>
          <w:rFonts w:hint="eastAsia"/>
          <w:color w:val="auto"/>
        </w:rPr>
        <w:t>③</w:t>
      </w:r>
      <w:r>
        <w:rPr>
          <w:color w:val="auto"/>
        </w:rPr>
        <w:t>负责该项目运行期环境监测工作，及时掌握该项目污染状况，整理监测数据，建立污染源档案；</w:t>
      </w:r>
    </w:p>
    <w:p>
      <w:pPr>
        <w:pStyle w:val="117"/>
        <w:bidi w:val="0"/>
        <w:rPr>
          <w:color w:val="auto"/>
        </w:rPr>
      </w:pPr>
      <w:r>
        <w:rPr>
          <w:rFonts w:hint="eastAsia"/>
          <w:color w:val="auto"/>
        </w:rPr>
        <w:t>④</w:t>
      </w:r>
      <w:r>
        <w:rPr>
          <w:color w:val="auto"/>
        </w:rPr>
        <w:t>项目运行期的环境管理由安全环保部承担；负责该项目内所有环保设施的日常运行管理，保障各环保设施的正常运行，并对环保设施的改进提出积极的建议；</w:t>
      </w:r>
    </w:p>
    <w:p>
      <w:pPr>
        <w:pStyle w:val="117"/>
        <w:bidi w:val="0"/>
        <w:rPr>
          <w:color w:val="auto"/>
        </w:rPr>
      </w:pPr>
      <w:r>
        <w:rPr>
          <w:rFonts w:hint="eastAsia"/>
          <w:color w:val="auto"/>
        </w:rPr>
        <w:t>⑤</w:t>
      </w:r>
      <w:r>
        <w:rPr>
          <w:color w:val="auto"/>
        </w:rPr>
        <w:t>负责对职工进行环保宣传教育工作，检查、监督各单位环保制度的执行情况；</w:t>
      </w:r>
    </w:p>
    <w:p>
      <w:pPr>
        <w:pStyle w:val="117"/>
        <w:bidi w:val="0"/>
        <w:rPr>
          <w:color w:val="auto"/>
        </w:rPr>
      </w:pPr>
      <w:r>
        <w:rPr>
          <w:rFonts w:hint="eastAsia"/>
          <w:color w:val="auto"/>
        </w:rPr>
        <w:t>⑥</w:t>
      </w:r>
      <w:r>
        <w:rPr>
          <w:color w:val="auto"/>
        </w:rPr>
        <w:t>建立健全环境档案管理与保密制度、污染防治设施设计技术改进及运行资料、污染源调查技术档案、环境监测及评价资料、项目平面图等；</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292" w:name="_Toc26772"/>
      <w:bookmarkStart w:id="293" w:name="_Toc6991"/>
      <w:bookmarkStart w:id="294" w:name="_Toc6286"/>
      <w:bookmarkStart w:id="295" w:name="_Toc31390"/>
      <w:bookmarkStart w:id="296" w:name="_Toc10746"/>
      <w:r>
        <w:rPr>
          <w:rFonts w:ascii="Times New Roman" w:hAnsi="Times New Roman" w:eastAsia="宋体" w:cs="Times New Roman"/>
          <w:b w:val="0"/>
          <w:bCs/>
          <w:color w:val="auto"/>
          <w:sz w:val="24"/>
          <w:szCs w:val="24"/>
          <w:highlight w:val="none"/>
        </w:rPr>
        <w:t>7.2监测计划</w:t>
      </w:r>
      <w:bookmarkEnd w:id="292"/>
      <w:bookmarkEnd w:id="293"/>
      <w:bookmarkEnd w:id="294"/>
      <w:bookmarkEnd w:id="295"/>
      <w:bookmarkEnd w:id="296"/>
    </w:p>
    <w:p>
      <w:pPr>
        <w:widowControl/>
        <w:spacing w:line="360" w:lineRule="auto"/>
        <w:ind w:firstLine="480" w:firstLineChars="200"/>
        <w:rPr>
          <w:snapToGrid w:val="0"/>
          <w:color w:val="auto"/>
          <w:kern w:val="0"/>
          <w:sz w:val="24"/>
        </w:rPr>
      </w:pPr>
      <w:bookmarkStart w:id="297" w:name="_Toc21139"/>
      <w:bookmarkStart w:id="298" w:name="_Toc21886"/>
      <w:bookmarkStart w:id="299" w:name="_Toc15552"/>
      <w:bookmarkStart w:id="300" w:name="_Toc22337"/>
      <w:bookmarkStart w:id="301" w:name="_Toc17392"/>
      <w:bookmarkStart w:id="302" w:name="_Toc27176"/>
      <w:r>
        <w:rPr>
          <w:snapToGrid w:val="0"/>
          <w:color w:val="auto"/>
          <w:kern w:val="0"/>
          <w:sz w:val="24"/>
        </w:rPr>
        <w:t>建设项目运营期环境监控主要目的是为了项目建成后的环境监测，防止污染事故发生，为环境管理提供依据，主要包括大气。根据</w:t>
      </w:r>
      <w:r>
        <w:rPr>
          <w:color w:val="auto"/>
          <w:sz w:val="24"/>
        </w:rPr>
        <w:t>《排污许可证申请与核发技术规范 总则》、</w:t>
      </w:r>
      <w:r>
        <w:rPr>
          <w:rFonts w:hint="eastAsia"/>
          <w:color w:val="auto"/>
          <w:sz w:val="24"/>
        </w:rPr>
        <w:t>《排污单位自行监测指南 火力发电及锅炉》（HJ 820-2017）</w:t>
      </w:r>
      <w:r>
        <w:rPr>
          <w:color w:val="auto"/>
          <w:sz w:val="24"/>
        </w:rPr>
        <w:t>、《排污许可证申请与核发技术规范</w:t>
      </w:r>
      <w:r>
        <w:rPr>
          <w:rFonts w:hint="eastAsia"/>
          <w:color w:val="auto"/>
          <w:sz w:val="24"/>
        </w:rPr>
        <w:t xml:space="preserve"> </w:t>
      </w:r>
      <w:r>
        <w:rPr>
          <w:rFonts w:hint="eastAsia"/>
          <w:bCs/>
          <w:color w:val="auto"/>
          <w:sz w:val="24"/>
        </w:rPr>
        <w:t>石墨及其他非金属矿物制品制造》（HJ1119-2020）</w:t>
      </w:r>
      <w:r>
        <w:rPr>
          <w:snapToGrid w:val="0"/>
          <w:color w:val="auto"/>
          <w:kern w:val="0"/>
          <w:sz w:val="24"/>
        </w:rPr>
        <w:t>制定本企业监测方案。</w:t>
      </w:r>
    </w:p>
    <w:p>
      <w:pPr>
        <w:adjustRightInd w:val="0"/>
        <w:snapToGrid w:val="0"/>
        <w:spacing w:line="500" w:lineRule="exact"/>
        <w:ind w:firstLine="482"/>
        <w:jc w:val="center"/>
        <w:rPr>
          <w:b/>
          <w:color w:val="auto"/>
          <w:sz w:val="24"/>
        </w:rPr>
      </w:pPr>
      <w:r>
        <w:rPr>
          <w:b/>
          <w:color w:val="auto"/>
          <w:sz w:val="24"/>
        </w:rPr>
        <w:t>表</w:t>
      </w:r>
      <w:r>
        <w:rPr>
          <w:rFonts w:hint="eastAsia"/>
          <w:b/>
          <w:color w:val="auto"/>
          <w:sz w:val="24"/>
          <w:lang w:val="en-US" w:eastAsia="zh-CN"/>
        </w:rPr>
        <w:t>4-5</w:t>
      </w:r>
      <w:r>
        <w:rPr>
          <w:b/>
          <w:color w:val="auto"/>
          <w:sz w:val="24"/>
        </w:rPr>
        <w:t>环境监测计划</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54"/>
        <w:gridCol w:w="1272"/>
        <w:gridCol w:w="1273"/>
        <w:gridCol w:w="1399"/>
        <w:gridCol w:w="382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0" w:hRule="atLeast"/>
          <w:jc w:val="center"/>
        </w:trPr>
        <w:tc>
          <w:tcPr>
            <w:tcW w:w="442" w:type="pct"/>
            <w:tcBorders>
              <w:top w:val="single" w:color="000000" w:sz="12" w:space="0"/>
              <w:left w:val="nil"/>
              <w:bottom w:val="single" w:color="000000" w:sz="6" w:space="0"/>
              <w:right w:val="single" w:color="auto" w:sz="4" w:space="0"/>
            </w:tcBorders>
            <w:vAlign w:val="center"/>
          </w:tcPr>
          <w:p>
            <w:pPr>
              <w:contextualSpacing/>
              <w:jc w:val="center"/>
              <w:rPr>
                <w:b/>
                <w:color w:val="auto"/>
                <w:szCs w:val="21"/>
              </w:rPr>
            </w:pPr>
            <w:r>
              <w:rPr>
                <w:rFonts w:hAnsi="宋体"/>
                <w:b/>
                <w:color w:val="auto"/>
                <w:szCs w:val="21"/>
              </w:rPr>
              <w:t>项目</w:t>
            </w:r>
          </w:p>
        </w:tc>
        <w:tc>
          <w:tcPr>
            <w:tcW w:w="746" w:type="pct"/>
            <w:tcBorders>
              <w:top w:val="single" w:color="000000" w:sz="12" w:space="0"/>
              <w:left w:val="single" w:color="auto" w:sz="4" w:space="0"/>
              <w:bottom w:val="single" w:color="000000" w:sz="6" w:space="0"/>
              <w:right w:val="single" w:color="000000" w:sz="6" w:space="0"/>
            </w:tcBorders>
            <w:vAlign w:val="center"/>
          </w:tcPr>
          <w:p>
            <w:pPr>
              <w:contextualSpacing/>
              <w:jc w:val="center"/>
              <w:rPr>
                <w:b/>
                <w:color w:val="auto"/>
                <w:szCs w:val="21"/>
              </w:rPr>
            </w:pPr>
            <w:r>
              <w:rPr>
                <w:rFonts w:hAnsi="宋体"/>
                <w:b/>
                <w:color w:val="auto"/>
                <w:szCs w:val="21"/>
              </w:rPr>
              <w:t>监测点位</w:t>
            </w:r>
          </w:p>
        </w:tc>
        <w:tc>
          <w:tcPr>
            <w:tcW w:w="746" w:type="pct"/>
            <w:tcBorders>
              <w:top w:val="single" w:color="000000" w:sz="12" w:space="0"/>
              <w:left w:val="single" w:color="000000" w:sz="6" w:space="0"/>
              <w:bottom w:val="single" w:color="000000" w:sz="6" w:space="0"/>
              <w:right w:val="single" w:color="000000" w:sz="6" w:space="0"/>
            </w:tcBorders>
            <w:vAlign w:val="center"/>
          </w:tcPr>
          <w:p>
            <w:pPr>
              <w:contextualSpacing/>
              <w:jc w:val="center"/>
              <w:rPr>
                <w:b/>
                <w:color w:val="auto"/>
                <w:szCs w:val="21"/>
              </w:rPr>
            </w:pPr>
            <w:r>
              <w:rPr>
                <w:rFonts w:hAnsi="宋体"/>
                <w:b/>
                <w:color w:val="auto"/>
                <w:szCs w:val="21"/>
              </w:rPr>
              <w:t>监测指标</w:t>
            </w:r>
          </w:p>
        </w:tc>
        <w:tc>
          <w:tcPr>
            <w:tcW w:w="820" w:type="pct"/>
            <w:tcBorders>
              <w:top w:val="single" w:color="000000" w:sz="12" w:space="0"/>
              <w:left w:val="single" w:color="000000" w:sz="6" w:space="0"/>
              <w:bottom w:val="single" w:color="000000" w:sz="6" w:space="0"/>
              <w:right w:val="single" w:color="000000" w:sz="6" w:space="0"/>
            </w:tcBorders>
            <w:vAlign w:val="center"/>
          </w:tcPr>
          <w:p>
            <w:pPr>
              <w:contextualSpacing/>
              <w:jc w:val="center"/>
              <w:rPr>
                <w:b/>
                <w:color w:val="auto"/>
                <w:szCs w:val="21"/>
              </w:rPr>
            </w:pPr>
            <w:r>
              <w:rPr>
                <w:rFonts w:hAnsi="宋体"/>
                <w:b/>
                <w:color w:val="auto"/>
                <w:szCs w:val="21"/>
              </w:rPr>
              <w:t>监测频率</w:t>
            </w:r>
          </w:p>
        </w:tc>
        <w:tc>
          <w:tcPr>
            <w:tcW w:w="2243" w:type="pct"/>
            <w:tcBorders>
              <w:top w:val="single" w:color="000000" w:sz="12" w:space="0"/>
              <w:left w:val="single" w:color="000000" w:sz="6" w:space="0"/>
              <w:bottom w:val="single" w:color="000000" w:sz="6" w:space="0"/>
              <w:right w:val="nil"/>
            </w:tcBorders>
            <w:vAlign w:val="center"/>
          </w:tcPr>
          <w:p>
            <w:pPr>
              <w:contextualSpacing/>
              <w:jc w:val="center"/>
              <w:rPr>
                <w:b/>
                <w:color w:val="auto"/>
                <w:szCs w:val="21"/>
              </w:rPr>
            </w:pPr>
            <w:r>
              <w:rPr>
                <w:rFonts w:hAnsi="宋体"/>
                <w:b/>
                <w:color w:val="auto"/>
                <w:szCs w:val="21"/>
              </w:rPr>
              <w:t>执行</w:t>
            </w:r>
            <w:r>
              <w:rPr>
                <w:rFonts w:hint="eastAsia" w:hAnsi="宋体"/>
                <w:b/>
                <w:color w:val="auto"/>
                <w:szCs w:val="21"/>
                <w:lang w:val="en-US" w:eastAsia="zh-CN"/>
              </w:rPr>
              <w:t>指南及</w:t>
            </w:r>
            <w:r>
              <w:rPr>
                <w:rFonts w:hAnsi="宋体"/>
                <w:b/>
                <w:color w:val="auto"/>
                <w:szCs w:val="21"/>
              </w:rPr>
              <w:t>排放标准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66" w:hRule="atLeast"/>
          <w:jc w:val="center"/>
        </w:trPr>
        <w:tc>
          <w:tcPr>
            <w:tcW w:w="442" w:type="pct"/>
            <w:vMerge w:val="restart"/>
            <w:tcBorders>
              <w:top w:val="single" w:color="000000" w:sz="6" w:space="0"/>
              <w:left w:val="nil"/>
              <w:right w:val="single" w:color="auto" w:sz="4" w:space="0"/>
            </w:tcBorders>
            <w:vAlign w:val="center"/>
          </w:tcPr>
          <w:p>
            <w:pPr>
              <w:contextualSpacing/>
              <w:jc w:val="center"/>
              <w:rPr>
                <w:color w:val="auto"/>
                <w:szCs w:val="21"/>
              </w:rPr>
            </w:pPr>
            <w:r>
              <w:rPr>
                <w:color w:val="auto"/>
                <w:szCs w:val="21"/>
              </w:rPr>
              <w:t>废气</w:t>
            </w:r>
          </w:p>
        </w:tc>
        <w:tc>
          <w:tcPr>
            <w:tcW w:w="746" w:type="pct"/>
            <w:tcBorders>
              <w:top w:val="single" w:color="000000" w:sz="6" w:space="0"/>
              <w:left w:val="single" w:color="auto" w:sz="4" w:space="0"/>
              <w:bottom w:val="single" w:color="000000" w:sz="6" w:space="0"/>
              <w:right w:val="single" w:color="000000" w:sz="6" w:space="0"/>
            </w:tcBorders>
            <w:vAlign w:val="center"/>
          </w:tcPr>
          <w:p>
            <w:pPr>
              <w:spacing w:line="0" w:lineRule="atLeast"/>
              <w:contextualSpacing/>
              <w:jc w:val="center"/>
              <w:rPr>
                <w:color w:val="auto"/>
                <w:szCs w:val="21"/>
              </w:rPr>
            </w:pPr>
            <w:r>
              <w:rPr>
                <w:color w:val="auto"/>
                <w:szCs w:val="21"/>
              </w:rPr>
              <w:t>除尘系统</w:t>
            </w:r>
            <w:r>
              <w:rPr>
                <w:rFonts w:hint="eastAsia"/>
                <w:color w:val="auto"/>
                <w:szCs w:val="21"/>
                <w:lang w:val="en-US" w:eastAsia="zh-CN"/>
              </w:rPr>
              <w:t>废气</w:t>
            </w:r>
            <w:r>
              <w:rPr>
                <w:color w:val="auto"/>
                <w:szCs w:val="21"/>
              </w:rPr>
              <w:t>（</w:t>
            </w:r>
            <w:r>
              <w:rPr>
                <w:rFonts w:hint="eastAsia"/>
                <w:color w:val="auto"/>
                <w:szCs w:val="21"/>
              </w:rPr>
              <w:t>DA001</w:t>
            </w:r>
            <w:r>
              <w:rPr>
                <w:color w:val="auto"/>
                <w:szCs w:val="21"/>
              </w:rPr>
              <w:t>）</w:t>
            </w: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rFonts w:hAnsi="宋体"/>
                <w:color w:val="auto"/>
                <w:szCs w:val="21"/>
              </w:rPr>
              <w:t>颗粒物、</w:t>
            </w:r>
            <w:r>
              <w:rPr>
                <w:color w:val="auto"/>
                <w:szCs w:val="21"/>
              </w:rPr>
              <w:t>SO</w:t>
            </w:r>
            <w:r>
              <w:rPr>
                <w:color w:val="auto"/>
                <w:szCs w:val="21"/>
                <w:vertAlign w:val="subscript"/>
              </w:rPr>
              <w:t>2</w:t>
            </w:r>
            <w:r>
              <w:rPr>
                <w:rFonts w:hAnsi="宋体"/>
                <w:color w:val="auto"/>
                <w:szCs w:val="21"/>
              </w:rPr>
              <w:t>、</w:t>
            </w:r>
            <w:r>
              <w:rPr>
                <w:color w:val="auto"/>
                <w:szCs w:val="21"/>
              </w:rPr>
              <w:t>NO</w:t>
            </w:r>
            <w:r>
              <w:rPr>
                <w:color w:val="auto"/>
                <w:szCs w:val="21"/>
                <w:vertAlign w:val="subscript"/>
              </w:rPr>
              <w:t>X</w:t>
            </w:r>
          </w:p>
        </w:tc>
        <w:tc>
          <w:tcPr>
            <w:tcW w:w="820" w:type="pct"/>
            <w:tcBorders>
              <w:top w:val="single" w:color="000000" w:sz="6" w:space="0"/>
              <w:left w:val="single" w:color="000000" w:sz="6" w:space="0"/>
              <w:bottom w:val="single" w:color="000000" w:sz="6" w:space="0"/>
              <w:right w:val="single" w:color="000000" w:sz="6" w:space="0"/>
            </w:tcBorders>
            <w:vAlign w:val="center"/>
          </w:tcPr>
          <w:p>
            <w:pPr>
              <w:widowControl/>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半年</w:t>
            </w:r>
          </w:p>
        </w:tc>
        <w:tc>
          <w:tcPr>
            <w:tcW w:w="2243" w:type="pct"/>
            <w:tcBorders>
              <w:top w:val="single" w:color="000000" w:sz="6" w:space="0"/>
              <w:left w:val="single" w:color="000000" w:sz="6" w:space="0"/>
              <w:bottom w:val="single" w:color="000000" w:sz="6" w:space="0"/>
              <w:right w:val="nil"/>
            </w:tcBorders>
            <w:vAlign w:val="center"/>
          </w:tcPr>
          <w:p>
            <w:pPr>
              <w:widowControl/>
              <w:contextualSpacing/>
              <w:jc w:val="center"/>
              <w:rPr>
                <w:rFonts w:hint="eastAsia" w:hAnsi="宋体" w:eastAsia="宋体"/>
                <w:color w:val="auto"/>
                <w:sz w:val="21"/>
                <w:szCs w:val="21"/>
                <w:lang w:val="en-US" w:eastAsia="zh-CN"/>
              </w:rPr>
            </w:pPr>
            <w:r>
              <w:rPr>
                <w:rFonts w:hint="eastAsia" w:hAnsi="宋体"/>
                <w:color w:val="auto"/>
                <w:sz w:val="21"/>
                <w:szCs w:val="21"/>
                <w:lang w:val="en-US" w:eastAsia="zh-CN"/>
              </w:rPr>
              <w:t>指南：</w:t>
            </w:r>
            <w:r>
              <w:rPr>
                <w:rFonts w:hint="eastAsia"/>
                <w:bCs/>
                <w:color w:val="auto"/>
                <w:sz w:val="21"/>
                <w:szCs w:val="21"/>
              </w:rPr>
              <w:t>HJ1119-2020</w:t>
            </w:r>
          </w:p>
          <w:p>
            <w:pPr>
              <w:widowControl/>
              <w:contextualSpacing/>
              <w:jc w:val="center"/>
              <w:rPr>
                <w:color w:val="auto"/>
                <w:szCs w:val="21"/>
              </w:rPr>
            </w:pPr>
            <w:r>
              <w:rPr>
                <w:rFonts w:hAnsi="宋体"/>
                <w:color w:val="auto"/>
                <w:szCs w:val="21"/>
              </w:rPr>
              <w:t>《大气污染物综合排放标准》（</w:t>
            </w:r>
            <w:r>
              <w:rPr>
                <w:color w:val="auto"/>
                <w:szCs w:val="21"/>
              </w:rPr>
              <w:t>GB16297-1996</w:t>
            </w:r>
            <w:r>
              <w:rPr>
                <w:rFonts w:hAnsi="宋体"/>
                <w:color w:val="auto"/>
                <w:szCs w:val="21"/>
              </w:rPr>
              <w:t>）表</w:t>
            </w:r>
            <w:r>
              <w:rPr>
                <w:color w:val="auto"/>
                <w:szCs w:val="21"/>
              </w:rPr>
              <w:t>2</w:t>
            </w:r>
            <w:r>
              <w:rPr>
                <w:rFonts w:hAnsi="宋体"/>
                <w:color w:val="auto"/>
                <w:szCs w:val="21"/>
              </w:rPr>
              <w:t>中二级排放标准限值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restart"/>
            <w:tcBorders>
              <w:top w:val="single" w:color="000000" w:sz="6" w:space="0"/>
              <w:left w:val="single" w:color="auto" w:sz="4" w:space="0"/>
              <w:bottom w:val="single" w:color="000000" w:sz="6" w:space="0"/>
              <w:right w:val="single" w:color="000000" w:sz="6" w:space="0"/>
            </w:tcBorders>
            <w:vAlign w:val="center"/>
          </w:tcPr>
          <w:p>
            <w:pPr>
              <w:spacing w:line="0" w:lineRule="atLeast"/>
              <w:contextualSpacing/>
              <w:jc w:val="center"/>
              <w:rPr>
                <w:color w:val="auto"/>
                <w:szCs w:val="21"/>
              </w:rPr>
            </w:pPr>
            <w:r>
              <w:rPr>
                <w:rFonts w:hAnsi="宋体"/>
                <w:color w:val="auto"/>
                <w:szCs w:val="21"/>
              </w:rPr>
              <w:t>导热油炉烟囱</w:t>
            </w:r>
            <w:r>
              <w:rPr>
                <w:color w:val="auto"/>
                <w:szCs w:val="21"/>
              </w:rPr>
              <w:t>（</w:t>
            </w:r>
            <w:r>
              <w:rPr>
                <w:rFonts w:hint="eastAsia"/>
                <w:color w:val="auto"/>
                <w:szCs w:val="21"/>
              </w:rPr>
              <w:t>DA002</w:t>
            </w:r>
            <w:r>
              <w:rPr>
                <w:color w:val="auto"/>
                <w:szCs w:val="21"/>
              </w:rPr>
              <w:t>）</w:t>
            </w: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rFonts w:hAnsi="宋体"/>
                <w:color w:val="auto"/>
                <w:szCs w:val="21"/>
              </w:rPr>
              <w:t>烟气黑度、颗粒物、</w:t>
            </w:r>
            <w:r>
              <w:rPr>
                <w:color w:val="auto"/>
                <w:szCs w:val="21"/>
              </w:rPr>
              <w:t>SO</w:t>
            </w:r>
            <w:r>
              <w:rPr>
                <w:color w:val="auto"/>
                <w:szCs w:val="21"/>
                <w:vertAlign w:val="subscript"/>
              </w:rPr>
              <w:t>2</w:t>
            </w:r>
          </w:p>
        </w:tc>
        <w:tc>
          <w:tcPr>
            <w:tcW w:w="820" w:type="pct"/>
            <w:vMerge w:val="restart"/>
            <w:tcBorders>
              <w:top w:val="single" w:color="000000" w:sz="6" w:space="0"/>
              <w:left w:val="single" w:color="000000" w:sz="6" w:space="0"/>
              <w:right w:val="single" w:color="000000" w:sz="6" w:space="0"/>
            </w:tcBorders>
            <w:vAlign w:val="center"/>
          </w:tcPr>
          <w:p>
            <w:pPr>
              <w:contextualSpacing/>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月</w:t>
            </w:r>
          </w:p>
        </w:tc>
        <w:tc>
          <w:tcPr>
            <w:tcW w:w="2243" w:type="pct"/>
            <w:vMerge w:val="restart"/>
            <w:tcBorders>
              <w:top w:val="single" w:color="000000" w:sz="6" w:space="0"/>
              <w:left w:val="single" w:color="000000" w:sz="6" w:space="0"/>
              <w:bottom w:val="single" w:color="000000" w:sz="6" w:space="0"/>
              <w:right w:val="nil"/>
            </w:tcBorders>
            <w:vAlign w:val="center"/>
          </w:tcPr>
          <w:p>
            <w:pPr>
              <w:widowControl/>
              <w:contextualSpacing/>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指南：</w:t>
            </w:r>
            <w:r>
              <w:rPr>
                <w:rFonts w:hint="eastAsia" w:ascii="Times New Roman" w:hAnsi="Times New Roman" w:eastAsia="宋体" w:cs="Times New Roman"/>
                <w:bCs/>
                <w:color w:val="auto"/>
                <w:sz w:val="21"/>
                <w:szCs w:val="21"/>
              </w:rPr>
              <w:t>HJ820-2017</w:t>
            </w:r>
          </w:p>
          <w:p>
            <w:pPr>
              <w:widowControl/>
              <w:contextualSpacing/>
              <w:jc w:val="center"/>
              <w:rPr>
                <w:color w:val="auto"/>
                <w:szCs w:val="21"/>
              </w:rPr>
            </w:pPr>
            <w:r>
              <w:rPr>
                <w:rFonts w:hAnsi="宋体"/>
                <w:color w:val="auto"/>
                <w:szCs w:val="21"/>
              </w:rPr>
              <w:t>《锅炉大气污染物排放标准》（</w:t>
            </w:r>
            <w:r>
              <w:rPr>
                <w:color w:val="auto"/>
                <w:szCs w:val="21"/>
              </w:rPr>
              <w:t>GB13271-2014</w:t>
            </w:r>
            <w:r>
              <w:rPr>
                <w:rFonts w:hAnsi="宋体"/>
                <w:color w:val="auto"/>
                <w:szCs w:val="21"/>
              </w:rPr>
              <w:t>）表</w:t>
            </w:r>
            <w:r>
              <w:rPr>
                <w:color w:val="auto"/>
                <w:szCs w:val="21"/>
              </w:rPr>
              <w:t>2</w:t>
            </w:r>
            <w:r>
              <w:rPr>
                <w:rFonts w:hAnsi="宋体"/>
                <w:color w:val="auto"/>
                <w:szCs w:val="21"/>
              </w:rPr>
              <w:t>燃</w:t>
            </w:r>
            <w:r>
              <w:rPr>
                <w:rFonts w:hint="eastAsia" w:eastAsiaTheme="minorEastAsia"/>
                <w:color w:val="auto"/>
                <w:kern w:val="0"/>
                <w:sz w:val="21"/>
                <w:szCs w:val="21"/>
                <w:lang w:val="en-US" w:eastAsia="zh-CN"/>
              </w:rPr>
              <w:t>油</w:t>
            </w:r>
            <w:r>
              <w:rPr>
                <w:rFonts w:hAnsi="宋体"/>
                <w:color w:val="auto"/>
                <w:szCs w:val="21"/>
              </w:rPr>
              <w:t>锅炉标准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continue"/>
            <w:tcBorders>
              <w:top w:val="single" w:color="000000" w:sz="6" w:space="0"/>
              <w:left w:val="single" w:color="auto" w:sz="4" w:space="0"/>
              <w:bottom w:val="single" w:color="000000" w:sz="6" w:space="0"/>
              <w:right w:val="single" w:color="000000" w:sz="6" w:space="0"/>
            </w:tcBorders>
            <w:vAlign w:val="center"/>
          </w:tcPr>
          <w:p>
            <w:pPr>
              <w:spacing w:line="0" w:lineRule="atLeast"/>
              <w:contextualSpacing/>
              <w:jc w:val="center"/>
              <w:rPr>
                <w:rFonts w:hAnsi="宋体"/>
                <w:color w:val="auto"/>
                <w:szCs w:val="21"/>
              </w:rPr>
            </w:pP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rFonts w:hAnsi="宋体"/>
                <w:color w:val="auto"/>
                <w:szCs w:val="21"/>
              </w:rPr>
            </w:pPr>
            <w:r>
              <w:rPr>
                <w:color w:val="auto"/>
                <w:szCs w:val="21"/>
              </w:rPr>
              <w:t>NO</w:t>
            </w:r>
            <w:r>
              <w:rPr>
                <w:color w:val="auto"/>
                <w:szCs w:val="21"/>
                <w:vertAlign w:val="subscript"/>
              </w:rPr>
              <w:t>X</w:t>
            </w:r>
          </w:p>
        </w:tc>
        <w:tc>
          <w:tcPr>
            <w:tcW w:w="820" w:type="pct"/>
            <w:vMerge w:val="continue"/>
            <w:tcBorders>
              <w:left w:val="single" w:color="000000" w:sz="6" w:space="0"/>
              <w:bottom w:val="single" w:color="000000" w:sz="6" w:space="0"/>
              <w:right w:val="single" w:color="000000" w:sz="6" w:space="0"/>
            </w:tcBorders>
            <w:vAlign w:val="center"/>
          </w:tcPr>
          <w:p>
            <w:pPr>
              <w:contextualSpacing/>
              <w:jc w:val="center"/>
              <w:rPr>
                <w:color w:val="auto"/>
                <w:szCs w:val="21"/>
              </w:rPr>
            </w:pPr>
          </w:p>
        </w:tc>
        <w:tc>
          <w:tcPr>
            <w:tcW w:w="2243" w:type="pct"/>
            <w:vMerge w:val="continue"/>
            <w:tcBorders>
              <w:top w:val="single" w:color="000000" w:sz="6" w:space="0"/>
              <w:left w:val="single" w:color="000000" w:sz="6" w:space="0"/>
              <w:bottom w:val="single" w:color="000000" w:sz="6" w:space="0"/>
              <w:right w:val="nil"/>
            </w:tcBorders>
            <w:vAlign w:val="center"/>
          </w:tcPr>
          <w:p>
            <w:pPr>
              <w:widowControl/>
              <w:contextualSpacing/>
              <w:jc w:val="center"/>
              <w:rPr>
                <w:rFonts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restart"/>
            <w:tcBorders>
              <w:top w:val="single" w:color="000000" w:sz="6" w:space="0"/>
              <w:left w:val="single" w:color="auto" w:sz="4" w:space="0"/>
              <w:bottom w:val="single" w:color="000000" w:sz="6" w:space="0"/>
              <w:right w:val="single" w:color="000000" w:sz="6" w:space="0"/>
            </w:tcBorders>
            <w:vAlign w:val="center"/>
          </w:tcPr>
          <w:p>
            <w:pPr>
              <w:spacing w:line="0" w:lineRule="atLeast"/>
              <w:contextualSpacing/>
              <w:jc w:val="center"/>
              <w:rPr>
                <w:rFonts w:hint="eastAsia" w:hAnsi="宋体" w:eastAsia="宋体"/>
                <w:color w:val="auto"/>
                <w:szCs w:val="21"/>
                <w:lang w:eastAsia="zh-CN"/>
              </w:rPr>
            </w:pPr>
            <w:r>
              <w:rPr>
                <w:rFonts w:hAnsi="宋体"/>
                <w:color w:val="auto"/>
                <w:szCs w:val="21"/>
              </w:rPr>
              <w:t>沥青</w:t>
            </w:r>
            <w:r>
              <w:rPr>
                <w:rFonts w:hint="eastAsia" w:hAnsi="宋体"/>
                <w:color w:val="auto"/>
                <w:szCs w:val="21"/>
                <w:lang w:val="en-US" w:eastAsia="zh-CN"/>
              </w:rPr>
              <w:t>储存及拌合废气</w:t>
            </w:r>
            <w:r>
              <w:rPr>
                <w:color w:val="auto"/>
                <w:szCs w:val="21"/>
              </w:rPr>
              <w:t>（</w:t>
            </w:r>
            <w:r>
              <w:rPr>
                <w:rFonts w:hint="eastAsia"/>
                <w:color w:val="auto"/>
                <w:szCs w:val="21"/>
              </w:rPr>
              <w:t>DA001</w:t>
            </w:r>
            <w:r>
              <w:rPr>
                <w:color w:val="auto"/>
                <w:szCs w:val="21"/>
              </w:rPr>
              <w:t>）</w:t>
            </w: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rFonts w:hAnsi="宋体"/>
                <w:color w:val="auto"/>
                <w:szCs w:val="21"/>
              </w:rPr>
              <w:t>沥青烟</w:t>
            </w:r>
          </w:p>
        </w:tc>
        <w:tc>
          <w:tcPr>
            <w:tcW w:w="820" w:type="pct"/>
            <w:vMerge w:val="restar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年</w:t>
            </w:r>
          </w:p>
        </w:tc>
        <w:tc>
          <w:tcPr>
            <w:tcW w:w="2243" w:type="pct"/>
            <w:vMerge w:val="restart"/>
            <w:tcBorders>
              <w:top w:val="single" w:color="000000" w:sz="6" w:space="0"/>
              <w:left w:val="single" w:color="000000" w:sz="6" w:space="0"/>
              <w:bottom w:val="single" w:color="000000" w:sz="6" w:space="0"/>
              <w:right w:val="nil"/>
            </w:tcBorders>
            <w:vAlign w:val="center"/>
          </w:tcPr>
          <w:p>
            <w:pPr>
              <w:widowControl/>
              <w:contextualSpacing/>
              <w:jc w:val="center"/>
              <w:rPr>
                <w:rFonts w:hint="eastAsia" w:hAnsi="宋体" w:eastAsia="宋体"/>
                <w:color w:val="auto"/>
                <w:sz w:val="21"/>
                <w:szCs w:val="21"/>
                <w:lang w:val="en-US" w:eastAsia="zh-CN"/>
              </w:rPr>
            </w:pPr>
            <w:r>
              <w:rPr>
                <w:rFonts w:hint="eastAsia" w:hAnsi="宋体"/>
                <w:color w:val="auto"/>
                <w:sz w:val="21"/>
                <w:szCs w:val="21"/>
                <w:lang w:val="en-US" w:eastAsia="zh-CN"/>
              </w:rPr>
              <w:t>指南：</w:t>
            </w:r>
            <w:r>
              <w:rPr>
                <w:rFonts w:hint="eastAsia"/>
                <w:bCs/>
                <w:color w:val="auto"/>
                <w:sz w:val="21"/>
                <w:szCs w:val="21"/>
              </w:rPr>
              <w:t>HJ1119-2020</w:t>
            </w:r>
          </w:p>
          <w:p>
            <w:pPr>
              <w:widowControl/>
              <w:contextualSpacing/>
              <w:jc w:val="center"/>
              <w:rPr>
                <w:color w:val="auto"/>
                <w:szCs w:val="21"/>
              </w:rPr>
            </w:pPr>
            <w:r>
              <w:rPr>
                <w:rFonts w:hAnsi="宋体"/>
                <w:color w:val="auto"/>
                <w:szCs w:val="21"/>
              </w:rPr>
              <w:t>《大气污染物综合排放标准》（</w:t>
            </w:r>
            <w:r>
              <w:rPr>
                <w:color w:val="auto"/>
                <w:szCs w:val="21"/>
              </w:rPr>
              <w:t>GB16297-1996</w:t>
            </w:r>
            <w:r>
              <w:rPr>
                <w:rFonts w:hAnsi="宋体"/>
                <w:color w:val="auto"/>
                <w:szCs w:val="21"/>
              </w:rPr>
              <w:t>）表</w:t>
            </w:r>
            <w:r>
              <w:rPr>
                <w:color w:val="auto"/>
                <w:szCs w:val="21"/>
              </w:rPr>
              <w:t>2</w:t>
            </w:r>
            <w:r>
              <w:rPr>
                <w:rFonts w:hAnsi="宋体"/>
                <w:color w:val="auto"/>
                <w:szCs w:val="21"/>
              </w:rPr>
              <w:t>中二级排放标准限值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continue"/>
            <w:tcBorders>
              <w:top w:val="single" w:color="000000" w:sz="6" w:space="0"/>
              <w:left w:val="single" w:color="auto" w:sz="4" w:space="0"/>
              <w:bottom w:val="single" w:color="000000" w:sz="6" w:space="0"/>
              <w:right w:val="single" w:color="000000" w:sz="6" w:space="0"/>
            </w:tcBorders>
            <w:vAlign w:val="center"/>
          </w:tcPr>
          <w:p>
            <w:pPr>
              <w:spacing w:line="0" w:lineRule="atLeast"/>
              <w:contextualSpacing/>
              <w:jc w:val="center"/>
              <w:rPr>
                <w:rFonts w:hAnsi="宋体"/>
                <w:color w:val="auto"/>
                <w:szCs w:val="21"/>
              </w:rPr>
            </w:pP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rFonts w:hAnsi="宋体"/>
                <w:color w:val="auto"/>
                <w:szCs w:val="21"/>
              </w:rPr>
              <w:t>苯并</w:t>
            </w:r>
            <w:r>
              <w:rPr>
                <w:color w:val="auto"/>
                <w:szCs w:val="21"/>
              </w:rPr>
              <w:t>[a]</w:t>
            </w:r>
            <w:r>
              <w:rPr>
                <w:rFonts w:hAnsi="宋体"/>
                <w:color w:val="auto"/>
                <w:szCs w:val="21"/>
              </w:rPr>
              <w:t>芘</w:t>
            </w:r>
          </w:p>
        </w:tc>
        <w:tc>
          <w:tcPr>
            <w:tcW w:w="820" w:type="pct"/>
            <w:vMerge w:val="continue"/>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p>
        </w:tc>
        <w:tc>
          <w:tcPr>
            <w:tcW w:w="2243" w:type="pct"/>
            <w:vMerge w:val="continue"/>
            <w:tcBorders>
              <w:top w:val="single" w:color="000000" w:sz="6" w:space="0"/>
              <w:left w:val="single" w:color="000000" w:sz="6" w:space="0"/>
              <w:bottom w:val="single" w:color="000000" w:sz="6" w:space="0"/>
              <w:right w:val="nil"/>
            </w:tcBorders>
            <w:vAlign w:val="center"/>
          </w:tcPr>
          <w:p>
            <w:pPr>
              <w:widowControl/>
              <w:contextualSpacing/>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0"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restart"/>
            <w:tcBorders>
              <w:top w:val="single" w:color="000000" w:sz="6" w:space="0"/>
              <w:left w:val="single" w:color="auto" w:sz="4" w:space="0"/>
              <w:right w:val="single" w:color="000000" w:sz="6" w:space="0"/>
            </w:tcBorders>
            <w:vAlign w:val="center"/>
          </w:tcPr>
          <w:p>
            <w:pPr>
              <w:contextualSpacing/>
              <w:jc w:val="center"/>
              <w:rPr>
                <w:color w:val="auto"/>
                <w:szCs w:val="21"/>
              </w:rPr>
            </w:pPr>
            <w:r>
              <w:rPr>
                <w:rFonts w:hAnsi="宋体"/>
                <w:color w:val="auto"/>
                <w:szCs w:val="21"/>
              </w:rPr>
              <w:t>厂界</w:t>
            </w: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rFonts w:hAnsi="宋体"/>
                <w:color w:val="auto"/>
                <w:szCs w:val="21"/>
              </w:rPr>
            </w:pPr>
            <w:r>
              <w:rPr>
                <w:rFonts w:hAnsi="宋体"/>
                <w:color w:val="auto"/>
                <w:szCs w:val="21"/>
              </w:rPr>
              <w:t>颗粒物</w:t>
            </w:r>
          </w:p>
        </w:tc>
        <w:tc>
          <w:tcPr>
            <w:tcW w:w="820"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年</w:t>
            </w:r>
          </w:p>
        </w:tc>
        <w:tc>
          <w:tcPr>
            <w:tcW w:w="2243" w:type="pct"/>
            <w:vMerge w:val="restart"/>
            <w:tcBorders>
              <w:top w:val="single" w:color="000000" w:sz="6" w:space="0"/>
              <w:left w:val="single" w:color="000000" w:sz="6" w:space="0"/>
              <w:right w:val="nil"/>
            </w:tcBorders>
            <w:vAlign w:val="center"/>
          </w:tcPr>
          <w:p>
            <w:pPr>
              <w:widowControl/>
              <w:contextualSpacing/>
              <w:jc w:val="center"/>
              <w:rPr>
                <w:rFonts w:hint="eastAsia" w:hAnsi="宋体" w:eastAsia="宋体"/>
                <w:color w:val="auto"/>
                <w:sz w:val="21"/>
                <w:szCs w:val="21"/>
                <w:lang w:val="en-US" w:eastAsia="zh-CN"/>
              </w:rPr>
            </w:pPr>
            <w:r>
              <w:rPr>
                <w:rFonts w:hint="eastAsia" w:hAnsi="宋体"/>
                <w:color w:val="auto"/>
                <w:sz w:val="21"/>
                <w:szCs w:val="21"/>
                <w:lang w:val="en-US" w:eastAsia="zh-CN"/>
              </w:rPr>
              <w:t>指南：</w:t>
            </w:r>
            <w:r>
              <w:rPr>
                <w:rFonts w:hint="eastAsia"/>
                <w:bCs/>
                <w:color w:val="auto"/>
                <w:sz w:val="21"/>
                <w:szCs w:val="21"/>
              </w:rPr>
              <w:t>HJ1119-2020</w:t>
            </w:r>
          </w:p>
          <w:p>
            <w:pPr>
              <w:widowControl/>
              <w:contextualSpacing/>
              <w:jc w:val="center"/>
              <w:rPr>
                <w:color w:val="auto"/>
                <w:szCs w:val="21"/>
              </w:rPr>
            </w:pPr>
            <w:r>
              <w:rPr>
                <w:bCs/>
                <w:color w:val="auto"/>
                <w:szCs w:val="21"/>
              </w:rPr>
              <w:t>《大气污染物综合排放标准》（GB16297-1996）表</w:t>
            </w:r>
            <w:r>
              <w:rPr>
                <w:rFonts w:hint="eastAsia"/>
                <w:bCs/>
                <w:color w:val="auto"/>
                <w:szCs w:val="21"/>
              </w:rPr>
              <w:t>2</w:t>
            </w:r>
            <w:r>
              <w:rPr>
                <w:bCs/>
                <w:color w:val="auto"/>
                <w:szCs w:val="21"/>
              </w:rPr>
              <w:t>无组织排放监控浓度限值要求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continue"/>
            <w:tcBorders>
              <w:left w:val="single" w:color="auto" w:sz="4" w:space="0"/>
              <w:right w:val="single" w:color="000000" w:sz="6" w:space="0"/>
            </w:tcBorders>
            <w:vAlign w:val="center"/>
          </w:tcPr>
          <w:p>
            <w:pPr>
              <w:contextualSpacing/>
              <w:jc w:val="center"/>
              <w:rPr>
                <w:color w:val="auto"/>
                <w:szCs w:val="21"/>
              </w:rPr>
            </w:pP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rFonts w:hAnsi="宋体"/>
                <w:color w:val="auto"/>
                <w:szCs w:val="21"/>
              </w:rPr>
            </w:pPr>
            <w:r>
              <w:rPr>
                <w:rFonts w:hAnsi="宋体"/>
                <w:color w:val="auto"/>
                <w:szCs w:val="21"/>
              </w:rPr>
              <w:t>苯并[a]芘</w:t>
            </w:r>
          </w:p>
        </w:tc>
        <w:tc>
          <w:tcPr>
            <w:tcW w:w="820"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color w:val="auto"/>
                <w:szCs w:val="21"/>
              </w:rPr>
              <w:t>1</w:t>
            </w:r>
            <w:r>
              <w:rPr>
                <w:rFonts w:hAnsi="宋体"/>
                <w:color w:val="auto"/>
                <w:szCs w:val="21"/>
              </w:rPr>
              <w:t>次</w:t>
            </w:r>
            <w:r>
              <w:rPr>
                <w:color w:val="auto"/>
                <w:szCs w:val="21"/>
              </w:rPr>
              <w:t>/</w:t>
            </w:r>
            <w:r>
              <w:rPr>
                <w:rFonts w:hAnsi="宋体"/>
                <w:color w:val="auto"/>
                <w:szCs w:val="21"/>
              </w:rPr>
              <w:t>年</w:t>
            </w:r>
          </w:p>
        </w:tc>
        <w:tc>
          <w:tcPr>
            <w:tcW w:w="2243" w:type="pct"/>
            <w:vMerge w:val="continue"/>
            <w:tcBorders>
              <w:left w:val="single" w:color="000000" w:sz="6" w:space="0"/>
              <w:right w:val="nil"/>
            </w:tcBorders>
            <w:vAlign w:val="center"/>
          </w:tcPr>
          <w:p>
            <w:pPr>
              <w:widowControl/>
              <w:contextualSpacing/>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right w:val="single" w:color="auto" w:sz="4" w:space="0"/>
            </w:tcBorders>
            <w:vAlign w:val="center"/>
          </w:tcPr>
          <w:p>
            <w:pPr>
              <w:contextualSpacing/>
              <w:jc w:val="center"/>
              <w:rPr>
                <w:color w:val="auto"/>
                <w:szCs w:val="21"/>
              </w:rPr>
            </w:pPr>
          </w:p>
        </w:tc>
        <w:tc>
          <w:tcPr>
            <w:tcW w:w="746" w:type="pct"/>
            <w:vMerge w:val="continue"/>
            <w:tcBorders>
              <w:left w:val="single" w:color="auto" w:sz="4" w:space="0"/>
              <w:bottom w:val="single" w:color="000000" w:sz="6" w:space="0"/>
              <w:right w:val="single" w:color="000000" w:sz="6" w:space="0"/>
            </w:tcBorders>
            <w:vAlign w:val="center"/>
          </w:tcPr>
          <w:p>
            <w:pPr>
              <w:contextualSpacing/>
              <w:jc w:val="center"/>
              <w:rPr>
                <w:color w:val="auto"/>
                <w:szCs w:val="21"/>
              </w:rPr>
            </w:pPr>
          </w:p>
        </w:tc>
        <w:tc>
          <w:tcPr>
            <w:tcW w:w="746" w:type="pct"/>
            <w:tcBorders>
              <w:top w:val="single" w:color="000000" w:sz="6" w:space="0"/>
              <w:left w:val="single" w:color="000000" w:sz="6" w:space="0"/>
              <w:bottom w:val="single" w:color="000000" w:sz="6" w:space="0"/>
              <w:right w:val="single" w:color="000000" w:sz="6" w:space="0"/>
            </w:tcBorders>
            <w:vAlign w:val="center"/>
          </w:tcPr>
          <w:p>
            <w:pPr>
              <w:contextualSpacing/>
              <w:jc w:val="center"/>
              <w:rPr>
                <w:rFonts w:hAnsi="宋体"/>
                <w:color w:val="auto"/>
                <w:szCs w:val="21"/>
              </w:rPr>
            </w:pPr>
            <w:r>
              <w:rPr>
                <w:rFonts w:hAnsi="宋体"/>
                <w:color w:val="auto"/>
                <w:szCs w:val="21"/>
              </w:rPr>
              <w:t>非甲烷总烃</w:t>
            </w:r>
          </w:p>
        </w:tc>
        <w:tc>
          <w:tcPr>
            <w:tcW w:w="820"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季度</w:t>
            </w:r>
          </w:p>
        </w:tc>
        <w:tc>
          <w:tcPr>
            <w:tcW w:w="2243" w:type="pct"/>
            <w:vMerge w:val="continue"/>
            <w:tcBorders>
              <w:left w:val="single" w:color="000000" w:sz="6" w:space="0"/>
              <w:bottom w:val="single" w:color="000000" w:sz="6" w:space="0"/>
              <w:right w:val="nil"/>
            </w:tcBorders>
            <w:vAlign w:val="center"/>
          </w:tcPr>
          <w:p>
            <w:pPr>
              <w:widowControl/>
              <w:contextualSpacing/>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42" w:type="pct"/>
            <w:vMerge w:val="continue"/>
            <w:tcBorders>
              <w:left w:val="nil"/>
              <w:bottom w:val="single" w:color="000000" w:sz="12" w:space="0"/>
              <w:right w:val="single" w:color="auto" w:sz="4" w:space="0"/>
            </w:tcBorders>
            <w:vAlign w:val="center"/>
          </w:tcPr>
          <w:p>
            <w:pPr>
              <w:contextualSpacing/>
              <w:jc w:val="center"/>
              <w:rPr>
                <w:color w:val="auto"/>
                <w:szCs w:val="21"/>
              </w:rPr>
            </w:pPr>
          </w:p>
        </w:tc>
        <w:tc>
          <w:tcPr>
            <w:tcW w:w="746" w:type="pct"/>
            <w:tcBorders>
              <w:top w:val="single" w:color="000000" w:sz="6" w:space="0"/>
              <w:left w:val="single" w:color="auto" w:sz="4" w:space="0"/>
              <w:bottom w:val="single" w:color="000000" w:sz="12" w:space="0"/>
              <w:right w:val="single" w:color="000000" w:sz="6" w:space="0"/>
            </w:tcBorders>
            <w:vAlign w:val="center"/>
          </w:tcPr>
          <w:p>
            <w:pPr>
              <w:contextualSpacing/>
              <w:jc w:val="center"/>
              <w:rPr>
                <w:color w:val="auto"/>
                <w:szCs w:val="21"/>
              </w:rPr>
            </w:pPr>
            <w:r>
              <w:rPr>
                <w:color w:val="auto"/>
                <w:szCs w:val="21"/>
              </w:rPr>
              <w:t>厂区内</w:t>
            </w:r>
          </w:p>
        </w:tc>
        <w:tc>
          <w:tcPr>
            <w:tcW w:w="746" w:type="pct"/>
            <w:tcBorders>
              <w:top w:val="single" w:color="000000" w:sz="6" w:space="0"/>
              <w:left w:val="single" w:color="000000" w:sz="6" w:space="0"/>
              <w:bottom w:val="single" w:color="000000" w:sz="12" w:space="0"/>
              <w:right w:val="single" w:color="000000" w:sz="6" w:space="0"/>
            </w:tcBorders>
            <w:vAlign w:val="center"/>
          </w:tcPr>
          <w:p>
            <w:pPr>
              <w:contextualSpacing/>
              <w:jc w:val="center"/>
              <w:rPr>
                <w:rFonts w:hAnsi="宋体"/>
                <w:color w:val="auto"/>
                <w:szCs w:val="21"/>
              </w:rPr>
            </w:pPr>
            <w:r>
              <w:rPr>
                <w:rFonts w:hAnsi="宋体"/>
                <w:color w:val="auto"/>
                <w:szCs w:val="21"/>
              </w:rPr>
              <w:t>非甲烷总烃</w:t>
            </w:r>
          </w:p>
        </w:tc>
        <w:tc>
          <w:tcPr>
            <w:tcW w:w="820" w:type="pct"/>
            <w:tcBorders>
              <w:top w:val="single" w:color="000000" w:sz="6" w:space="0"/>
              <w:left w:val="single" w:color="000000" w:sz="6" w:space="0"/>
              <w:bottom w:val="single" w:color="000000" w:sz="12" w:space="0"/>
              <w:right w:val="single" w:color="000000" w:sz="6" w:space="0"/>
            </w:tcBorders>
            <w:vAlign w:val="center"/>
          </w:tcPr>
          <w:p>
            <w:pPr>
              <w:contextualSpacing/>
              <w:jc w:val="center"/>
              <w:rPr>
                <w:color w:val="auto"/>
                <w:szCs w:val="21"/>
              </w:rPr>
            </w:pPr>
            <w:r>
              <w:rPr>
                <w:color w:val="auto"/>
                <w:szCs w:val="21"/>
              </w:rPr>
              <w:t>1</w:t>
            </w:r>
            <w:r>
              <w:rPr>
                <w:rFonts w:hAnsi="宋体"/>
                <w:color w:val="auto"/>
                <w:szCs w:val="21"/>
              </w:rPr>
              <w:t>次</w:t>
            </w:r>
            <w:r>
              <w:rPr>
                <w:color w:val="auto"/>
                <w:szCs w:val="21"/>
              </w:rPr>
              <w:t>/</w:t>
            </w:r>
            <w:r>
              <w:rPr>
                <w:rFonts w:hint="eastAsia" w:hAnsi="宋体"/>
                <w:color w:val="auto"/>
                <w:szCs w:val="21"/>
              </w:rPr>
              <w:t>季度</w:t>
            </w:r>
          </w:p>
        </w:tc>
        <w:tc>
          <w:tcPr>
            <w:tcW w:w="2243" w:type="pct"/>
            <w:tcBorders>
              <w:top w:val="single" w:color="000000" w:sz="6" w:space="0"/>
              <w:left w:val="single" w:color="000000" w:sz="6" w:space="0"/>
              <w:bottom w:val="single" w:color="000000" w:sz="12" w:space="0"/>
              <w:right w:val="nil"/>
            </w:tcBorders>
            <w:vAlign w:val="center"/>
          </w:tcPr>
          <w:p>
            <w:pPr>
              <w:widowControl/>
              <w:contextualSpacing/>
              <w:jc w:val="center"/>
              <w:rPr>
                <w:rFonts w:hint="eastAsia" w:hAnsi="宋体" w:eastAsia="宋体"/>
                <w:color w:val="auto"/>
                <w:sz w:val="21"/>
                <w:szCs w:val="21"/>
                <w:lang w:val="en-US" w:eastAsia="zh-CN"/>
              </w:rPr>
            </w:pPr>
            <w:r>
              <w:rPr>
                <w:rFonts w:hint="eastAsia" w:hAnsi="宋体"/>
                <w:color w:val="auto"/>
                <w:sz w:val="21"/>
                <w:szCs w:val="21"/>
                <w:lang w:val="en-US" w:eastAsia="zh-CN"/>
              </w:rPr>
              <w:t>指南：</w:t>
            </w:r>
            <w:r>
              <w:rPr>
                <w:rFonts w:hint="eastAsia"/>
                <w:bCs/>
                <w:color w:val="auto"/>
                <w:sz w:val="21"/>
                <w:szCs w:val="21"/>
              </w:rPr>
              <w:t>HJ1119-2020</w:t>
            </w:r>
          </w:p>
          <w:p>
            <w:pPr>
              <w:widowControl/>
              <w:contextualSpacing/>
              <w:jc w:val="center"/>
              <w:rPr>
                <w:color w:val="auto"/>
                <w:szCs w:val="21"/>
              </w:rPr>
            </w:pPr>
            <w:r>
              <w:rPr>
                <w:color w:val="auto"/>
                <w:szCs w:val="21"/>
              </w:rPr>
              <w:t>《挥发性有机物无组织排放标准》（GB</w:t>
            </w:r>
            <w:r>
              <w:rPr>
                <w:rFonts w:hint="eastAsia"/>
                <w:color w:val="auto"/>
                <w:szCs w:val="21"/>
              </w:rPr>
              <w:t>37822</w:t>
            </w:r>
            <w:r>
              <w:rPr>
                <w:color w:val="auto"/>
                <w:szCs w:val="21"/>
              </w:rPr>
              <w:t>-20</w:t>
            </w:r>
            <w:r>
              <w:rPr>
                <w:rFonts w:hint="eastAsia"/>
                <w:color w:val="auto"/>
                <w:szCs w:val="21"/>
              </w:rPr>
              <w:t>19</w:t>
            </w:r>
            <w:r>
              <w:rPr>
                <w:color w:val="auto"/>
                <w:szCs w:val="21"/>
              </w:rPr>
              <w:t>）中表</w:t>
            </w:r>
            <w:r>
              <w:rPr>
                <w:rFonts w:hint="eastAsia"/>
                <w:color w:val="auto"/>
                <w:szCs w:val="21"/>
              </w:rPr>
              <w:t>A.1无组织排放限值</w:t>
            </w:r>
          </w:p>
        </w:tc>
      </w:tr>
    </w:tbl>
    <w:p>
      <w:pPr>
        <w:pStyle w:val="3"/>
        <w:numPr>
          <w:ilvl w:val="0"/>
          <w:numId w:val="0"/>
        </w:numPr>
        <w:bidi w:val="0"/>
        <w:ind w:leftChars="0"/>
        <w:rPr>
          <w:rFonts w:hint="eastAsia" w:ascii="宋体" w:hAnsi="宋体" w:eastAsia="宋体" w:cs="Times New Roman"/>
          <w:b w:val="0"/>
          <w:bCs w:val="0"/>
          <w:color w:val="auto"/>
          <w:sz w:val="28"/>
          <w:szCs w:val="28"/>
        </w:rPr>
      </w:pPr>
      <w:bookmarkStart w:id="303" w:name="_Toc17393"/>
      <w:bookmarkStart w:id="304" w:name="_Toc2090"/>
      <w:bookmarkStart w:id="305" w:name="_Toc15820"/>
      <w:bookmarkStart w:id="306" w:name="_Toc11727"/>
      <w:r>
        <w:rPr>
          <w:rFonts w:hint="eastAsia" w:ascii="宋体" w:hAnsi="宋体" w:eastAsia="宋体" w:cs="Times New Roman"/>
          <w:b w:val="0"/>
          <w:bCs w:val="0"/>
          <w:color w:val="auto"/>
          <w:sz w:val="28"/>
          <w:szCs w:val="28"/>
        </w:rPr>
        <w:t>8大气环境影响评价结论与建议</w:t>
      </w:r>
      <w:bookmarkEnd w:id="297"/>
      <w:bookmarkEnd w:id="298"/>
      <w:bookmarkEnd w:id="299"/>
      <w:bookmarkEnd w:id="300"/>
      <w:bookmarkEnd w:id="301"/>
      <w:bookmarkEnd w:id="302"/>
      <w:bookmarkEnd w:id="303"/>
      <w:bookmarkEnd w:id="304"/>
      <w:bookmarkEnd w:id="305"/>
      <w:bookmarkEnd w:id="306"/>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307" w:name="_Toc21770"/>
      <w:bookmarkStart w:id="308" w:name="_Toc13045"/>
      <w:bookmarkStart w:id="309" w:name="_Toc16784"/>
      <w:bookmarkStart w:id="310" w:name="_Toc8447"/>
      <w:bookmarkStart w:id="311" w:name="_Toc28761"/>
      <w:r>
        <w:rPr>
          <w:rFonts w:ascii="Times New Roman" w:hAnsi="Times New Roman" w:eastAsia="宋体" w:cs="Times New Roman"/>
          <w:b w:val="0"/>
          <w:bCs/>
          <w:color w:val="auto"/>
          <w:sz w:val="24"/>
          <w:szCs w:val="24"/>
          <w:highlight w:val="none"/>
        </w:rPr>
        <w:t>8.1结论</w:t>
      </w:r>
      <w:bookmarkEnd w:id="307"/>
      <w:bookmarkEnd w:id="308"/>
      <w:bookmarkEnd w:id="309"/>
      <w:bookmarkEnd w:id="310"/>
      <w:bookmarkEnd w:id="311"/>
    </w:p>
    <w:p>
      <w:pPr>
        <w:pStyle w:val="86"/>
        <w:adjustRightInd w:val="0"/>
        <w:snapToGrid w:val="0"/>
        <w:spacing w:line="500" w:lineRule="exact"/>
        <w:ind w:firstLine="0" w:firstLineChars="0"/>
        <w:outlineLvl w:val="2"/>
        <w:rPr>
          <w:rFonts w:ascii="Times New Roman" w:hAnsi="Times New Roman" w:eastAsia="宋体" w:cs="Times New Roman"/>
          <w:snapToGrid w:val="0"/>
          <w:color w:val="auto"/>
          <w:spacing w:val="0"/>
          <w:kern w:val="0"/>
          <w:sz w:val="24"/>
          <w:szCs w:val="24"/>
          <w:highlight w:val="none"/>
        </w:rPr>
      </w:pPr>
      <w:bookmarkStart w:id="312" w:name="_Toc19590"/>
      <w:bookmarkStart w:id="313" w:name="_Toc13770"/>
      <w:bookmarkStart w:id="314" w:name="_Toc29251"/>
      <w:bookmarkStart w:id="315" w:name="_Toc23398"/>
      <w:r>
        <w:rPr>
          <w:rFonts w:ascii="Times New Roman" w:hAnsi="Times New Roman" w:eastAsia="宋体" w:cs="Times New Roman"/>
          <w:snapToGrid w:val="0"/>
          <w:color w:val="auto"/>
          <w:spacing w:val="0"/>
          <w:kern w:val="0"/>
          <w:sz w:val="24"/>
          <w:szCs w:val="24"/>
          <w:highlight w:val="none"/>
        </w:rPr>
        <w:t>8.1.1项目概况</w:t>
      </w:r>
      <w:bookmarkEnd w:id="312"/>
      <w:bookmarkEnd w:id="313"/>
      <w:bookmarkEnd w:id="314"/>
      <w:bookmarkEnd w:id="315"/>
    </w:p>
    <w:p>
      <w:pPr>
        <w:pStyle w:val="117"/>
        <w:bidi w:val="0"/>
        <w:rPr>
          <w:rFonts w:hint="default"/>
          <w:color w:val="auto"/>
          <w:lang w:val="en-US" w:eastAsia="zh-CN"/>
        </w:rPr>
      </w:pPr>
      <w:r>
        <w:rPr>
          <w:rFonts w:hint="eastAsia"/>
          <w:b w:val="0"/>
          <w:bCs/>
          <w:color w:val="auto"/>
          <w:szCs w:val="21"/>
          <w:lang w:val="en-US" w:eastAsia="zh-CN"/>
        </w:rPr>
        <w:t>本项目在现有厂区内改扩建。新设</w:t>
      </w:r>
      <w:r>
        <w:rPr>
          <w:rFonts w:hint="eastAsia"/>
          <w:b w:val="0"/>
          <w:bCs/>
          <w:color w:val="auto"/>
          <w:szCs w:val="21"/>
        </w:rPr>
        <w:t>1条沥青混凝土生产线，设备型号为</w:t>
      </w:r>
      <w:r>
        <w:rPr>
          <w:rFonts w:hint="eastAsia"/>
          <w:b w:val="0"/>
          <w:bCs/>
          <w:color w:val="auto"/>
          <w:szCs w:val="21"/>
          <w:highlight w:val="none"/>
          <w:lang w:val="en-US" w:eastAsia="zh-CN"/>
        </w:rPr>
        <w:t>LR3015型沥青混合料厂拌热再生组合设备</w:t>
      </w:r>
      <w:r>
        <w:rPr>
          <w:rFonts w:hint="eastAsia" w:hAnsi="宋体"/>
          <w:b w:val="0"/>
          <w:bCs/>
          <w:color w:val="auto"/>
          <w:szCs w:val="21"/>
        </w:rPr>
        <w:t>，年产</w:t>
      </w:r>
      <w:r>
        <w:rPr>
          <w:rFonts w:hint="eastAsia"/>
          <w:b w:val="0"/>
          <w:bCs/>
          <w:color w:val="auto"/>
          <w:szCs w:val="21"/>
        </w:rPr>
        <w:t>沥青混凝土</w:t>
      </w:r>
      <w:r>
        <w:rPr>
          <w:rFonts w:hint="eastAsia"/>
          <w:b w:val="0"/>
          <w:bCs/>
          <w:color w:val="auto"/>
          <w:szCs w:val="21"/>
          <w:lang w:val="en-US" w:eastAsia="zh-CN"/>
        </w:rPr>
        <w:t>5</w:t>
      </w:r>
      <w:r>
        <w:rPr>
          <w:rFonts w:hint="eastAsia"/>
          <w:b w:val="0"/>
          <w:bCs/>
          <w:color w:val="auto"/>
          <w:szCs w:val="21"/>
        </w:rPr>
        <w:t>万t/a</w:t>
      </w:r>
      <w:r>
        <w:rPr>
          <w:rFonts w:hint="eastAsia" w:hAnsi="宋体"/>
          <w:b w:val="0"/>
          <w:bCs/>
          <w:color w:val="auto"/>
          <w:szCs w:val="21"/>
        </w:rPr>
        <w:t>。</w:t>
      </w:r>
      <w:r>
        <w:rPr>
          <w:rFonts w:hint="eastAsia" w:hAnsi="宋体"/>
          <w:b w:val="0"/>
          <w:bCs/>
          <w:color w:val="auto"/>
          <w:szCs w:val="21"/>
          <w:lang w:val="en-US" w:eastAsia="zh-CN"/>
        </w:rPr>
        <w:t>拆除现有厂区的设备，保留利旧的设备有导热油炉、沥青罐6座、40t油罐1座，利用现有6000</w:t>
      </w:r>
      <w:r>
        <w:rPr>
          <w:rFonts w:ascii="Times New Roman" w:hAnsi="Times New Roman" w:eastAsia="Times New Roman"/>
          <w:b w:val="0"/>
          <w:bCs/>
          <w:color w:val="auto"/>
          <w:spacing w:val="-4"/>
          <w:sz w:val="21"/>
          <w:szCs w:val="21"/>
          <w:highlight w:val="none"/>
        </w:rPr>
        <w:t>m</w:t>
      </w:r>
      <w:r>
        <w:rPr>
          <w:rFonts w:ascii="Times New Roman" w:hAnsi="Times New Roman" w:eastAsia="Times New Roman"/>
          <w:b w:val="0"/>
          <w:bCs/>
          <w:color w:val="auto"/>
          <w:spacing w:val="-4"/>
          <w:position w:val="7"/>
          <w:sz w:val="14"/>
          <w:szCs w:val="14"/>
          <w:highlight w:val="none"/>
        </w:rPr>
        <w:t>2</w:t>
      </w:r>
      <w:r>
        <w:rPr>
          <w:rFonts w:hint="eastAsia" w:hAnsi="宋体"/>
          <w:b w:val="0"/>
          <w:bCs/>
          <w:color w:val="auto"/>
          <w:szCs w:val="21"/>
          <w:lang w:val="en-US" w:eastAsia="zh-CN"/>
        </w:rPr>
        <w:t>堆料场</w:t>
      </w:r>
      <w:r>
        <w:rPr>
          <w:rFonts w:hint="eastAsia" w:ascii="Times New Roman" w:hAnsi="Times New Roman" w:eastAsia="宋体" w:cs="Times New Roman"/>
          <w:b w:val="0"/>
          <w:bCs/>
          <w:color w:val="auto"/>
          <w:szCs w:val="24"/>
        </w:rPr>
        <w:t>。</w:t>
      </w:r>
      <w:r>
        <w:rPr>
          <w:rFonts w:hint="eastAsia" w:cs="Times New Roman"/>
          <w:b w:val="0"/>
          <w:bCs/>
          <w:color w:val="auto"/>
          <w:szCs w:val="24"/>
          <w:lang w:val="en-US" w:eastAsia="zh-CN"/>
        </w:rPr>
        <w:t>新建初期雨水池1座。</w:t>
      </w:r>
    </w:p>
    <w:p>
      <w:pPr>
        <w:pStyle w:val="86"/>
        <w:adjustRightInd w:val="0"/>
        <w:snapToGrid w:val="0"/>
        <w:spacing w:line="500" w:lineRule="exact"/>
        <w:ind w:firstLine="0" w:firstLineChars="0"/>
        <w:outlineLvl w:val="2"/>
        <w:rPr>
          <w:rFonts w:ascii="Times New Roman" w:hAnsi="Times New Roman" w:eastAsia="宋体" w:cs="Times New Roman"/>
          <w:snapToGrid w:val="0"/>
          <w:color w:val="auto"/>
          <w:spacing w:val="0"/>
          <w:kern w:val="0"/>
          <w:sz w:val="24"/>
          <w:szCs w:val="24"/>
          <w:highlight w:val="none"/>
        </w:rPr>
      </w:pPr>
      <w:bookmarkStart w:id="316" w:name="_Toc26811"/>
      <w:bookmarkStart w:id="317" w:name="_Toc24014"/>
      <w:bookmarkStart w:id="318" w:name="_Toc19108"/>
      <w:bookmarkStart w:id="319" w:name="_Toc27613"/>
      <w:r>
        <w:rPr>
          <w:rFonts w:ascii="Times New Roman" w:hAnsi="Times New Roman" w:eastAsia="宋体" w:cs="Times New Roman"/>
          <w:snapToGrid w:val="0"/>
          <w:color w:val="auto"/>
          <w:spacing w:val="0"/>
          <w:kern w:val="0"/>
          <w:sz w:val="24"/>
          <w:szCs w:val="24"/>
          <w:highlight w:val="none"/>
        </w:rPr>
        <w:t>8.1.2环境质量现状分析结论</w:t>
      </w:r>
      <w:bookmarkEnd w:id="316"/>
      <w:bookmarkEnd w:id="317"/>
      <w:bookmarkEnd w:id="318"/>
      <w:bookmarkEnd w:id="319"/>
    </w:p>
    <w:p>
      <w:pPr>
        <w:pStyle w:val="117"/>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）常规污染物</w:t>
      </w:r>
    </w:p>
    <w:p>
      <w:pPr>
        <w:pStyle w:val="117"/>
        <w:bidi w:val="0"/>
        <w:rPr>
          <w:rFonts w:hint="default"/>
          <w:color w:val="auto"/>
          <w:lang w:val="en-US" w:eastAsia="zh-CN"/>
        </w:rPr>
      </w:pPr>
      <w:r>
        <w:rPr>
          <w:rFonts w:hint="eastAsia"/>
          <w:color w:val="auto"/>
          <w:sz w:val="24"/>
        </w:rPr>
        <w:t>202</w:t>
      </w:r>
      <w:r>
        <w:rPr>
          <w:rFonts w:hint="eastAsia"/>
          <w:color w:val="auto"/>
          <w:sz w:val="24"/>
          <w:lang w:val="en-US" w:eastAsia="zh-CN"/>
        </w:rPr>
        <w:t>4</w:t>
      </w:r>
      <w:r>
        <w:rPr>
          <w:rFonts w:hint="eastAsia"/>
          <w:color w:val="auto"/>
          <w:sz w:val="24"/>
        </w:rPr>
        <w:t>年伊春</w:t>
      </w:r>
      <w:r>
        <w:rPr>
          <w:color w:val="auto"/>
          <w:sz w:val="24"/>
          <w:lang w:val="zh-CN"/>
        </w:rPr>
        <w:t>区域基本污染物均符合《环境空气质量标准》（GB3095-20</w:t>
      </w:r>
      <w:r>
        <w:rPr>
          <w:rFonts w:hint="eastAsia"/>
          <w:color w:val="auto"/>
          <w:sz w:val="24"/>
          <w:lang w:val="en-US" w:eastAsia="zh-CN"/>
        </w:rPr>
        <w:t>26</w:t>
      </w:r>
      <w:r>
        <w:rPr>
          <w:color w:val="auto"/>
          <w:sz w:val="24"/>
          <w:lang w:val="zh-CN"/>
        </w:rPr>
        <w:t>）二级标准，区域属于环境空气质量达标区</w:t>
      </w:r>
      <w:r>
        <w:rPr>
          <w:color w:val="auto"/>
          <w:sz w:val="24"/>
        </w:rPr>
        <w:t>。</w:t>
      </w:r>
    </w:p>
    <w:p>
      <w:pPr>
        <w:pStyle w:val="117"/>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）特征污染物</w:t>
      </w:r>
    </w:p>
    <w:p>
      <w:pPr>
        <w:pStyle w:val="117"/>
        <w:bidi w:val="0"/>
        <w:rPr>
          <w:rFonts w:hint="default"/>
          <w:color w:val="auto"/>
          <w:lang w:val="en-US" w:eastAsia="zh-CN"/>
        </w:rPr>
      </w:pPr>
      <w:r>
        <w:rPr>
          <w:snapToGrid w:val="0"/>
          <w:color w:val="auto"/>
          <w:sz w:val="24"/>
          <w:lang w:val="en-GB"/>
        </w:rPr>
        <w:t>本项目补充监测的</w:t>
      </w:r>
      <w:r>
        <w:rPr>
          <w:color w:val="auto"/>
          <w:sz w:val="24"/>
        </w:rPr>
        <w:t>TSP24小时平均浓度满足</w:t>
      </w:r>
      <w:r>
        <w:rPr>
          <w:color w:val="auto"/>
          <w:sz w:val="24"/>
          <w:lang w:val="zh-CN"/>
        </w:rPr>
        <w:t>《环境空气质量标准》（GB3095-20</w:t>
      </w:r>
      <w:r>
        <w:rPr>
          <w:rFonts w:hint="eastAsia"/>
          <w:color w:val="auto"/>
          <w:sz w:val="24"/>
          <w:lang w:val="en-US" w:eastAsia="zh-CN"/>
        </w:rPr>
        <w:t>26</w:t>
      </w:r>
      <w:r>
        <w:rPr>
          <w:color w:val="auto"/>
          <w:sz w:val="24"/>
          <w:lang w:val="zh-CN"/>
        </w:rPr>
        <w:t>）二级标准</w:t>
      </w:r>
      <w:r>
        <w:rPr>
          <w:color w:val="auto"/>
          <w:sz w:val="24"/>
        </w:rPr>
        <w:t>。</w:t>
      </w:r>
      <w:r>
        <w:rPr>
          <w:snapToGrid w:val="0"/>
          <w:color w:val="auto"/>
          <w:sz w:val="24"/>
          <w:lang w:val="en-GB"/>
        </w:rPr>
        <w:t>本项目</w:t>
      </w:r>
      <w:r>
        <w:rPr>
          <w:rFonts w:hint="eastAsia"/>
          <w:snapToGrid w:val="0"/>
          <w:color w:val="auto"/>
          <w:sz w:val="24"/>
          <w:lang w:val="en-GB"/>
        </w:rPr>
        <w:t>所在区域大气环境</w:t>
      </w:r>
      <w:r>
        <w:rPr>
          <w:bCs/>
          <w:snapToGrid w:val="0"/>
          <w:color w:val="auto"/>
          <w:sz w:val="24"/>
        </w:rPr>
        <w:t>苯并[a]芘</w:t>
      </w:r>
      <w:r>
        <w:rPr>
          <w:rFonts w:hint="eastAsia"/>
          <w:snapToGrid w:val="0"/>
          <w:color w:val="auto"/>
          <w:sz w:val="24"/>
          <w:lang w:val="en-GB"/>
        </w:rPr>
        <w:t>均未检出，</w:t>
      </w:r>
      <w:r>
        <w:rPr>
          <w:rFonts w:hAnsi="宋体"/>
          <w:color w:val="auto"/>
          <w:sz w:val="24"/>
        </w:rPr>
        <w:t>满足</w:t>
      </w:r>
      <w:r>
        <w:rPr>
          <w:color w:val="auto"/>
          <w:sz w:val="24"/>
          <w:lang w:val="zh-CN"/>
        </w:rPr>
        <w:t>《环境空气质量标准》（GB3095-20</w:t>
      </w:r>
      <w:r>
        <w:rPr>
          <w:rFonts w:hint="eastAsia"/>
          <w:color w:val="auto"/>
          <w:sz w:val="24"/>
          <w:lang w:val="en-US" w:eastAsia="zh-CN"/>
        </w:rPr>
        <w:t>26</w:t>
      </w:r>
      <w:r>
        <w:rPr>
          <w:color w:val="auto"/>
          <w:sz w:val="24"/>
          <w:lang w:val="zh-CN"/>
        </w:rPr>
        <w:t>）二级标准</w:t>
      </w:r>
      <w:r>
        <w:rPr>
          <w:rFonts w:hint="eastAsia"/>
          <w:color w:val="auto"/>
        </w:rPr>
        <w:t>。</w:t>
      </w:r>
    </w:p>
    <w:p>
      <w:pPr>
        <w:pStyle w:val="86"/>
        <w:adjustRightInd w:val="0"/>
        <w:snapToGrid w:val="0"/>
        <w:spacing w:line="500" w:lineRule="exact"/>
        <w:ind w:firstLine="0" w:firstLineChars="0"/>
        <w:outlineLvl w:val="2"/>
        <w:rPr>
          <w:rFonts w:ascii="Times New Roman" w:hAnsi="Times New Roman" w:eastAsia="宋体" w:cs="Times New Roman"/>
          <w:snapToGrid w:val="0"/>
          <w:color w:val="auto"/>
          <w:spacing w:val="0"/>
          <w:kern w:val="0"/>
          <w:sz w:val="24"/>
          <w:szCs w:val="24"/>
          <w:highlight w:val="none"/>
        </w:rPr>
      </w:pPr>
      <w:bookmarkStart w:id="320" w:name="_Toc3563"/>
      <w:bookmarkStart w:id="321" w:name="_Toc28046"/>
      <w:bookmarkStart w:id="322" w:name="_Toc16043"/>
      <w:bookmarkStart w:id="323" w:name="_Toc7757"/>
      <w:r>
        <w:rPr>
          <w:rFonts w:ascii="Times New Roman" w:hAnsi="Times New Roman" w:eastAsia="宋体" w:cs="Times New Roman"/>
          <w:snapToGrid w:val="0"/>
          <w:color w:val="auto"/>
          <w:spacing w:val="0"/>
          <w:kern w:val="0"/>
          <w:sz w:val="24"/>
          <w:szCs w:val="24"/>
          <w:highlight w:val="none"/>
        </w:rPr>
        <w:t>8.1.3环境影响分析结论</w:t>
      </w:r>
      <w:bookmarkEnd w:id="320"/>
      <w:bookmarkEnd w:id="321"/>
      <w:bookmarkEnd w:id="322"/>
      <w:bookmarkEnd w:id="323"/>
    </w:p>
    <w:p>
      <w:pPr>
        <w:pStyle w:val="117"/>
        <w:bidi w:val="0"/>
        <w:rPr>
          <w:rFonts w:hint="default"/>
          <w:color w:val="auto"/>
          <w:lang w:val="en-US" w:eastAsia="zh-CN"/>
        </w:rPr>
      </w:pPr>
      <w:r>
        <w:rPr>
          <w:rFonts w:hint="eastAsia"/>
          <w:color w:val="auto"/>
          <w:lang w:val="en-US" w:eastAsia="zh-CN"/>
        </w:rPr>
        <w:t>1、无组织废气</w:t>
      </w:r>
    </w:p>
    <w:p>
      <w:pPr>
        <w:pStyle w:val="117"/>
        <w:bidi w:val="0"/>
        <w:rPr>
          <w:rFonts w:hint="default"/>
          <w:color w:val="auto"/>
          <w:lang w:val="en-US" w:eastAsia="zh-CN"/>
        </w:rPr>
      </w:pPr>
      <w:r>
        <w:rPr>
          <w:rFonts w:hint="eastAsia"/>
          <w:color w:val="auto"/>
          <w:lang w:val="en-US" w:eastAsia="zh-CN"/>
        </w:rPr>
        <w:t>项目</w:t>
      </w:r>
      <w:r>
        <w:rPr>
          <w:rFonts w:hint="eastAsia"/>
          <w:color w:val="auto"/>
          <w:highlight w:val="none"/>
          <w:lang w:val="en-US" w:eastAsia="zh-CN"/>
        </w:rPr>
        <w:t>沥青拌合站</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筒仓采用彩钢棚集体封闭，</w:t>
      </w:r>
      <w:r>
        <w:rPr>
          <w:rFonts w:hint="eastAsia" w:cs="Times New Roman"/>
          <w:color w:val="auto"/>
          <w:highlight w:val="none"/>
          <w:lang w:val="en-US" w:eastAsia="zh-CN"/>
        </w:rPr>
        <w:t>物</w:t>
      </w:r>
      <w:r>
        <w:rPr>
          <w:rFonts w:hint="default" w:ascii="Times New Roman" w:hAnsi="Times New Roman" w:cs="Times New Roman"/>
          <w:color w:val="auto"/>
          <w:highlight w:val="none"/>
        </w:rPr>
        <w:t>料采用密闭罐车运输，卸料过程采用气力输送，同时每个筒仓</w:t>
      </w:r>
      <w:r>
        <w:rPr>
          <w:rFonts w:hint="eastAsia" w:cs="Times New Roman"/>
          <w:color w:val="auto"/>
          <w:highlight w:val="none"/>
          <w:lang w:val="en-US" w:eastAsia="zh-CN"/>
        </w:rPr>
        <w:t>仓顶</w:t>
      </w:r>
      <w:r>
        <w:rPr>
          <w:rFonts w:hint="default" w:ascii="Times New Roman" w:hAnsi="Times New Roman" w:cs="Times New Roman"/>
          <w:color w:val="auto"/>
          <w:highlight w:val="none"/>
        </w:rPr>
        <w:t>设置1台</w:t>
      </w:r>
      <w:r>
        <w:rPr>
          <w:rFonts w:hint="eastAsia" w:cs="Times New Roman"/>
          <w:color w:val="auto"/>
          <w:highlight w:val="none"/>
          <w:lang w:val="en-US" w:eastAsia="zh-CN"/>
        </w:rPr>
        <w:t>脉冲布袋</w:t>
      </w:r>
      <w:r>
        <w:rPr>
          <w:rFonts w:hint="default" w:ascii="Times New Roman" w:hAnsi="Times New Roman" w:cs="Times New Roman"/>
          <w:color w:val="auto"/>
          <w:highlight w:val="none"/>
        </w:rPr>
        <w:t>除尘器，筒仓粉尘经除尘后通过</w:t>
      </w:r>
      <w:r>
        <w:rPr>
          <w:rFonts w:hint="eastAsia" w:cs="Times New Roman"/>
          <w:color w:val="auto"/>
          <w:highlight w:val="none"/>
          <w:lang w:val="en-US" w:eastAsia="zh-CN"/>
        </w:rPr>
        <w:t>DA001排放</w:t>
      </w:r>
      <w:r>
        <w:rPr>
          <w:rFonts w:hint="eastAsia" w:ascii="Times New Roman" w:hAnsi="Times New Roman" w:cs="Times New Roman"/>
          <w:color w:val="auto"/>
          <w:highlight w:val="none"/>
          <w:lang w:eastAsia="zh-CN"/>
        </w:rPr>
        <w:t>；</w:t>
      </w:r>
      <w:r>
        <w:rPr>
          <w:rFonts w:hint="default"/>
          <w:color w:val="auto"/>
          <w:lang w:val="en-US" w:eastAsia="zh-CN"/>
        </w:rPr>
        <w:t>项目</w:t>
      </w:r>
      <w:r>
        <w:rPr>
          <w:rFonts w:hint="eastAsia"/>
          <w:color w:val="auto"/>
          <w:lang w:val="en-US" w:eastAsia="zh-CN"/>
        </w:rPr>
        <w:t>粉状</w:t>
      </w:r>
      <w:r>
        <w:rPr>
          <w:rFonts w:hint="default"/>
          <w:color w:val="auto"/>
          <w:lang w:val="en-US" w:eastAsia="zh-CN"/>
        </w:rPr>
        <w:t>物料采用封闭式罐车运入厂区，碎石运输车辆全部采用苫布覆盖，运输过程做到不超载，不滴、撒、漏，厂区地面洒水降尘；原料的输送、计量及投料均为封闭式，厂区地面硬化并安装</w:t>
      </w:r>
      <w:r>
        <w:rPr>
          <w:rFonts w:hint="eastAsia"/>
          <w:color w:val="auto"/>
          <w:lang w:val="en-US" w:eastAsia="zh-CN"/>
        </w:rPr>
        <w:t>降尘</w:t>
      </w:r>
      <w:r>
        <w:rPr>
          <w:rFonts w:hint="default"/>
          <w:color w:val="auto"/>
          <w:lang w:val="en-US" w:eastAsia="zh-CN"/>
        </w:rPr>
        <w:t>装置</w:t>
      </w:r>
      <w:r>
        <w:rPr>
          <w:rFonts w:hint="eastAsia"/>
          <w:color w:val="auto"/>
          <w:lang w:val="en-US" w:eastAsia="zh-CN"/>
        </w:rPr>
        <w:t>；</w:t>
      </w:r>
      <w:r>
        <w:rPr>
          <w:color w:val="auto"/>
          <w:sz w:val="24"/>
        </w:rPr>
        <w:t>全厂</w:t>
      </w:r>
      <w:r>
        <w:rPr>
          <w:color w:val="auto"/>
          <w:sz w:val="24"/>
          <w:szCs w:val="24"/>
        </w:rPr>
        <w:t>无</w:t>
      </w:r>
      <w:r>
        <w:rPr>
          <w:rFonts w:hint="eastAsia"/>
          <w:color w:val="auto"/>
          <w:sz w:val="24"/>
          <w:szCs w:val="24"/>
        </w:rPr>
        <w:t>组织</w:t>
      </w:r>
      <w:r>
        <w:rPr>
          <w:color w:val="auto"/>
          <w:sz w:val="24"/>
          <w:szCs w:val="24"/>
        </w:rPr>
        <w:t>粉尘排放量为</w:t>
      </w:r>
      <w:r>
        <w:rPr>
          <w:rFonts w:hint="eastAsia"/>
          <w:color w:val="auto"/>
          <w:sz w:val="24"/>
          <w:szCs w:val="24"/>
        </w:rPr>
        <w:t>0.1072</w:t>
      </w:r>
      <w:r>
        <w:rPr>
          <w:rFonts w:hint="eastAsia"/>
          <w:color w:val="auto"/>
          <w:sz w:val="24"/>
          <w:szCs w:val="24"/>
          <w:lang w:val="en-US" w:eastAsia="zh-CN"/>
        </w:rPr>
        <w:t>t/a</w:t>
      </w:r>
      <w:r>
        <w:rPr>
          <w:color w:val="auto"/>
          <w:sz w:val="24"/>
          <w:szCs w:val="24"/>
        </w:rPr>
        <w:t>。</w:t>
      </w:r>
      <w:r>
        <w:rPr>
          <w:rFonts w:hint="eastAsia" w:ascii="Times New Roman" w:hAnsi="Times New Roman" w:cs="Times New Roman"/>
          <w:color w:val="auto"/>
          <w:sz w:val="24"/>
          <w:szCs w:val="24"/>
          <w:lang w:val="en-US" w:eastAsia="zh-CN"/>
        </w:rPr>
        <w:t>沥青预处理系统、拌合系统</w:t>
      </w:r>
      <w:r>
        <w:rPr>
          <w:rFonts w:hint="default" w:ascii="Times New Roman" w:hAnsi="Times New Roman" w:cs="Times New Roman"/>
          <w:color w:val="auto"/>
          <w:sz w:val="24"/>
          <w:szCs w:val="24"/>
          <w:lang w:val="en-US" w:eastAsia="zh-CN"/>
        </w:rPr>
        <w:t>无组织沥青烟</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val="en-US" w:eastAsia="zh-CN"/>
        </w:rPr>
        <w:t>量</w:t>
      </w:r>
      <w:r>
        <w:rPr>
          <w:rFonts w:hint="default" w:ascii="Times New Roman" w:hAnsi="Times New Roman" w:cs="Times New Roman"/>
          <w:color w:val="auto"/>
          <w:sz w:val="24"/>
          <w:szCs w:val="24"/>
        </w:rPr>
        <w:t>为0.0</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rPr>
        <w:t>t/a，苯并[a]芘排放量为0.00</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rPr>
        <w:t>t/a，非甲烷总烃排放量为0.0</w:t>
      </w:r>
      <w:r>
        <w:rPr>
          <w:rFonts w:hint="default" w:ascii="Times New Roman" w:hAnsi="Times New Roman" w:cs="Times New Roman"/>
          <w:color w:val="auto"/>
          <w:sz w:val="24"/>
          <w:szCs w:val="24"/>
          <w:lang w:val="en-US" w:eastAsia="zh-CN"/>
        </w:rPr>
        <w:t>027</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本项目柴油储罐</w:t>
      </w:r>
      <w:r>
        <w:rPr>
          <w:rFonts w:hint="eastAsia" w:cs="Times New Roman"/>
          <w:color w:val="auto"/>
          <w:sz w:val="24"/>
          <w:szCs w:val="24"/>
          <w:highlight w:val="none"/>
          <w:lang w:val="en-US" w:eastAsia="zh-CN"/>
        </w:rPr>
        <w:t>无组织</w:t>
      </w:r>
      <w:r>
        <w:rPr>
          <w:rFonts w:hint="default" w:ascii="Times New Roman" w:hAnsi="Times New Roman" w:cs="Times New Roman"/>
          <w:color w:val="auto"/>
          <w:sz w:val="24"/>
          <w:szCs w:val="24"/>
          <w:highlight w:val="none"/>
          <w:lang w:val="en-US" w:eastAsia="zh-CN"/>
        </w:rPr>
        <w:t>非甲烷总烃量为0.1</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bCs/>
          <w:color w:val="auto"/>
          <w:sz w:val="24"/>
          <w:szCs w:val="24"/>
        </w:rPr>
        <w:t>厂界无组织颗粒物</w:t>
      </w:r>
      <w:r>
        <w:rPr>
          <w:rFonts w:hint="eastAsia"/>
          <w:bCs/>
          <w:color w:val="auto"/>
          <w:sz w:val="24"/>
          <w:szCs w:val="24"/>
          <w:lang w:eastAsia="zh-CN"/>
        </w:rPr>
        <w:t>、</w:t>
      </w:r>
      <w:r>
        <w:rPr>
          <w:rFonts w:hint="default" w:ascii="Times New Roman" w:hAnsi="Times New Roman" w:cs="Times New Roman"/>
          <w:color w:val="auto"/>
          <w:sz w:val="24"/>
          <w:szCs w:val="24"/>
          <w:lang w:val="en-US" w:eastAsia="zh-CN"/>
        </w:rPr>
        <w:t>沥青烟</w:t>
      </w:r>
      <w:r>
        <w:rPr>
          <w:rFonts w:hint="eastAsia" w:cs="Times New Roman"/>
          <w:color w:val="auto"/>
          <w:sz w:val="24"/>
          <w:szCs w:val="24"/>
          <w:lang w:val="en-US" w:eastAsia="zh-CN"/>
        </w:rPr>
        <w:t>、</w:t>
      </w:r>
      <w:r>
        <w:rPr>
          <w:rFonts w:hint="default" w:ascii="Times New Roman" w:hAnsi="Times New Roman" w:cs="Times New Roman"/>
          <w:color w:val="auto"/>
          <w:sz w:val="24"/>
          <w:szCs w:val="24"/>
        </w:rPr>
        <w:t>苯并[a]芘</w:t>
      </w:r>
      <w:r>
        <w:rPr>
          <w:rFonts w:hint="eastAsia" w:cs="Times New Roman"/>
          <w:color w:val="auto"/>
          <w:sz w:val="24"/>
          <w:szCs w:val="24"/>
          <w:lang w:eastAsia="zh-CN"/>
        </w:rPr>
        <w:t>、</w:t>
      </w:r>
      <w:r>
        <w:rPr>
          <w:rFonts w:hint="default" w:ascii="Times New Roman" w:hAnsi="Times New Roman" w:cs="Times New Roman"/>
          <w:color w:val="auto"/>
          <w:sz w:val="24"/>
          <w:szCs w:val="24"/>
        </w:rPr>
        <w:t>非甲烷总烃</w:t>
      </w:r>
      <w:r>
        <w:rPr>
          <w:bCs/>
          <w:color w:val="auto"/>
          <w:sz w:val="24"/>
          <w:szCs w:val="24"/>
        </w:rPr>
        <w:t>排放监控值满足《大气污染物综合排放标准》（GB16297-1996）表</w:t>
      </w:r>
      <w:r>
        <w:rPr>
          <w:rFonts w:hint="eastAsia"/>
          <w:bCs/>
          <w:color w:val="auto"/>
          <w:sz w:val="24"/>
          <w:szCs w:val="24"/>
        </w:rPr>
        <w:t>2</w:t>
      </w:r>
      <w:r>
        <w:rPr>
          <w:bCs/>
          <w:color w:val="auto"/>
          <w:sz w:val="24"/>
          <w:szCs w:val="24"/>
        </w:rPr>
        <w:t>无组织排放监控浓度限值要求。</w:t>
      </w:r>
      <w:r>
        <w:rPr>
          <w:rFonts w:hint="eastAsia"/>
          <w:color w:val="auto"/>
          <w:sz w:val="24"/>
          <w:szCs w:val="24"/>
        </w:rPr>
        <w:t>厂区</w:t>
      </w:r>
      <w:r>
        <w:rPr>
          <w:color w:val="auto"/>
          <w:sz w:val="24"/>
          <w:szCs w:val="24"/>
        </w:rPr>
        <w:t>内无组织非甲烷总烃</w:t>
      </w:r>
      <w:r>
        <w:rPr>
          <w:rFonts w:hint="eastAsia"/>
          <w:color w:val="auto"/>
          <w:sz w:val="24"/>
          <w:szCs w:val="24"/>
          <w:lang w:val="en-US" w:eastAsia="zh-CN"/>
        </w:rPr>
        <w:t>满足</w:t>
      </w:r>
      <w:r>
        <w:rPr>
          <w:color w:val="auto"/>
          <w:sz w:val="24"/>
          <w:szCs w:val="24"/>
        </w:rPr>
        <w:t>《挥发性有机物无组织排放标准》（GB</w:t>
      </w:r>
      <w:r>
        <w:rPr>
          <w:rFonts w:hint="eastAsia"/>
          <w:color w:val="auto"/>
          <w:sz w:val="24"/>
          <w:szCs w:val="24"/>
        </w:rPr>
        <w:t>37822</w:t>
      </w:r>
      <w:r>
        <w:rPr>
          <w:color w:val="auto"/>
          <w:sz w:val="24"/>
          <w:szCs w:val="24"/>
        </w:rPr>
        <w:t>-20</w:t>
      </w:r>
      <w:r>
        <w:rPr>
          <w:rFonts w:hint="eastAsia"/>
          <w:color w:val="auto"/>
          <w:sz w:val="24"/>
          <w:szCs w:val="24"/>
        </w:rPr>
        <w:t>19</w:t>
      </w:r>
      <w:r>
        <w:rPr>
          <w:color w:val="auto"/>
          <w:sz w:val="24"/>
          <w:szCs w:val="24"/>
        </w:rPr>
        <w:t>）中表</w:t>
      </w:r>
      <w:r>
        <w:rPr>
          <w:rFonts w:hint="eastAsia"/>
          <w:color w:val="auto"/>
          <w:sz w:val="24"/>
          <w:szCs w:val="24"/>
        </w:rPr>
        <w:t>A.1无组织排放限值</w:t>
      </w:r>
      <w:r>
        <w:rPr>
          <w:rFonts w:hint="eastAsia"/>
          <w:color w:val="auto"/>
          <w:sz w:val="24"/>
          <w:szCs w:val="24"/>
          <w:lang w:eastAsia="zh-CN"/>
        </w:rPr>
        <w:t>。</w:t>
      </w:r>
    </w:p>
    <w:p>
      <w:pPr>
        <w:pStyle w:val="117"/>
        <w:bidi w:val="0"/>
        <w:rPr>
          <w:rFonts w:hint="eastAsia"/>
          <w:color w:val="auto"/>
          <w:lang w:val="en-US" w:eastAsia="zh-CN"/>
        </w:rPr>
      </w:pPr>
      <w:r>
        <w:rPr>
          <w:rFonts w:hint="eastAsia"/>
          <w:color w:val="auto"/>
          <w:lang w:val="en-US" w:eastAsia="zh-CN"/>
        </w:rPr>
        <w:t>2、沥青烟废气</w:t>
      </w:r>
    </w:p>
    <w:p>
      <w:pPr>
        <w:pStyle w:val="117"/>
        <w:bidi w:val="0"/>
        <w:rPr>
          <w:rFonts w:hint="default"/>
          <w:color w:val="auto"/>
          <w:lang w:val="en-US" w:eastAsia="zh-CN"/>
        </w:rPr>
      </w:pPr>
      <w:r>
        <w:rPr>
          <w:bCs/>
          <w:color w:val="auto"/>
          <w:sz w:val="24"/>
        </w:rPr>
        <w:t>本项目在沥青混凝土拌和、沥青储罐处会产生沥青烟气、苯并[a]芘和</w:t>
      </w:r>
      <w:r>
        <w:rPr>
          <w:color w:val="auto"/>
          <w:sz w:val="24"/>
        </w:rPr>
        <w:t>非甲烷总烃</w:t>
      </w:r>
      <w:r>
        <w:rPr>
          <w:bCs/>
          <w:color w:val="auto"/>
          <w:sz w:val="24"/>
        </w:rPr>
        <w:t>，本项目搅拌机出料口处进行</w:t>
      </w:r>
      <w:r>
        <w:rPr>
          <w:rFonts w:hint="eastAsia"/>
          <w:bCs/>
          <w:color w:val="auto"/>
          <w:sz w:val="24"/>
          <w:lang w:val="en-US" w:eastAsia="zh-CN"/>
        </w:rPr>
        <w:t>负压集气</w:t>
      </w:r>
      <w:r>
        <w:rPr>
          <w:bCs/>
          <w:color w:val="auto"/>
          <w:sz w:val="24"/>
        </w:rPr>
        <w:t>（收集效率9</w:t>
      </w:r>
      <w:r>
        <w:rPr>
          <w:rFonts w:hint="eastAsia"/>
          <w:bCs/>
          <w:color w:val="auto"/>
          <w:sz w:val="24"/>
          <w:lang w:val="en-US" w:eastAsia="zh-CN"/>
        </w:rPr>
        <w:t>0</w:t>
      </w:r>
      <w:r>
        <w:rPr>
          <w:bCs/>
          <w:color w:val="auto"/>
          <w:sz w:val="24"/>
        </w:rPr>
        <w:t>%），</w:t>
      </w:r>
      <w:r>
        <w:rPr>
          <w:color w:val="auto"/>
          <w:sz w:val="24"/>
        </w:rPr>
        <w:t>沥青在密闭储罐中储存过程中产生的烟气以及出料产生的烟气</w:t>
      </w:r>
      <w:r>
        <w:rPr>
          <w:bCs/>
          <w:color w:val="auto"/>
          <w:sz w:val="24"/>
        </w:rPr>
        <w:t>经</w:t>
      </w:r>
      <w:r>
        <w:rPr>
          <w:rFonts w:hint="eastAsia"/>
          <w:color w:val="auto"/>
          <w:sz w:val="24"/>
          <w:lang w:eastAsia="zh-CN"/>
        </w:rPr>
        <w:t>活性炭吸附</w:t>
      </w:r>
      <w:r>
        <w:rPr>
          <w:rFonts w:hint="eastAsia"/>
          <w:color w:val="auto"/>
          <w:sz w:val="24"/>
        </w:rPr>
        <w:t>（处理效率95%）处理后，经</w:t>
      </w:r>
      <w:r>
        <w:rPr>
          <w:rFonts w:hint="eastAsia"/>
          <w:color w:val="auto"/>
          <w:sz w:val="24"/>
          <w:lang w:val="en-US" w:eastAsia="zh-CN"/>
        </w:rPr>
        <w:t>15</w:t>
      </w:r>
      <w:r>
        <w:rPr>
          <w:rFonts w:hint="eastAsia"/>
          <w:color w:val="auto"/>
          <w:sz w:val="24"/>
          <w:lang w:eastAsia="zh-CN"/>
        </w:rPr>
        <w:t>m</w:t>
      </w:r>
      <w:r>
        <w:rPr>
          <w:rFonts w:hint="eastAsia"/>
          <w:color w:val="auto"/>
          <w:sz w:val="24"/>
        </w:rPr>
        <w:t>高排气筒（DA00</w:t>
      </w:r>
      <w:r>
        <w:rPr>
          <w:rFonts w:hint="eastAsia"/>
          <w:color w:val="auto"/>
          <w:sz w:val="24"/>
          <w:lang w:val="en-US" w:eastAsia="zh-CN"/>
        </w:rPr>
        <w:t>1</w:t>
      </w:r>
      <w:r>
        <w:rPr>
          <w:rFonts w:hint="eastAsia"/>
          <w:color w:val="auto"/>
          <w:sz w:val="24"/>
        </w:rPr>
        <w:t>）排放。</w:t>
      </w:r>
      <w:r>
        <w:rPr>
          <w:color w:val="auto"/>
          <w:sz w:val="24"/>
        </w:rPr>
        <w:t>风机风量为</w:t>
      </w:r>
      <w:r>
        <w:rPr>
          <w:rFonts w:hint="eastAsia"/>
          <w:color w:val="auto"/>
          <w:sz w:val="24"/>
        </w:rPr>
        <w:t>40000</w:t>
      </w:r>
      <w:r>
        <w:rPr>
          <w:color w:val="auto"/>
          <w:sz w:val="24"/>
        </w:rPr>
        <w:t>m</w:t>
      </w:r>
      <w:r>
        <w:rPr>
          <w:color w:val="auto"/>
          <w:sz w:val="24"/>
          <w:vertAlign w:val="superscript"/>
        </w:rPr>
        <w:t>3</w:t>
      </w:r>
      <w:r>
        <w:rPr>
          <w:color w:val="auto"/>
          <w:sz w:val="24"/>
        </w:rPr>
        <w:t>/h，有组织沥青烟</w:t>
      </w:r>
      <w:r>
        <w:rPr>
          <w:rFonts w:hint="eastAsia"/>
          <w:color w:val="auto"/>
          <w:sz w:val="24"/>
        </w:rPr>
        <w:t>排放</w:t>
      </w:r>
      <w:r>
        <w:rPr>
          <w:color w:val="auto"/>
          <w:sz w:val="24"/>
        </w:rPr>
        <w:t>速率为</w:t>
      </w:r>
      <w:r>
        <w:rPr>
          <w:rFonts w:hint="eastAsia"/>
          <w:color w:val="auto"/>
          <w:sz w:val="24"/>
        </w:rPr>
        <w:t>0.0</w:t>
      </w:r>
      <w:r>
        <w:rPr>
          <w:rFonts w:hint="eastAsia"/>
          <w:color w:val="auto"/>
          <w:sz w:val="24"/>
          <w:lang w:val="en-US" w:eastAsia="zh-CN"/>
        </w:rPr>
        <w:t>18</w:t>
      </w:r>
      <w:r>
        <w:rPr>
          <w:color w:val="auto"/>
          <w:sz w:val="24"/>
        </w:rPr>
        <w:t>kg/h，</w:t>
      </w:r>
      <w:r>
        <w:rPr>
          <w:rFonts w:hint="eastAsia"/>
          <w:color w:val="auto"/>
          <w:sz w:val="24"/>
        </w:rPr>
        <w:t>排放</w:t>
      </w:r>
      <w:r>
        <w:rPr>
          <w:color w:val="auto"/>
          <w:sz w:val="24"/>
        </w:rPr>
        <w:t>浓度为</w:t>
      </w:r>
      <w:r>
        <w:rPr>
          <w:rFonts w:hint="eastAsia"/>
          <w:color w:val="auto"/>
          <w:sz w:val="24"/>
          <w:lang w:val="en-US" w:eastAsia="zh-CN"/>
        </w:rPr>
        <w:t>0.45</w:t>
      </w:r>
      <w:r>
        <w:rPr>
          <w:color w:val="auto"/>
          <w:sz w:val="24"/>
        </w:rPr>
        <w:t>mg/m</w:t>
      </w:r>
      <w:r>
        <w:rPr>
          <w:color w:val="auto"/>
          <w:sz w:val="24"/>
          <w:vertAlign w:val="superscript"/>
        </w:rPr>
        <w:t>3</w:t>
      </w:r>
      <w:r>
        <w:rPr>
          <w:rFonts w:hint="eastAsia"/>
          <w:color w:val="auto"/>
          <w:sz w:val="24"/>
        </w:rPr>
        <w:t>，</w:t>
      </w:r>
      <w:r>
        <w:rPr>
          <w:rFonts w:hint="eastAsia" w:ascii="宋体" w:hAnsi="宋体" w:cs="宋体"/>
          <w:color w:val="auto"/>
          <w:sz w:val="24"/>
        </w:rPr>
        <w:t>苯并</w:t>
      </w:r>
      <w:r>
        <w:rPr>
          <w:color w:val="auto"/>
          <w:sz w:val="24"/>
        </w:rPr>
        <w:t>[a]</w:t>
      </w:r>
      <w:r>
        <w:rPr>
          <w:rFonts w:hint="eastAsia" w:ascii="宋体" w:hAnsi="宋体" w:cs="宋体"/>
          <w:color w:val="auto"/>
          <w:sz w:val="24"/>
        </w:rPr>
        <w:t>芘排放速率为</w:t>
      </w:r>
      <w:r>
        <w:rPr>
          <w:rFonts w:hint="eastAsia"/>
          <w:color w:val="auto"/>
          <w:sz w:val="24"/>
          <w:lang w:val="en-US" w:eastAsia="zh-CN"/>
        </w:rPr>
        <w:t>3.75</w:t>
      </w:r>
      <w:r>
        <w:rPr>
          <w:rFonts w:hint="eastAsia" w:ascii="宋体" w:hAnsi="宋体" w:cs="宋体"/>
          <w:color w:val="auto"/>
          <w:sz w:val="24"/>
        </w:rPr>
        <w:t>×</w:t>
      </w:r>
      <w:r>
        <w:rPr>
          <w:color w:val="auto"/>
          <w:sz w:val="24"/>
        </w:rPr>
        <w:t>10</w:t>
      </w:r>
      <w:r>
        <w:rPr>
          <w:color w:val="auto"/>
          <w:sz w:val="24"/>
          <w:vertAlign w:val="superscript"/>
        </w:rPr>
        <w:t>-</w:t>
      </w:r>
      <w:r>
        <w:rPr>
          <w:rFonts w:hint="eastAsia"/>
          <w:color w:val="auto"/>
          <w:sz w:val="24"/>
          <w:vertAlign w:val="superscript"/>
          <w:lang w:val="en-US" w:eastAsia="zh-CN"/>
        </w:rPr>
        <w:t>7</w:t>
      </w:r>
      <w:r>
        <w:rPr>
          <w:color w:val="auto"/>
          <w:sz w:val="24"/>
        </w:rPr>
        <w:t>kg/h</w:t>
      </w:r>
      <w:r>
        <w:rPr>
          <w:rFonts w:hint="eastAsia" w:ascii="宋体" w:hAnsi="宋体" w:cs="宋体"/>
          <w:color w:val="auto"/>
          <w:sz w:val="24"/>
        </w:rPr>
        <w:t>，排放浓度为</w:t>
      </w:r>
      <w:r>
        <w:rPr>
          <w:rFonts w:hint="eastAsia"/>
          <w:color w:val="auto"/>
          <w:sz w:val="24"/>
        </w:rPr>
        <w:t>0.000</w:t>
      </w:r>
      <w:r>
        <w:rPr>
          <w:rFonts w:hint="eastAsia"/>
          <w:color w:val="auto"/>
          <w:sz w:val="24"/>
          <w:lang w:val="en-US" w:eastAsia="zh-CN"/>
        </w:rPr>
        <w:t>01</w:t>
      </w:r>
      <w:r>
        <w:rPr>
          <w:color w:val="auto"/>
          <w:sz w:val="24"/>
        </w:rPr>
        <w:t>mg/m</w:t>
      </w:r>
      <w:r>
        <w:rPr>
          <w:color w:val="auto"/>
          <w:sz w:val="24"/>
          <w:vertAlign w:val="superscript"/>
        </w:rPr>
        <w:t>3</w:t>
      </w:r>
      <w:r>
        <w:rPr>
          <w:color w:val="auto"/>
          <w:sz w:val="24"/>
        </w:rPr>
        <w:t>；非甲烷总烃</w:t>
      </w:r>
      <w:r>
        <w:rPr>
          <w:rFonts w:hint="eastAsia" w:ascii="宋体" w:hAnsi="宋体" w:cs="宋体"/>
          <w:color w:val="auto"/>
          <w:sz w:val="24"/>
        </w:rPr>
        <w:t>排放速率为</w:t>
      </w:r>
      <w:r>
        <w:rPr>
          <w:rFonts w:hint="eastAsia"/>
          <w:color w:val="auto"/>
          <w:sz w:val="24"/>
        </w:rPr>
        <w:t>0.00</w:t>
      </w:r>
      <w:r>
        <w:rPr>
          <w:rFonts w:hint="eastAsia"/>
          <w:color w:val="auto"/>
          <w:sz w:val="24"/>
          <w:lang w:val="en-US" w:eastAsia="zh-CN"/>
        </w:rPr>
        <w:t>1</w:t>
      </w:r>
      <w:r>
        <w:rPr>
          <w:color w:val="auto"/>
          <w:sz w:val="24"/>
        </w:rPr>
        <w:t>kg/h</w:t>
      </w:r>
      <w:r>
        <w:rPr>
          <w:rFonts w:hint="eastAsia" w:ascii="宋体" w:hAnsi="宋体" w:cs="宋体"/>
          <w:color w:val="auto"/>
          <w:sz w:val="24"/>
        </w:rPr>
        <w:t>，排放浓度为</w:t>
      </w:r>
      <w:r>
        <w:rPr>
          <w:rFonts w:hint="eastAsia"/>
          <w:color w:val="auto"/>
          <w:sz w:val="24"/>
        </w:rPr>
        <w:t>0.0</w:t>
      </w:r>
      <w:r>
        <w:rPr>
          <w:rFonts w:hint="eastAsia"/>
          <w:color w:val="auto"/>
          <w:sz w:val="24"/>
          <w:lang w:val="en-US" w:eastAsia="zh-CN"/>
        </w:rPr>
        <w:t>25</w:t>
      </w:r>
      <w:r>
        <w:rPr>
          <w:color w:val="auto"/>
          <w:sz w:val="24"/>
        </w:rPr>
        <w:t>mg/m</w:t>
      </w:r>
      <w:r>
        <w:rPr>
          <w:color w:val="auto"/>
          <w:sz w:val="24"/>
          <w:vertAlign w:val="superscript"/>
        </w:rPr>
        <w:t>3</w:t>
      </w:r>
      <w:r>
        <w:rPr>
          <w:rFonts w:hint="eastAsia"/>
          <w:color w:val="auto"/>
          <w:sz w:val="24"/>
          <w:lang w:val="en-US" w:eastAsia="zh-CN"/>
        </w:rPr>
        <w:t>,</w:t>
      </w:r>
      <w:r>
        <w:rPr>
          <w:color w:val="auto"/>
          <w:sz w:val="24"/>
        </w:rPr>
        <w:t>满足《大气污染物综合排放标准》（GB16297-1996）表2中排放标准限值。</w:t>
      </w:r>
    </w:p>
    <w:p>
      <w:pPr>
        <w:pStyle w:val="117"/>
        <w:bidi w:val="0"/>
        <w:rPr>
          <w:rFonts w:hint="eastAsia"/>
          <w:color w:val="auto"/>
          <w:lang w:val="en-US" w:eastAsia="zh-CN"/>
        </w:rPr>
      </w:pPr>
      <w:r>
        <w:rPr>
          <w:rFonts w:hint="eastAsia"/>
          <w:color w:val="auto"/>
          <w:lang w:val="en-US" w:eastAsia="zh-CN"/>
        </w:rPr>
        <w:t>3、</w:t>
      </w:r>
      <w:r>
        <w:rPr>
          <w:rFonts w:hint="eastAsia"/>
          <w:color w:val="auto"/>
          <w:sz w:val="24"/>
        </w:rPr>
        <w:t>碎石筛分、烘干废气、热料仓落料废气、矿粉筒仓装卸废气、冷料仓上料废气、燃烧器烟气</w:t>
      </w:r>
    </w:p>
    <w:p>
      <w:pPr>
        <w:pStyle w:val="117"/>
        <w:bidi w:val="0"/>
        <w:rPr>
          <w:rFonts w:hint="eastAsia" w:eastAsia="宋体"/>
          <w:color w:val="auto"/>
          <w:highlight w:val="yellow"/>
          <w:lang w:val="en-US" w:eastAsia="zh-CN"/>
        </w:rPr>
      </w:pPr>
      <w:r>
        <w:rPr>
          <w:rFonts w:hint="eastAsia"/>
          <w:color w:val="auto"/>
          <w:sz w:val="24"/>
        </w:rPr>
        <w:t>本项目碎石筛分、烘干废气、热料仓落料废气、矿粉筒仓装卸废气、冷料仓上料废气、燃烧器烟气经除尘系统（</w:t>
      </w:r>
      <w:r>
        <w:rPr>
          <w:rFonts w:hint="eastAsia"/>
          <w:color w:val="auto"/>
          <w:sz w:val="24"/>
          <w:lang w:val="en-US" w:eastAsia="zh-CN"/>
        </w:rPr>
        <w:t>重力</w:t>
      </w:r>
      <w:r>
        <w:rPr>
          <w:rFonts w:hint="eastAsia"/>
          <w:color w:val="auto"/>
          <w:sz w:val="24"/>
          <w:lang w:eastAsia="zh-CN"/>
        </w:rPr>
        <w:t>+布袋</w:t>
      </w:r>
      <w:r>
        <w:rPr>
          <w:rFonts w:hint="eastAsia"/>
          <w:color w:val="auto"/>
          <w:sz w:val="24"/>
        </w:rPr>
        <w:t>）处理后，由</w:t>
      </w:r>
      <w:r>
        <w:rPr>
          <w:rFonts w:hint="eastAsia"/>
          <w:color w:val="auto"/>
          <w:sz w:val="24"/>
          <w:lang w:val="en-US" w:eastAsia="zh-CN"/>
        </w:rPr>
        <w:t>15</w:t>
      </w:r>
      <w:r>
        <w:rPr>
          <w:rFonts w:hint="eastAsia"/>
          <w:color w:val="auto"/>
          <w:sz w:val="24"/>
          <w:lang w:eastAsia="zh-CN"/>
        </w:rPr>
        <w:t>m</w:t>
      </w:r>
      <w:r>
        <w:rPr>
          <w:rFonts w:hint="eastAsia"/>
          <w:color w:val="auto"/>
          <w:sz w:val="24"/>
        </w:rPr>
        <w:t>高除尘系统烟囱（DA001）排放，除尘效率为99%；</w:t>
      </w:r>
      <w:r>
        <w:rPr>
          <w:color w:val="auto"/>
          <w:sz w:val="24"/>
          <w:highlight w:val="none"/>
        </w:rPr>
        <w:t>颗粒物排放浓度</w:t>
      </w:r>
      <w:r>
        <w:rPr>
          <w:rFonts w:hint="eastAsia"/>
          <w:color w:val="auto"/>
          <w:sz w:val="24"/>
          <w:highlight w:val="none"/>
          <w:lang w:val="en-US" w:eastAsia="zh-CN"/>
        </w:rPr>
        <w:t>18.4</w:t>
      </w:r>
      <w:r>
        <w:rPr>
          <w:color w:val="auto"/>
          <w:sz w:val="24"/>
          <w:highlight w:val="none"/>
        </w:rPr>
        <w:t>mg/m</w:t>
      </w:r>
      <w:r>
        <w:rPr>
          <w:color w:val="auto"/>
          <w:sz w:val="24"/>
          <w:highlight w:val="none"/>
          <w:vertAlign w:val="superscript"/>
        </w:rPr>
        <w:t>3</w:t>
      </w:r>
      <w:r>
        <w:rPr>
          <w:color w:val="auto"/>
          <w:sz w:val="24"/>
          <w:highlight w:val="none"/>
        </w:rPr>
        <w:t>，排放</w:t>
      </w:r>
      <w:r>
        <w:rPr>
          <w:rFonts w:hint="eastAsia"/>
          <w:color w:val="auto"/>
          <w:sz w:val="24"/>
          <w:highlight w:val="none"/>
        </w:rPr>
        <w:t>速率</w:t>
      </w:r>
      <w:r>
        <w:rPr>
          <w:color w:val="auto"/>
          <w:sz w:val="24"/>
          <w:highlight w:val="none"/>
        </w:rPr>
        <w:t>为</w:t>
      </w:r>
      <w:r>
        <w:rPr>
          <w:rFonts w:hint="eastAsia"/>
          <w:color w:val="auto"/>
          <w:sz w:val="24"/>
          <w:highlight w:val="none"/>
          <w:lang w:val="en-US" w:eastAsia="zh-CN"/>
        </w:rPr>
        <w:t>0.502</w:t>
      </w:r>
      <w:r>
        <w:rPr>
          <w:rFonts w:hint="eastAsia"/>
          <w:color w:val="auto"/>
          <w:sz w:val="24"/>
          <w:highlight w:val="none"/>
        </w:rPr>
        <w:t>kg</w:t>
      </w:r>
      <w:r>
        <w:rPr>
          <w:color w:val="auto"/>
          <w:sz w:val="24"/>
          <w:highlight w:val="none"/>
        </w:rPr>
        <w:t>/</w:t>
      </w:r>
      <w:r>
        <w:rPr>
          <w:rFonts w:hint="eastAsia"/>
          <w:color w:val="auto"/>
          <w:sz w:val="24"/>
          <w:highlight w:val="none"/>
        </w:rPr>
        <w:t>h</w:t>
      </w:r>
      <w:r>
        <w:rPr>
          <w:color w:val="auto"/>
          <w:sz w:val="24"/>
          <w:highlight w:val="none"/>
        </w:rPr>
        <w:t>；SO</w:t>
      </w:r>
      <w:r>
        <w:rPr>
          <w:color w:val="auto"/>
          <w:sz w:val="24"/>
          <w:highlight w:val="none"/>
          <w:vertAlign w:val="subscript"/>
        </w:rPr>
        <w:t>2</w:t>
      </w:r>
      <w:r>
        <w:rPr>
          <w:color w:val="auto"/>
          <w:sz w:val="24"/>
          <w:highlight w:val="none"/>
        </w:rPr>
        <w:t>排放浓度</w:t>
      </w:r>
      <w:r>
        <w:rPr>
          <w:rFonts w:hint="eastAsia"/>
          <w:color w:val="auto"/>
          <w:sz w:val="24"/>
          <w:highlight w:val="none"/>
        </w:rPr>
        <w:t>0.</w:t>
      </w:r>
      <w:r>
        <w:rPr>
          <w:rFonts w:hint="eastAsia"/>
          <w:color w:val="auto"/>
          <w:sz w:val="24"/>
          <w:highlight w:val="none"/>
          <w:lang w:val="en-US" w:eastAsia="zh-CN"/>
        </w:rPr>
        <w:t>44</w:t>
      </w:r>
      <w:r>
        <w:rPr>
          <w:color w:val="auto"/>
          <w:sz w:val="24"/>
          <w:highlight w:val="none"/>
        </w:rPr>
        <w:t>mg/m</w:t>
      </w:r>
      <w:r>
        <w:rPr>
          <w:color w:val="auto"/>
          <w:sz w:val="24"/>
          <w:highlight w:val="none"/>
          <w:vertAlign w:val="superscript"/>
        </w:rPr>
        <w:t>3</w:t>
      </w:r>
      <w:r>
        <w:rPr>
          <w:color w:val="auto"/>
          <w:sz w:val="24"/>
          <w:highlight w:val="none"/>
        </w:rPr>
        <w:t>，排放</w:t>
      </w:r>
      <w:r>
        <w:rPr>
          <w:rFonts w:hint="eastAsia"/>
          <w:color w:val="auto"/>
          <w:sz w:val="24"/>
          <w:highlight w:val="none"/>
        </w:rPr>
        <w:t>速率</w:t>
      </w:r>
      <w:r>
        <w:rPr>
          <w:color w:val="auto"/>
          <w:sz w:val="24"/>
          <w:highlight w:val="none"/>
        </w:rPr>
        <w:t>为</w:t>
      </w:r>
      <w:r>
        <w:rPr>
          <w:rFonts w:hint="eastAsia"/>
          <w:color w:val="auto"/>
          <w:sz w:val="24"/>
          <w:highlight w:val="none"/>
        </w:rPr>
        <w:t>0.0</w:t>
      </w:r>
      <w:r>
        <w:rPr>
          <w:rFonts w:hint="eastAsia"/>
          <w:color w:val="auto"/>
          <w:sz w:val="24"/>
          <w:highlight w:val="none"/>
          <w:lang w:val="en-US" w:eastAsia="zh-CN"/>
        </w:rPr>
        <w:t>12</w:t>
      </w:r>
      <w:r>
        <w:rPr>
          <w:rFonts w:hint="eastAsia"/>
          <w:color w:val="auto"/>
          <w:sz w:val="24"/>
          <w:highlight w:val="none"/>
        </w:rPr>
        <w:t>kg</w:t>
      </w:r>
      <w:r>
        <w:rPr>
          <w:color w:val="auto"/>
          <w:sz w:val="24"/>
          <w:highlight w:val="none"/>
        </w:rPr>
        <w:t>/</w:t>
      </w:r>
      <w:r>
        <w:rPr>
          <w:rFonts w:hint="eastAsia"/>
          <w:color w:val="auto"/>
          <w:sz w:val="24"/>
          <w:highlight w:val="none"/>
        </w:rPr>
        <w:t>h</w:t>
      </w:r>
      <w:r>
        <w:rPr>
          <w:color w:val="auto"/>
          <w:sz w:val="24"/>
          <w:highlight w:val="none"/>
        </w:rPr>
        <w:t>；NO</w:t>
      </w:r>
      <w:r>
        <w:rPr>
          <w:color w:val="auto"/>
          <w:sz w:val="24"/>
          <w:highlight w:val="none"/>
          <w:vertAlign w:val="subscript"/>
        </w:rPr>
        <w:t>X</w:t>
      </w:r>
      <w:r>
        <w:rPr>
          <w:color w:val="auto"/>
          <w:sz w:val="24"/>
          <w:highlight w:val="none"/>
        </w:rPr>
        <w:t>排放浓度</w:t>
      </w:r>
      <w:r>
        <w:rPr>
          <w:rFonts w:hint="eastAsia"/>
          <w:color w:val="auto"/>
          <w:sz w:val="24"/>
          <w:highlight w:val="none"/>
          <w:lang w:val="en-US" w:eastAsia="zh-CN"/>
        </w:rPr>
        <w:t>13.9</w:t>
      </w:r>
      <w:r>
        <w:rPr>
          <w:color w:val="auto"/>
          <w:sz w:val="24"/>
          <w:highlight w:val="none"/>
        </w:rPr>
        <w:t>mg/m</w:t>
      </w:r>
      <w:r>
        <w:rPr>
          <w:color w:val="auto"/>
          <w:sz w:val="24"/>
          <w:highlight w:val="none"/>
          <w:vertAlign w:val="superscript"/>
        </w:rPr>
        <w:t>3</w:t>
      </w:r>
      <w:r>
        <w:rPr>
          <w:color w:val="auto"/>
          <w:sz w:val="24"/>
          <w:highlight w:val="none"/>
        </w:rPr>
        <w:t>，</w:t>
      </w:r>
      <w:r>
        <w:rPr>
          <w:color w:val="auto"/>
          <w:sz w:val="24"/>
          <w:szCs w:val="24"/>
          <w:highlight w:val="none"/>
        </w:rPr>
        <w:t>排放</w:t>
      </w:r>
      <w:r>
        <w:rPr>
          <w:rFonts w:hint="eastAsia"/>
          <w:color w:val="auto"/>
          <w:sz w:val="24"/>
          <w:szCs w:val="24"/>
          <w:highlight w:val="none"/>
        </w:rPr>
        <w:t>速率</w:t>
      </w:r>
      <w:r>
        <w:rPr>
          <w:color w:val="auto"/>
          <w:sz w:val="24"/>
          <w:szCs w:val="24"/>
          <w:highlight w:val="none"/>
        </w:rPr>
        <w:t>为</w:t>
      </w:r>
      <w:r>
        <w:rPr>
          <w:rFonts w:hint="eastAsia"/>
          <w:color w:val="auto"/>
          <w:sz w:val="24"/>
          <w:szCs w:val="24"/>
          <w:highlight w:val="none"/>
        </w:rPr>
        <w:t>0.379kg</w:t>
      </w:r>
      <w:r>
        <w:rPr>
          <w:color w:val="auto"/>
          <w:sz w:val="24"/>
          <w:szCs w:val="24"/>
          <w:highlight w:val="none"/>
        </w:rPr>
        <w:t>/</w:t>
      </w:r>
      <w:r>
        <w:rPr>
          <w:rFonts w:hint="eastAsia"/>
          <w:color w:val="auto"/>
          <w:sz w:val="24"/>
          <w:szCs w:val="24"/>
          <w:highlight w:val="none"/>
        </w:rPr>
        <w:t>h</w:t>
      </w:r>
      <w:r>
        <w:rPr>
          <w:color w:val="auto"/>
          <w:sz w:val="24"/>
        </w:rPr>
        <w:t>；满足《大气污染物综合排放标准》（GB16297-1996）表2中排放标准限值。</w:t>
      </w:r>
    </w:p>
    <w:p>
      <w:pPr>
        <w:pStyle w:val="117"/>
        <w:bidi w:val="0"/>
        <w:rPr>
          <w:rFonts w:hint="eastAsia"/>
          <w:color w:val="auto"/>
          <w:lang w:val="en-US" w:eastAsia="zh-CN"/>
        </w:rPr>
      </w:pPr>
      <w:r>
        <w:rPr>
          <w:rFonts w:hint="eastAsia"/>
          <w:color w:val="auto"/>
          <w:lang w:val="en-US" w:eastAsia="zh-CN"/>
        </w:rPr>
        <w:t>4、导热油炉废气</w:t>
      </w:r>
    </w:p>
    <w:p>
      <w:pPr>
        <w:pStyle w:val="117"/>
        <w:bidi w:val="0"/>
        <w:rPr>
          <w:rFonts w:hint="default"/>
          <w:color w:val="auto"/>
          <w:lang w:val="en-US" w:eastAsia="zh-CN"/>
        </w:rPr>
      </w:pPr>
      <w:r>
        <w:rPr>
          <w:color w:val="auto"/>
          <w:sz w:val="24"/>
        </w:rPr>
        <w:t>本项目加热沥青热源由</w:t>
      </w:r>
      <w:r>
        <w:rPr>
          <w:rFonts w:hint="eastAsia"/>
          <w:color w:val="auto"/>
          <w:sz w:val="24"/>
        </w:rPr>
        <w:t>1台导热油炉</w:t>
      </w:r>
      <w:r>
        <w:rPr>
          <w:color w:val="auto"/>
          <w:sz w:val="24"/>
        </w:rPr>
        <w:t>提供，</w:t>
      </w:r>
      <w:r>
        <w:rPr>
          <w:rFonts w:hint="eastAsia"/>
          <w:color w:val="auto"/>
          <w:sz w:val="24"/>
        </w:rPr>
        <w:t>导热油炉</w:t>
      </w:r>
      <w:r>
        <w:rPr>
          <w:rFonts w:hint="eastAsia" w:eastAsiaTheme="minorEastAsia"/>
          <w:bCs/>
          <w:color w:val="auto"/>
          <w:sz w:val="24"/>
          <w:szCs w:val="24"/>
          <w:lang w:val="en-US" w:eastAsia="zh-CN"/>
        </w:rPr>
        <w:t>燃料</w:t>
      </w:r>
      <w:r>
        <w:rPr>
          <w:rFonts w:hint="eastAsia"/>
          <w:snapToGrid w:val="0"/>
          <w:color w:val="auto"/>
          <w:spacing w:val="0"/>
          <w:kern w:val="0"/>
          <w:sz w:val="24"/>
          <w:szCs w:val="24"/>
          <w:lang w:val="en-US" w:eastAsia="zh-CN"/>
        </w:rPr>
        <w:t>为低硫油、设置低氮燃烧器和布袋除尘器</w:t>
      </w:r>
      <w:r>
        <w:rPr>
          <w:rFonts w:hint="eastAsia"/>
          <w:snapToGrid w:val="0"/>
          <w:color w:val="auto"/>
          <w:spacing w:val="0"/>
          <w:kern w:val="0"/>
          <w:sz w:val="21"/>
          <w:szCs w:val="21"/>
          <w:lang w:val="en-US" w:eastAsia="zh-CN"/>
        </w:rPr>
        <w:t>，</w:t>
      </w:r>
      <w:r>
        <w:rPr>
          <w:rFonts w:hint="eastAsia"/>
          <w:color w:val="auto"/>
          <w:sz w:val="24"/>
        </w:rPr>
        <w:t>烟气由1根</w:t>
      </w:r>
      <w:r>
        <w:rPr>
          <w:rFonts w:hint="eastAsia"/>
          <w:color w:val="auto"/>
          <w:sz w:val="24"/>
          <w:lang w:val="en-US" w:eastAsia="zh-CN"/>
        </w:rPr>
        <w:t>15</w:t>
      </w:r>
      <w:r>
        <w:rPr>
          <w:rFonts w:hint="eastAsia"/>
          <w:color w:val="auto"/>
          <w:sz w:val="24"/>
          <w:lang w:eastAsia="zh-CN"/>
        </w:rPr>
        <w:t>m</w:t>
      </w:r>
      <w:r>
        <w:rPr>
          <w:rFonts w:hint="eastAsia"/>
          <w:color w:val="auto"/>
          <w:sz w:val="24"/>
        </w:rPr>
        <w:t>高排气筒（DA002）排放</w:t>
      </w:r>
      <w:r>
        <w:rPr>
          <w:color w:val="auto"/>
          <w:sz w:val="24"/>
        </w:rPr>
        <w:t>。颗粒物排放浓度</w:t>
      </w:r>
      <w:r>
        <w:rPr>
          <w:rFonts w:hint="eastAsia"/>
          <w:color w:val="auto"/>
          <w:sz w:val="24"/>
          <w:lang w:val="en-US" w:eastAsia="zh-CN"/>
        </w:rPr>
        <w:t>0.02</w:t>
      </w:r>
      <w:r>
        <w:rPr>
          <w:color w:val="auto"/>
          <w:sz w:val="24"/>
        </w:rPr>
        <w:t>mg/m</w:t>
      </w:r>
      <w:r>
        <w:rPr>
          <w:color w:val="auto"/>
          <w:sz w:val="24"/>
          <w:vertAlign w:val="superscript"/>
        </w:rPr>
        <w:t>3</w:t>
      </w:r>
      <w:r>
        <w:rPr>
          <w:color w:val="auto"/>
          <w:sz w:val="24"/>
        </w:rPr>
        <w:t>，SO</w:t>
      </w:r>
      <w:r>
        <w:rPr>
          <w:color w:val="auto"/>
          <w:sz w:val="24"/>
          <w:vertAlign w:val="subscript"/>
        </w:rPr>
        <w:t>2</w:t>
      </w:r>
      <w:r>
        <w:rPr>
          <w:color w:val="auto"/>
          <w:sz w:val="24"/>
        </w:rPr>
        <w:t>排放浓度</w:t>
      </w:r>
      <w:r>
        <w:rPr>
          <w:rFonts w:hint="eastAsia"/>
          <w:color w:val="auto"/>
          <w:sz w:val="24"/>
          <w:lang w:val="en-US" w:eastAsia="zh-CN"/>
        </w:rPr>
        <w:t>52.1</w:t>
      </w:r>
      <w:r>
        <w:rPr>
          <w:color w:val="auto"/>
          <w:sz w:val="24"/>
        </w:rPr>
        <w:t>mg/m</w:t>
      </w:r>
      <w:r>
        <w:rPr>
          <w:color w:val="auto"/>
          <w:sz w:val="24"/>
          <w:vertAlign w:val="superscript"/>
        </w:rPr>
        <w:t>3</w:t>
      </w:r>
      <w:r>
        <w:rPr>
          <w:color w:val="auto"/>
          <w:sz w:val="24"/>
        </w:rPr>
        <w:t>，NO</w:t>
      </w:r>
      <w:r>
        <w:rPr>
          <w:color w:val="auto"/>
          <w:sz w:val="24"/>
          <w:vertAlign w:val="subscript"/>
        </w:rPr>
        <w:t>X</w:t>
      </w:r>
      <w:r>
        <w:rPr>
          <w:color w:val="auto"/>
          <w:sz w:val="24"/>
        </w:rPr>
        <w:t>排放浓度</w:t>
      </w:r>
      <w:r>
        <w:rPr>
          <w:rFonts w:hint="eastAsia"/>
          <w:color w:val="auto"/>
          <w:sz w:val="24"/>
          <w:lang w:val="en-US" w:eastAsia="zh-CN"/>
        </w:rPr>
        <w:t>70</w:t>
      </w:r>
      <w:r>
        <w:rPr>
          <w:color w:val="auto"/>
          <w:sz w:val="24"/>
        </w:rPr>
        <w:t>mg/m</w:t>
      </w:r>
      <w:r>
        <w:rPr>
          <w:color w:val="auto"/>
          <w:sz w:val="24"/>
          <w:vertAlign w:val="superscript"/>
        </w:rPr>
        <w:t>3</w:t>
      </w:r>
      <w:r>
        <w:rPr>
          <w:color w:val="auto"/>
          <w:sz w:val="24"/>
        </w:rPr>
        <w:t>，</w:t>
      </w:r>
      <w:r>
        <w:rPr>
          <w:rFonts w:hint="eastAsia"/>
          <w:color w:val="auto"/>
          <w:sz w:val="24"/>
        </w:rPr>
        <w:t>烟气黑度＜1；</w:t>
      </w:r>
      <w:r>
        <w:rPr>
          <w:color w:val="auto"/>
          <w:sz w:val="24"/>
        </w:rPr>
        <w:t>颗粒物、二氧化硫、氮氧化物及烟气黑度均满足《锅炉大气污染物排放标准》（GB13271-2014）表</w:t>
      </w:r>
      <w:r>
        <w:rPr>
          <w:rFonts w:hint="eastAsia"/>
          <w:color w:val="auto"/>
          <w:sz w:val="24"/>
        </w:rPr>
        <w:t>2</w:t>
      </w:r>
      <w:r>
        <w:rPr>
          <w:color w:val="auto"/>
          <w:sz w:val="24"/>
        </w:rPr>
        <w:t>燃</w:t>
      </w:r>
      <w:r>
        <w:rPr>
          <w:rFonts w:hint="eastAsia"/>
          <w:color w:val="auto"/>
          <w:sz w:val="24"/>
          <w:lang w:val="en-US" w:eastAsia="zh-CN"/>
        </w:rPr>
        <w:t>油</w:t>
      </w:r>
      <w:r>
        <w:rPr>
          <w:color w:val="auto"/>
          <w:sz w:val="24"/>
        </w:rPr>
        <w:t>锅炉大气污染物排放限值标准。</w:t>
      </w:r>
    </w:p>
    <w:p>
      <w:pPr>
        <w:pStyle w:val="4"/>
        <w:numPr>
          <w:ilvl w:val="1"/>
          <w:numId w:val="0"/>
        </w:numPr>
        <w:adjustRightInd w:val="0"/>
        <w:snapToGrid w:val="0"/>
        <w:spacing w:before="0" w:beforeLines="0" w:after="0" w:afterLines="0" w:line="500" w:lineRule="exact"/>
        <w:rPr>
          <w:rFonts w:ascii="Times New Roman" w:hAnsi="Times New Roman" w:eastAsia="宋体" w:cs="Times New Roman"/>
          <w:b w:val="0"/>
          <w:bCs/>
          <w:color w:val="auto"/>
          <w:sz w:val="24"/>
          <w:szCs w:val="24"/>
          <w:highlight w:val="none"/>
        </w:rPr>
      </w:pPr>
      <w:bookmarkStart w:id="324" w:name="_Toc28269"/>
      <w:bookmarkStart w:id="325" w:name="_Toc6155"/>
      <w:bookmarkStart w:id="326" w:name="_Toc3423"/>
      <w:bookmarkStart w:id="327" w:name="_Toc1543"/>
      <w:bookmarkStart w:id="328" w:name="_Toc4464"/>
      <w:r>
        <w:rPr>
          <w:rFonts w:ascii="Times New Roman" w:hAnsi="Times New Roman" w:eastAsia="宋体" w:cs="Times New Roman"/>
          <w:b w:val="0"/>
          <w:bCs/>
          <w:color w:val="auto"/>
          <w:sz w:val="24"/>
          <w:szCs w:val="24"/>
          <w:highlight w:val="none"/>
        </w:rPr>
        <w:t>8.2建议</w:t>
      </w:r>
      <w:bookmarkEnd w:id="324"/>
      <w:bookmarkEnd w:id="325"/>
      <w:bookmarkEnd w:id="326"/>
      <w:bookmarkEnd w:id="327"/>
      <w:bookmarkEnd w:id="328"/>
    </w:p>
    <w:p>
      <w:pPr>
        <w:pStyle w:val="117"/>
        <w:bidi w:val="0"/>
        <w:rPr>
          <w:color w:val="auto"/>
          <w:highlight w:val="none"/>
        </w:rPr>
      </w:pPr>
      <w:r>
        <w:rPr>
          <w:color w:val="auto"/>
          <w:highlight w:val="none"/>
        </w:rPr>
        <w:t>（1）定期对各类环保设备进行维修，确保其正常有效运转。</w:t>
      </w:r>
    </w:p>
    <w:p>
      <w:pPr>
        <w:pStyle w:val="117"/>
        <w:bidi w:val="0"/>
        <w:rPr>
          <w:color w:val="auto"/>
          <w:highlight w:val="none"/>
        </w:rPr>
      </w:pPr>
      <w:r>
        <w:rPr>
          <w:color w:val="auto"/>
          <w:highlight w:val="none"/>
        </w:rPr>
        <w:t>（2）严格执行建设项目“三同时”制度，落实环保防治措施，确保环保资金及时到位。</w:t>
      </w:r>
    </w:p>
    <w:p>
      <w:pPr>
        <w:pStyle w:val="117"/>
        <w:bidi w:val="0"/>
        <w:rPr>
          <w:color w:val="auto"/>
          <w:highlight w:val="none"/>
        </w:rPr>
      </w:pPr>
      <w:r>
        <w:rPr>
          <w:color w:val="auto"/>
          <w:highlight w:val="none"/>
        </w:rPr>
        <w:t>（3）认真执行国家及黑龙江有关项目建设的环保法律、法规，落实专人负责环保工作。</w:t>
      </w:r>
    </w:p>
    <w:p>
      <w:pPr>
        <w:pStyle w:val="117"/>
        <w:bidi w:val="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numPr>
          <w:ilvl w:val="1"/>
          <w:numId w:val="0"/>
        </w:numPr>
        <w:adjustRightInd w:val="0"/>
        <w:snapToGrid w:val="0"/>
        <w:spacing w:before="0" w:beforeLines="0" w:after="0" w:afterLines="0" w:line="240" w:lineRule="auto"/>
        <w:ind w:leftChars="-200"/>
        <w:rPr>
          <w:rFonts w:eastAsia="宋体"/>
          <w:b w:val="0"/>
          <w:bCs/>
          <w:color w:val="auto"/>
          <w:sz w:val="24"/>
          <w:szCs w:val="24"/>
          <w:highlight w:val="none"/>
        </w:rPr>
      </w:pPr>
      <w:bookmarkStart w:id="329" w:name="_Toc12658"/>
      <w:bookmarkStart w:id="330" w:name="_Toc952"/>
      <w:bookmarkStart w:id="331" w:name="_Toc10941"/>
      <w:bookmarkStart w:id="332" w:name="_Toc13516"/>
      <w:bookmarkStart w:id="333" w:name="_Toc14049"/>
      <w:r>
        <w:rPr>
          <w:rFonts w:eastAsia="宋体"/>
          <w:b w:val="0"/>
          <w:bCs/>
          <w:color w:val="auto"/>
          <w:sz w:val="24"/>
          <w:szCs w:val="24"/>
          <w:highlight w:val="none"/>
        </w:rPr>
        <w:t>附表1</w:t>
      </w:r>
      <w:bookmarkStart w:id="334" w:name="_Toc82354460"/>
      <w:r>
        <w:rPr>
          <w:rFonts w:eastAsia="宋体"/>
          <w:b w:val="0"/>
          <w:bCs/>
          <w:color w:val="auto"/>
          <w:sz w:val="24"/>
          <w:szCs w:val="24"/>
          <w:highlight w:val="none"/>
        </w:rPr>
        <w:t>建设项目大气环境影响评价自查表</w:t>
      </w:r>
      <w:bookmarkEnd w:id="329"/>
      <w:bookmarkEnd w:id="330"/>
      <w:bookmarkEnd w:id="331"/>
      <w:bookmarkEnd w:id="332"/>
      <w:bookmarkEnd w:id="333"/>
      <w:bookmarkEnd w:id="334"/>
      <w:bookmarkStart w:id="335" w:name="_Hlk1725722"/>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035"/>
        <w:gridCol w:w="1200"/>
        <w:gridCol w:w="705"/>
        <w:gridCol w:w="207"/>
        <w:gridCol w:w="994"/>
        <w:gridCol w:w="228"/>
        <w:gridCol w:w="130"/>
        <w:gridCol w:w="154"/>
        <w:gridCol w:w="901"/>
        <w:gridCol w:w="457"/>
        <w:gridCol w:w="229"/>
        <w:gridCol w:w="424"/>
        <w:gridCol w:w="194"/>
        <w:gridCol w:w="383"/>
        <w:gridCol w:w="211"/>
        <w:gridCol w:w="196"/>
        <w:gridCol w:w="446"/>
        <w:gridCol w:w="288"/>
        <w:gridCol w:w="3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0" w:type="pct"/>
            <w:gridSpan w:val="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工作内容</w:t>
            </w:r>
          </w:p>
        </w:tc>
        <w:tc>
          <w:tcPr>
            <w:tcW w:w="4209" w:type="pct"/>
            <w:gridSpan w:val="1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评价等级与范围</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评价等级</w:t>
            </w:r>
          </w:p>
        </w:tc>
        <w:tc>
          <w:tcPr>
            <w:tcW w:w="1972"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一级□</w:t>
            </w:r>
          </w:p>
        </w:tc>
        <w:tc>
          <w:tcPr>
            <w:tcW w:w="1632" w:type="pct"/>
            <w:gridSpan w:val="8"/>
            <w:vAlign w:val="center"/>
          </w:tcPr>
          <w:p>
            <w:pPr>
              <w:adjustRightInd w:val="0"/>
              <w:snapToGrid w:val="0"/>
              <w:spacing w:line="240" w:lineRule="auto"/>
              <w:ind w:firstLine="0" w:firstLineChars="0"/>
              <w:jc w:val="center"/>
              <w:rPr>
                <w:rFonts w:hint="eastAsia" w:eastAsia="宋体"/>
                <w:snapToGrid w:val="0"/>
                <w:color w:val="auto"/>
                <w:sz w:val="21"/>
                <w:szCs w:val="21"/>
                <w:highlight w:val="none"/>
                <w:lang w:eastAsia="zh-CN"/>
              </w:rPr>
            </w:pPr>
            <w:r>
              <w:rPr>
                <w:snapToGrid w:val="0"/>
                <w:color w:val="auto"/>
                <w:sz w:val="21"/>
                <w:szCs w:val="21"/>
                <w:highlight w:val="none"/>
              </w:rPr>
              <w:t>二级</w:t>
            </w:r>
            <w:r>
              <w:rPr>
                <w:rFonts w:hint="eastAsia"/>
                <w:snapToGrid w:val="0"/>
                <w:color w:val="auto"/>
                <w:sz w:val="21"/>
                <w:szCs w:val="21"/>
                <w:highlight w:val="none"/>
                <w:lang w:eastAsia="zh-CN"/>
              </w:rPr>
              <w:t>☑</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三级</w:t>
            </w:r>
            <w:r>
              <w:rPr>
                <w:snapToGrid w:val="0"/>
                <w:color w:val="auto"/>
                <w:sz w:val="21"/>
                <w:szCs w:val="21"/>
                <w:highlight w:val="none"/>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评价范围</w:t>
            </w:r>
          </w:p>
        </w:tc>
        <w:tc>
          <w:tcPr>
            <w:tcW w:w="1972"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边长=50km□</w:t>
            </w:r>
          </w:p>
        </w:tc>
        <w:tc>
          <w:tcPr>
            <w:tcW w:w="1632" w:type="pct"/>
            <w:gridSpan w:val="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边长=5~50km□</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因子</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vertAlign w:val="subscript"/>
              </w:rPr>
            </w:pPr>
            <w:r>
              <w:rPr>
                <w:snapToGrid w:val="0"/>
                <w:color w:val="auto"/>
                <w:sz w:val="21"/>
                <w:szCs w:val="21"/>
                <w:highlight w:val="none"/>
              </w:rPr>
              <w:t>SO</w:t>
            </w:r>
            <w:r>
              <w:rPr>
                <w:snapToGrid w:val="0"/>
                <w:color w:val="auto"/>
                <w:sz w:val="21"/>
                <w:szCs w:val="21"/>
                <w:highlight w:val="none"/>
                <w:vertAlign w:val="subscript"/>
              </w:rPr>
              <w:t>2</w:t>
            </w:r>
            <w:r>
              <w:rPr>
                <w:snapToGrid w:val="0"/>
                <w:color w:val="auto"/>
                <w:sz w:val="21"/>
                <w:szCs w:val="21"/>
                <w:highlight w:val="none"/>
              </w:rPr>
              <w:t>+NOx</w:t>
            </w:r>
          </w:p>
        </w:tc>
        <w:tc>
          <w:tcPr>
            <w:tcW w:w="1972"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≥2000t/a□</w:t>
            </w:r>
          </w:p>
        </w:tc>
        <w:tc>
          <w:tcPr>
            <w:tcW w:w="1632" w:type="pct"/>
            <w:gridSpan w:val="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500~2000t/a□</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评价因子</w:t>
            </w:r>
          </w:p>
        </w:tc>
        <w:tc>
          <w:tcPr>
            <w:tcW w:w="3174" w:type="pct"/>
            <w:gridSpan w:val="1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基本污染物（SO</w:t>
            </w:r>
            <w:r>
              <w:rPr>
                <w:snapToGrid w:val="0"/>
                <w:color w:val="auto"/>
                <w:sz w:val="21"/>
                <w:szCs w:val="21"/>
                <w:highlight w:val="none"/>
                <w:vertAlign w:val="subscript"/>
              </w:rPr>
              <w:t>2</w:t>
            </w:r>
            <w:r>
              <w:rPr>
                <w:snapToGrid w:val="0"/>
                <w:color w:val="auto"/>
                <w:sz w:val="21"/>
                <w:szCs w:val="21"/>
                <w:highlight w:val="none"/>
              </w:rPr>
              <w:t>、NO</w:t>
            </w:r>
            <w:r>
              <w:rPr>
                <w:snapToGrid w:val="0"/>
                <w:color w:val="auto"/>
                <w:sz w:val="21"/>
                <w:szCs w:val="21"/>
                <w:highlight w:val="none"/>
                <w:vertAlign w:val="subscript"/>
              </w:rPr>
              <w:t>2</w:t>
            </w:r>
            <w:r>
              <w:rPr>
                <w:snapToGrid w:val="0"/>
                <w:color w:val="auto"/>
                <w:sz w:val="21"/>
                <w:szCs w:val="21"/>
                <w:highlight w:val="none"/>
              </w:rPr>
              <w:t>、PM</w:t>
            </w:r>
            <w:r>
              <w:rPr>
                <w:snapToGrid w:val="0"/>
                <w:color w:val="auto"/>
                <w:sz w:val="21"/>
                <w:szCs w:val="21"/>
                <w:highlight w:val="none"/>
                <w:vertAlign w:val="subscript"/>
              </w:rPr>
              <w:t>10</w:t>
            </w:r>
            <w:r>
              <w:rPr>
                <w:snapToGrid w:val="0"/>
                <w:color w:val="auto"/>
                <w:sz w:val="21"/>
                <w:szCs w:val="21"/>
                <w:highlight w:val="none"/>
              </w:rPr>
              <w:t>、PM</w:t>
            </w:r>
            <w:r>
              <w:rPr>
                <w:snapToGrid w:val="0"/>
                <w:color w:val="auto"/>
                <w:sz w:val="21"/>
                <w:szCs w:val="21"/>
                <w:highlight w:val="none"/>
                <w:vertAlign w:val="subscript"/>
              </w:rPr>
              <w:t>2.5</w:t>
            </w:r>
            <w:r>
              <w:rPr>
                <w:snapToGrid w:val="0"/>
                <w:color w:val="auto"/>
                <w:sz w:val="21"/>
                <w:szCs w:val="21"/>
                <w:highlight w:val="none"/>
              </w:rPr>
              <w:t>、O</w:t>
            </w:r>
            <w:r>
              <w:rPr>
                <w:snapToGrid w:val="0"/>
                <w:color w:val="auto"/>
                <w:sz w:val="21"/>
                <w:szCs w:val="21"/>
                <w:highlight w:val="none"/>
                <w:vertAlign w:val="subscript"/>
              </w:rPr>
              <w:t>3</w:t>
            </w:r>
            <w:r>
              <w:rPr>
                <w:snapToGrid w:val="0"/>
                <w:color w:val="auto"/>
                <w:sz w:val="21"/>
                <w:szCs w:val="21"/>
                <w:highlight w:val="none"/>
              </w:rPr>
              <w:t>、CO）其他污染物（</w:t>
            </w:r>
            <w:r>
              <w:rPr>
                <w:rFonts w:hint="default" w:ascii="Times New Roman" w:hAnsi="Times New Roman" w:cs="Times New Roman"/>
                <w:color w:val="auto"/>
                <w:highlight w:val="none"/>
              </w:rPr>
              <w:t>TSP、苯并[a]芘、氮氧化物、非甲烷总烃</w:t>
            </w:r>
            <w:r>
              <w:rPr>
                <w:snapToGrid w:val="0"/>
                <w:color w:val="auto"/>
                <w:sz w:val="21"/>
                <w:szCs w:val="21"/>
                <w:highlight w:val="none"/>
              </w:rPr>
              <w:t>）</w:t>
            </w:r>
          </w:p>
        </w:tc>
        <w:tc>
          <w:tcPr>
            <w:tcW w:w="1034"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包括二次PM</w:t>
            </w:r>
            <w:r>
              <w:rPr>
                <w:snapToGrid w:val="0"/>
                <w:color w:val="auto"/>
                <w:sz w:val="21"/>
                <w:szCs w:val="21"/>
                <w:highlight w:val="none"/>
                <w:vertAlign w:val="subscript"/>
              </w:rPr>
              <w:t>2.5</w:t>
            </w:r>
            <w:r>
              <w:rPr>
                <w:snapToGrid w:val="0"/>
                <w:color w:val="auto"/>
                <w:sz w:val="21"/>
                <w:szCs w:val="21"/>
                <w:highlight w:val="none"/>
              </w:rPr>
              <w:t>□</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不包括PM</w:t>
            </w:r>
            <w:r>
              <w:rPr>
                <w:snapToGrid w:val="0"/>
                <w:color w:val="auto"/>
                <w:sz w:val="21"/>
                <w:szCs w:val="21"/>
                <w:highlight w:val="none"/>
                <w:vertAlign w:val="subscript"/>
              </w:rPr>
              <w:t>2.5</w:t>
            </w:r>
            <w:r>
              <w:rPr>
                <w:snapToGrid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标准</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评价标准</w:t>
            </w:r>
          </w:p>
        </w:tc>
        <w:tc>
          <w:tcPr>
            <w:tcW w:w="1693"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国家标准√</w:t>
            </w:r>
          </w:p>
        </w:tc>
        <w:tc>
          <w:tcPr>
            <w:tcW w:w="1480" w:type="pct"/>
            <w:gridSpan w:val="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地方标准□</w:t>
            </w:r>
          </w:p>
        </w:tc>
        <w:tc>
          <w:tcPr>
            <w:tcW w:w="430"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附录D□</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现状</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评价功能区</w:t>
            </w:r>
          </w:p>
        </w:tc>
        <w:tc>
          <w:tcPr>
            <w:tcW w:w="1888"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一类区□</w:t>
            </w:r>
          </w:p>
        </w:tc>
        <w:tc>
          <w:tcPr>
            <w:tcW w:w="1494"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二类区√</w:t>
            </w:r>
          </w:p>
        </w:tc>
        <w:tc>
          <w:tcPr>
            <w:tcW w:w="825" w:type="pct"/>
            <w:gridSpan w:val="5"/>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一类和二类区□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评价基准年</w:t>
            </w:r>
          </w:p>
        </w:tc>
        <w:tc>
          <w:tcPr>
            <w:tcW w:w="4209" w:type="pct"/>
            <w:gridSpan w:val="1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（202</w:t>
            </w:r>
            <w:r>
              <w:rPr>
                <w:rFonts w:hint="eastAsia"/>
                <w:snapToGrid w:val="0"/>
                <w:color w:val="auto"/>
                <w:sz w:val="21"/>
                <w:szCs w:val="21"/>
                <w:highlight w:val="none"/>
                <w:lang w:val="en-US" w:eastAsia="zh-CN"/>
              </w:rPr>
              <w:t>4</w:t>
            </w:r>
            <w:r>
              <w:rPr>
                <w:snapToGrid w:val="0"/>
                <w:color w:val="auto"/>
                <w:sz w:val="21"/>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环境空气质量现状调查数据来源</w:t>
            </w:r>
          </w:p>
        </w:tc>
        <w:tc>
          <w:tcPr>
            <w:tcW w:w="1888"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长期例行监测数据□</w:t>
            </w:r>
          </w:p>
        </w:tc>
        <w:tc>
          <w:tcPr>
            <w:tcW w:w="1494"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主管部门发布的数据√</w:t>
            </w:r>
          </w:p>
        </w:tc>
        <w:tc>
          <w:tcPr>
            <w:tcW w:w="825" w:type="pct"/>
            <w:gridSpan w:val="5"/>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现状补充监测√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现状评价</w:t>
            </w:r>
          </w:p>
        </w:tc>
        <w:tc>
          <w:tcPr>
            <w:tcW w:w="3174" w:type="pct"/>
            <w:gridSpan w:val="12"/>
            <w:vAlign w:val="center"/>
          </w:tcPr>
          <w:p>
            <w:pPr>
              <w:adjustRightInd w:val="0"/>
              <w:snapToGrid w:val="0"/>
              <w:spacing w:line="240" w:lineRule="auto"/>
              <w:ind w:firstLine="0" w:firstLineChars="0"/>
              <w:jc w:val="center"/>
              <w:rPr>
                <w:rFonts w:hint="eastAsia" w:eastAsia="宋体"/>
                <w:snapToGrid w:val="0"/>
                <w:color w:val="auto"/>
                <w:sz w:val="21"/>
                <w:szCs w:val="21"/>
                <w:highlight w:val="none"/>
                <w:lang w:eastAsia="zh-CN"/>
              </w:rPr>
            </w:pPr>
            <w:r>
              <w:rPr>
                <w:snapToGrid w:val="0"/>
                <w:color w:val="auto"/>
                <w:sz w:val="21"/>
                <w:szCs w:val="21"/>
                <w:highlight w:val="none"/>
              </w:rPr>
              <w:t>达标区</w:t>
            </w:r>
            <w:r>
              <w:rPr>
                <w:rFonts w:hint="eastAsia"/>
                <w:snapToGrid w:val="0"/>
                <w:color w:val="auto"/>
                <w:sz w:val="21"/>
                <w:szCs w:val="21"/>
                <w:highlight w:val="none"/>
                <w:lang w:eastAsia="zh-CN"/>
              </w:rPr>
              <w:t>☑</w:t>
            </w:r>
          </w:p>
        </w:tc>
        <w:tc>
          <w:tcPr>
            <w:tcW w:w="1034"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污染源调查</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调查内容</w:t>
            </w:r>
          </w:p>
        </w:tc>
        <w:tc>
          <w:tcPr>
            <w:tcW w:w="1693"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本项目正常排放□</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本项目非正常排放源□</w:t>
            </w:r>
          </w:p>
        </w:tc>
        <w:tc>
          <w:tcPr>
            <w:tcW w:w="1375"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现有污染源□</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拟替代的污染源□</w:t>
            </w:r>
          </w:p>
        </w:tc>
        <w:tc>
          <w:tcPr>
            <w:tcW w:w="536"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其他在建、拟建项目污染源□</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大气环境影响预测与评价</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预测模型</w:t>
            </w:r>
          </w:p>
        </w:tc>
        <w:tc>
          <w:tcPr>
            <w:tcW w:w="65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AERMOD□</w:t>
            </w:r>
          </w:p>
        </w:tc>
        <w:tc>
          <w:tcPr>
            <w:tcW w:w="497" w:type="pct"/>
            <w:gridSpan w:val="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ADMS□</w:t>
            </w:r>
          </w:p>
        </w:tc>
        <w:tc>
          <w:tcPr>
            <w:tcW w:w="820"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AUSTAL2000□</w:t>
            </w:r>
          </w:p>
        </w:tc>
        <w:tc>
          <w:tcPr>
            <w:tcW w:w="865"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ENMSS/AEDT□</w:t>
            </w:r>
          </w:p>
        </w:tc>
        <w:tc>
          <w:tcPr>
            <w:tcW w:w="660"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CALPUFF□</w:t>
            </w:r>
          </w:p>
        </w:tc>
        <w:tc>
          <w:tcPr>
            <w:tcW w:w="350" w:type="pct"/>
            <w:gridSpan w:val="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网格模型□</w:t>
            </w:r>
          </w:p>
        </w:tc>
        <w:tc>
          <w:tcPr>
            <w:tcW w:w="359" w:type="pct"/>
            <w:gridSpan w:val="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预测范围</w:t>
            </w:r>
          </w:p>
        </w:tc>
        <w:tc>
          <w:tcPr>
            <w:tcW w:w="1972" w:type="pct"/>
            <w:gridSpan w:val="7"/>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边长=50km□</w:t>
            </w:r>
          </w:p>
        </w:tc>
        <w:tc>
          <w:tcPr>
            <w:tcW w:w="1632" w:type="pct"/>
            <w:gridSpan w:val="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边长=5~50km□</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预测因子</w:t>
            </w:r>
          </w:p>
        </w:tc>
        <w:tc>
          <w:tcPr>
            <w:tcW w:w="2837" w:type="pct"/>
            <w:gridSpan w:val="10"/>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预测因子（       ）</w:t>
            </w:r>
          </w:p>
        </w:tc>
        <w:tc>
          <w:tcPr>
            <w:tcW w:w="1371" w:type="pct"/>
            <w:gridSpan w:val="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包括二次PM</w:t>
            </w:r>
            <w:r>
              <w:rPr>
                <w:snapToGrid w:val="0"/>
                <w:color w:val="auto"/>
                <w:sz w:val="21"/>
                <w:szCs w:val="21"/>
                <w:highlight w:val="none"/>
                <w:vertAlign w:val="subscript"/>
              </w:rPr>
              <w:t>2.5</w:t>
            </w:r>
            <w:r>
              <w:rPr>
                <w:snapToGrid w:val="0"/>
                <w:color w:val="auto"/>
                <w:sz w:val="21"/>
                <w:szCs w:val="21"/>
                <w:highlight w:val="none"/>
              </w:rPr>
              <w:t>□不包括PM</w:t>
            </w:r>
            <w:r>
              <w:rPr>
                <w:snapToGrid w:val="0"/>
                <w:color w:val="auto"/>
                <w:sz w:val="21"/>
                <w:szCs w:val="21"/>
                <w:highlight w:val="none"/>
                <w:vertAlign w:val="subscript"/>
              </w:rPr>
              <w:t>2.5</w:t>
            </w:r>
            <w:r>
              <w:rPr>
                <w:snapToGrid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正常排放短期浓度贡献值</w:t>
            </w:r>
          </w:p>
        </w:tc>
        <w:tc>
          <w:tcPr>
            <w:tcW w:w="2837" w:type="pct"/>
            <w:gridSpan w:val="10"/>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本项目</w:t>
            </w:r>
            <w:r>
              <w:rPr>
                <w:snapToGrid w:val="0"/>
                <w:color w:val="auto"/>
                <w:sz w:val="21"/>
                <w:szCs w:val="21"/>
                <w:highlight w:val="none"/>
              </w:rPr>
              <w:t>最大占标率≤100%□</w:t>
            </w:r>
          </w:p>
        </w:tc>
        <w:tc>
          <w:tcPr>
            <w:tcW w:w="1371" w:type="pct"/>
            <w:gridSpan w:val="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本项目</w:t>
            </w:r>
            <w:r>
              <w:rPr>
                <w:snapToGrid w:val="0"/>
                <w:color w:val="auto"/>
                <w:sz w:val="21"/>
                <w:szCs w:val="21"/>
                <w:highlight w:val="none"/>
              </w:rPr>
              <w:t>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正常排放年均浓度贡献值</w:t>
            </w:r>
          </w:p>
        </w:tc>
        <w:tc>
          <w:tcPr>
            <w:tcW w:w="1817" w:type="pct"/>
            <w:gridSpan w:val="5"/>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一类区</w:t>
            </w:r>
          </w:p>
        </w:tc>
        <w:tc>
          <w:tcPr>
            <w:tcW w:w="1680" w:type="pct"/>
            <w:gridSpan w:val="9"/>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本项目</w:t>
            </w:r>
            <w:r>
              <w:rPr>
                <w:snapToGrid w:val="0"/>
                <w:color w:val="auto"/>
                <w:sz w:val="21"/>
                <w:szCs w:val="21"/>
                <w:highlight w:val="none"/>
              </w:rPr>
              <w:t>最大占标率≤10%□</w:t>
            </w:r>
          </w:p>
        </w:tc>
        <w:tc>
          <w:tcPr>
            <w:tcW w:w="710"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本项目</w:t>
            </w:r>
            <w:r>
              <w:rPr>
                <w:snapToGrid w:val="0"/>
                <w:color w:val="auto"/>
                <w:sz w:val="21"/>
                <w:szCs w:val="21"/>
                <w:highlight w:val="none"/>
              </w:rPr>
              <w:t>最大占标率＞10%□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1817" w:type="pct"/>
            <w:gridSpan w:val="5"/>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二类区</w:t>
            </w:r>
          </w:p>
        </w:tc>
        <w:tc>
          <w:tcPr>
            <w:tcW w:w="1680" w:type="pct"/>
            <w:gridSpan w:val="9"/>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本项目</w:t>
            </w:r>
            <w:r>
              <w:rPr>
                <w:snapToGrid w:val="0"/>
                <w:color w:val="auto"/>
                <w:sz w:val="21"/>
                <w:szCs w:val="21"/>
                <w:highlight w:val="none"/>
              </w:rPr>
              <w:t>最大占标率≤30%□</w:t>
            </w:r>
          </w:p>
        </w:tc>
        <w:tc>
          <w:tcPr>
            <w:tcW w:w="710"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本项目</w:t>
            </w:r>
            <w:r>
              <w:rPr>
                <w:snapToGrid w:val="0"/>
                <w:color w:val="auto"/>
                <w:sz w:val="21"/>
                <w:szCs w:val="21"/>
                <w:highlight w:val="none"/>
              </w:rPr>
              <w:t>最大占标率＞30%□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非正常排放1h浓度贡献值</w:t>
            </w:r>
          </w:p>
        </w:tc>
        <w:tc>
          <w:tcPr>
            <w:tcW w:w="1817" w:type="pct"/>
            <w:gridSpan w:val="5"/>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非正常持续时长（）h</w:t>
            </w:r>
          </w:p>
        </w:tc>
        <w:tc>
          <w:tcPr>
            <w:tcW w:w="1680" w:type="pct"/>
            <w:gridSpan w:val="9"/>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非正常</w:t>
            </w:r>
            <w:r>
              <w:rPr>
                <w:snapToGrid w:val="0"/>
                <w:color w:val="auto"/>
                <w:sz w:val="21"/>
                <w:szCs w:val="21"/>
                <w:highlight w:val="none"/>
              </w:rPr>
              <w:t>占标率≤100%□</w:t>
            </w:r>
          </w:p>
        </w:tc>
        <w:tc>
          <w:tcPr>
            <w:tcW w:w="710" w:type="pct"/>
            <w:gridSpan w:val="4"/>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非正常</w:t>
            </w:r>
            <w:r>
              <w:rPr>
                <w:snapToGrid w:val="0"/>
                <w:color w:val="auto"/>
                <w:sz w:val="21"/>
                <w:szCs w:val="21"/>
                <w:highlight w:val="none"/>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保证率日平均浓度和年平均跌价值</w:t>
            </w:r>
          </w:p>
        </w:tc>
        <w:tc>
          <w:tcPr>
            <w:tcW w:w="3174" w:type="pct"/>
            <w:gridSpan w:val="1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叠加</w:t>
            </w:r>
            <w:r>
              <w:rPr>
                <w:snapToGrid w:val="0"/>
                <w:color w:val="auto"/>
                <w:sz w:val="21"/>
                <w:szCs w:val="21"/>
                <w:highlight w:val="none"/>
              </w:rPr>
              <w:t>达标□</w:t>
            </w:r>
          </w:p>
        </w:tc>
        <w:tc>
          <w:tcPr>
            <w:tcW w:w="1034"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C</w:t>
            </w:r>
            <w:r>
              <w:rPr>
                <w:snapToGrid w:val="0"/>
                <w:color w:val="auto"/>
                <w:sz w:val="21"/>
                <w:szCs w:val="21"/>
                <w:highlight w:val="none"/>
                <w:vertAlign w:val="subscript"/>
              </w:rPr>
              <w:t>叠加</w:t>
            </w:r>
            <w:r>
              <w:rPr>
                <w:snapToGrid w:val="0"/>
                <w:color w:val="auto"/>
                <w:sz w:val="21"/>
                <w:szCs w:val="21"/>
                <w:highlight w:val="none"/>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rPr>
                <w:snapToGrid w:val="0"/>
                <w:color w:val="auto"/>
                <w:sz w:val="21"/>
                <w:szCs w:val="21"/>
                <w:highlight w:val="none"/>
              </w:rPr>
            </w:pPr>
            <w:r>
              <w:rPr>
                <w:snapToGrid w:val="0"/>
                <w:color w:val="auto"/>
                <w:sz w:val="21"/>
                <w:szCs w:val="21"/>
                <w:highlight w:val="none"/>
              </w:rPr>
              <w:t>区域环境质量的正太变化情况</w:t>
            </w:r>
          </w:p>
        </w:tc>
        <w:tc>
          <w:tcPr>
            <w:tcW w:w="3174" w:type="pct"/>
            <w:gridSpan w:val="12"/>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K≤-20%</w:t>
            </w:r>
          </w:p>
        </w:tc>
        <w:tc>
          <w:tcPr>
            <w:tcW w:w="1034"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环境监测计划</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污染源监测</w:t>
            </w:r>
          </w:p>
        </w:tc>
        <w:tc>
          <w:tcPr>
            <w:tcW w:w="1888" w:type="pct"/>
            <w:gridSpan w:val="6"/>
            <w:vAlign w:val="center"/>
          </w:tcPr>
          <w:p>
            <w:pPr>
              <w:adjustRightInd w:val="0"/>
              <w:snapToGrid w:val="0"/>
              <w:spacing w:line="240" w:lineRule="auto"/>
              <w:ind w:firstLine="0" w:firstLineChars="0"/>
              <w:jc w:val="center"/>
              <w:rPr>
                <w:snapToGrid w:val="0"/>
                <w:color w:val="auto"/>
                <w:sz w:val="15"/>
                <w:szCs w:val="15"/>
                <w:highlight w:val="none"/>
              </w:rPr>
            </w:pPr>
            <w:r>
              <w:rPr>
                <w:snapToGrid w:val="0"/>
                <w:color w:val="auto"/>
                <w:sz w:val="15"/>
                <w:szCs w:val="15"/>
                <w:highlight w:val="none"/>
              </w:rPr>
              <w:t>监测因子：（</w:t>
            </w:r>
            <w:r>
              <w:rPr>
                <w:rFonts w:hint="eastAsia"/>
                <w:snapToGrid w:val="0"/>
                <w:color w:val="auto"/>
                <w:sz w:val="15"/>
                <w:szCs w:val="15"/>
                <w:highlight w:val="none"/>
              </w:rPr>
              <w:t>TSP、苯并[a]芘、氮氧化物、非甲烷总烃</w:t>
            </w:r>
            <w:r>
              <w:rPr>
                <w:snapToGrid w:val="0"/>
                <w:color w:val="auto"/>
                <w:sz w:val="15"/>
                <w:szCs w:val="15"/>
                <w:highlight w:val="none"/>
              </w:rPr>
              <w:t>）</w:t>
            </w:r>
          </w:p>
        </w:tc>
        <w:tc>
          <w:tcPr>
            <w:tcW w:w="1716" w:type="pct"/>
            <w:gridSpan w:val="9"/>
            <w:vAlign w:val="center"/>
          </w:tcPr>
          <w:p>
            <w:pPr>
              <w:adjustRightInd w:val="0"/>
              <w:snapToGrid w:val="0"/>
              <w:spacing w:line="240" w:lineRule="auto"/>
              <w:ind w:firstLine="0" w:firstLineChars="0"/>
              <w:jc w:val="center"/>
              <w:rPr>
                <w:snapToGrid w:val="0"/>
                <w:color w:val="auto"/>
                <w:sz w:val="15"/>
                <w:szCs w:val="15"/>
                <w:highlight w:val="none"/>
              </w:rPr>
            </w:pPr>
            <w:r>
              <w:rPr>
                <w:snapToGrid w:val="0"/>
                <w:color w:val="auto"/>
                <w:sz w:val="15"/>
                <w:szCs w:val="15"/>
                <w:highlight w:val="none"/>
              </w:rPr>
              <w:t>有组织废气监测（</w:t>
            </w:r>
            <w:r>
              <w:rPr>
                <w:rFonts w:hint="eastAsia"/>
                <w:snapToGrid w:val="0"/>
                <w:color w:val="auto"/>
                <w:sz w:val="15"/>
                <w:szCs w:val="15"/>
                <w:highlight w:val="none"/>
              </w:rPr>
              <w:t>TSP、苯并[a]芘、氮氧化物、非甲烷总烃</w:t>
            </w:r>
            <w:r>
              <w:rPr>
                <w:snapToGrid w:val="0"/>
                <w:color w:val="auto"/>
                <w:sz w:val="15"/>
                <w:szCs w:val="15"/>
                <w:highlight w:val="none"/>
              </w:rPr>
              <w:t>）</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环境质量监测</w:t>
            </w:r>
          </w:p>
        </w:tc>
        <w:tc>
          <w:tcPr>
            <w:tcW w:w="1888" w:type="pct"/>
            <w:gridSpan w:val="6"/>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监测因子：（   ）</w:t>
            </w:r>
          </w:p>
        </w:tc>
        <w:tc>
          <w:tcPr>
            <w:tcW w:w="1716" w:type="pct"/>
            <w:gridSpan w:val="9"/>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监测点位（  ）</w:t>
            </w:r>
          </w:p>
        </w:tc>
        <w:tc>
          <w:tcPr>
            <w:tcW w:w="603" w:type="pct"/>
            <w:gridSpan w:val="3"/>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restar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评价</w:t>
            </w:r>
          </w:p>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结论</w:t>
            </w: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环境影响</w:t>
            </w:r>
          </w:p>
        </w:tc>
        <w:tc>
          <w:tcPr>
            <w:tcW w:w="2712" w:type="pct"/>
            <w:gridSpan w:val="9"/>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可以接受√</w:t>
            </w:r>
          </w:p>
        </w:tc>
        <w:tc>
          <w:tcPr>
            <w:tcW w:w="1496" w:type="pct"/>
            <w:gridSpan w:val="9"/>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大气环境防护距离</w:t>
            </w:r>
          </w:p>
        </w:tc>
        <w:tc>
          <w:tcPr>
            <w:tcW w:w="4209" w:type="pct"/>
            <w:gridSpan w:val="18"/>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距（）厂界最远（）m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6" w:type="pct"/>
            <w:vMerge w:val="continue"/>
            <w:vAlign w:val="center"/>
          </w:tcPr>
          <w:p>
            <w:pPr>
              <w:adjustRightInd w:val="0"/>
              <w:snapToGrid w:val="0"/>
              <w:spacing w:line="240" w:lineRule="auto"/>
              <w:ind w:firstLine="0" w:firstLineChars="0"/>
              <w:jc w:val="center"/>
              <w:rPr>
                <w:snapToGrid w:val="0"/>
                <w:color w:val="auto"/>
                <w:sz w:val="21"/>
                <w:szCs w:val="21"/>
                <w:highlight w:val="none"/>
              </w:rPr>
            </w:pPr>
          </w:p>
        </w:tc>
        <w:tc>
          <w:tcPr>
            <w:tcW w:w="564" w:type="pct"/>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污染源年排放量</w:t>
            </w:r>
          </w:p>
        </w:tc>
        <w:tc>
          <w:tcPr>
            <w:tcW w:w="1038" w:type="pct"/>
            <w:gridSpan w:val="2"/>
            <w:vAlign w:val="center"/>
          </w:tcPr>
          <w:p>
            <w:pPr>
              <w:adjustRightInd w:val="0"/>
              <w:snapToGrid w:val="0"/>
              <w:spacing w:line="240" w:lineRule="auto"/>
              <w:ind w:firstLine="0" w:firstLineChars="0"/>
              <w:jc w:val="center"/>
              <w:rPr>
                <w:snapToGrid w:val="0"/>
                <w:color w:val="auto"/>
                <w:sz w:val="18"/>
                <w:szCs w:val="18"/>
                <w:highlight w:val="none"/>
                <w:vertAlign w:val="subscript"/>
              </w:rPr>
            </w:pPr>
            <w:r>
              <w:rPr>
                <w:snapToGrid w:val="0"/>
                <w:color w:val="auto"/>
                <w:sz w:val="18"/>
                <w:szCs w:val="18"/>
                <w:highlight w:val="none"/>
              </w:rPr>
              <w:t>SO</w:t>
            </w:r>
            <w:r>
              <w:rPr>
                <w:snapToGrid w:val="0"/>
                <w:color w:val="auto"/>
                <w:sz w:val="18"/>
                <w:szCs w:val="18"/>
                <w:highlight w:val="none"/>
                <w:vertAlign w:val="subscript"/>
              </w:rPr>
              <w:t>2</w:t>
            </w:r>
          </w:p>
          <w:p>
            <w:pPr>
              <w:adjustRightInd w:val="0"/>
              <w:snapToGrid w:val="0"/>
              <w:spacing w:line="240" w:lineRule="auto"/>
              <w:ind w:firstLine="0" w:firstLineChars="0"/>
              <w:jc w:val="center"/>
              <w:rPr>
                <w:rFonts w:hint="default" w:eastAsia="宋体"/>
                <w:snapToGrid w:val="0"/>
                <w:color w:val="auto"/>
                <w:sz w:val="21"/>
                <w:szCs w:val="21"/>
                <w:highlight w:val="none"/>
                <w:lang w:val="en-US" w:eastAsia="zh-CN"/>
              </w:rPr>
            </w:pPr>
            <w:r>
              <w:rPr>
                <w:snapToGrid w:val="0"/>
                <w:color w:val="auto"/>
                <w:sz w:val="18"/>
                <w:szCs w:val="18"/>
                <w:highlight w:val="none"/>
              </w:rPr>
              <w:t>（</w:t>
            </w:r>
            <w:r>
              <w:rPr>
                <w:rFonts w:hint="eastAsia"/>
                <w:snapToGrid w:val="0"/>
                <w:color w:val="auto"/>
                <w:sz w:val="18"/>
                <w:szCs w:val="18"/>
                <w:highlight w:val="none"/>
                <w:lang w:val="en-US" w:eastAsia="zh-CN"/>
              </w:rPr>
              <w:t>0.113</w:t>
            </w:r>
            <w:r>
              <w:rPr>
                <w:snapToGrid w:val="0"/>
                <w:color w:val="auto"/>
                <w:sz w:val="18"/>
                <w:szCs w:val="18"/>
                <w:highlight w:val="none"/>
              </w:rPr>
              <w:t>）t/a</w:t>
            </w:r>
          </w:p>
        </w:tc>
        <w:tc>
          <w:tcPr>
            <w:tcW w:w="1425" w:type="pct"/>
            <w:gridSpan w:val="6"/>
            <w:vAlign w:val="center"/>
          </w:tcPr>
          <w:p>
            <w:pPr>
              <w:adjustRightInd w:val="0"/>
              <w:snapToGrid w:val="0"/>
              <w:spacing w:line="240" w:lineRule="auto"/>
              <w:ind w:firstLine="0" w:firstLineChars="0"/>
              <w:jc w:val="center"/>
              <w:rPr>
                <w:snapToGrid w:val="0"/>
                <w:color w:val="auto"/>
                <w:sz w:val="18"/>
                <w:szCs w:val="18"/>
                <w:highlight w:val="none"/>
                <w:vertAlign w:val="subscript"/>
              </w:rPr>
            </w:pPr>
            <w:r>
              <w:rPr>
                <w:snapToGrid w:val="0"/>
                <w:color w:val="auto"/>
                <w:sz w:val="18"/>
                <w:szCs w:val="18"/>
                <w:highlight w:val="none"/>
              </w:rPr>
              <w:t>NO</w:t>
            </w:r>
            <w:r>
              <w:rPr>
                <w:snapToGrid w:val="0"/>
                <w:color w:val="auto"/>
                <w:sz w:val="18"/>
                <w:szCs w:val="18"/>
                <w:highlight w:val="none"/>
                <w:vertAlign w:val="subscript"/>
              </w:rPr>
              <w:t>X</w:t>
            </w:r>
          </w:p>
          <w:p>
            <w:pPr>
              <w:adjustRightInd w:val="0"/>
              <w:snapToGrid w:val="0"/>
              <w:spacing w:line="240" w:lineRule="auto"/>
              <w:ind w:firstLine="0" w:firstLineChars="0"/>
              <w:jc w:val="center"/>
              <w:rPr>
                <w:rFonts w:hint="default" w:eastAsia="宋体"/>
                <w:snapToGrid w:val="0"/>
                <w:color w:val="auto"/>
                <w:sz w:val="21"/>
                <w:szCs w:val="21"/>
                <w:highlight w:val="none"/>
                <w:lang w:val="en-US" w:eastAsia="zh-CN"/>
              </w:rPr>
            </w:pPr>
            <w:r>
              <w:rPr>
                <w:snapToGrid w:val="0"/>
                <w:color w:val="auto"/>
                <w:sz w:val="18"/>
                <w:szCs w:val="18"/>
                <w:highlight w:val="none"/>
              </w:rPr>
              <w:t>（</w:t>
            </w:r>
            <w:r>
              <w:rPr>
                <w:rFonts w:hint="eastAsia"/>
                <w:snapToGrid w:val="0"/>
                <w:color w:val="auto"/>
                <w:sz w:val="18"/>
                <w:szCs w:val="18"/>
                <w:highlight w:val="none"/>
                <w:lang w:val="en-US" w:eastAsia="zh-CN"/>
              </w:rPr>
              <w:t>0.589</w:t>
            </w:r>
            <w:r>
              <w:rPr>
                <w:snapToGrid w:val="0"/>
                <w:color w:val="auto"/>
                <w:sz w:val="18"/>
                <w:szCs w:val="18"/>
                <w:highlight w:val="none"/>
              </w:rPr>
              <w:t>）t/a</w:t>
            </w:r>
          </w:p>
        </w:tc>
        <w:tc>
          <w:tcPr>
            <w:tcW w:w="1140" w:type="pct"/>
            <w:gridSpan w:val="7"/>
            <w:vAlign w:val="center"/>
          </w:tcPr>
          <w:p>
            <w:pPr>
              <w:adjustRightInd w:val="0"/>
              <w:snapToGrid w:val="0"/>
              <w:spacing w:line="240" w:lineRule="auto"/>
              <w:ind w:firstLine="0" w:firstLineChars="0"/>
              <w:jc w:val="center"/>
              <w:rPr>
                <w:snapToGrid w:val="0"/>
                <w:color w:val="auto"/>
                <w:sz w:val="18"/>
                <w:szCs w:val="18"/>
                <w:highlight w:val="none"/>
              </w:rPr>
            </w:pPr>
            <w:r>
              <w:rPr>
                <w:snapToGrid w:val="0"/>
                <w:color w:val="auto"/>
                <w:sz w:val="18"/>
                <w:szCs w:val="18"/>
                <w:highlight w:val="none"/>
              </w:rPr>
              <w:t>颗粒物</w:t>
            </w:r>
          </w:p>
          <w:p>
            <w:pPr>
              <w:adjustRightInd w:val="0"/>
              <w:snapToGrid w:val="0"/>
              <w:spacing w:line="240" w:lineRule="auto"/>
              <w:ind w:firstLine="0" w:firstLineChars="0"/>
              <w:jc w:val="center"/>
              <w:rPr>
                <w:rFonts w:hint="default" w:eastAsia="宋体"/>
                <w:snapToGrid w:val="0"/>
                <w:color w:val="auto"/>
                <w:sz w:val="21"/>
                <w:szCs w:val="21"/>
                <w:highlight w:val="none"/>
                <w:lang w:val="en-US" w:eastAsia="zh-CN"/>
              </w:rPr>
            </w:pPr>
            <w:r>
              <w:rPr>
                <w:snapToGrid w:val="0"/>
                <w:color w:val="auto"/>
                <w:sz w:val="18"/>
                <w:szCs w:val="18"/>
                <w:highlight w:val="none"/>
              </w:rPr>
              <w:t>（</w:t>
            </w:r>
            <w:r>
              <w:rPr>
                <w:rFonts w:hint="eastAsia"/>
                <w:snapToGrid w:val="0"/>
                <w:color w:val="auto"/>
                <w:sz w:val="18"/>
                <w:szCs w:val="18"/>
                <w:highlight w:val="none"/>
                <w:lang w:val="en-US" w:eastAsia="zh-CN"/>
              </w:rPr>
              <w:t>0.6017</w:t>
            </w:r>
            <w:r>
              <w:rPr>
                <w:snapToGrid w:val="0"/>
                <w:color w:val="auto"/>
                <w:sz w:val="18"/>
                <w:szCs w:val="18"/>
                <w:highlight w:val="none"/>
              </w:rPr>
              <w:t>）t/a</w:t>
            </w:r>
          </w:p>
        </w:tc>
        <w:tc>
          <w:tcPr>
            <w:tcW w:w="400" w:type="pct"/>
            <w:gridSpan w:val="2"/>
            <w:tcBorders>
              <w:right w:val="single" w:color="000000" w:sz="4" w:space="0"/>
            </w:tcBorders>
            <w:vAlign w:val="center"/>
          </w:tcPr>
          <w:p>
            <w:pPr>
              <w:adjustRightInd w:val="0"/>
              <w:snapToGrid w:val="0"/>
              <w:spacing w:line="240" w:lineRule="auto"/>
              <w:ind w:firstLine="0" w:firstLineChars="0"/>
              <w:jc w:val="center"/>
              <w:rPr>
                <w:snapToGrid w:val="0"/>
                <w:color w:val="auto"/>
                <w:sz w:val="18"/>
                <w:szCs w:val="18"/>
                <w:highlight w:val="none"/>
                <w:vertAlign w:val="subscript"/>
              </w:rPr>
            </w:pPr>
            <w:r>
              <w:rPr>
                <w:snapToGrid w:val="0"/>
                <w:color w:val="auto"/>
                <w:sz w:val="18"/>
                <w:szCs w:val="18"/>
                <w:highlight w:val="none"/>
              </w:rPr>
              <w:t>VOC</w:t>
            </w:r>
            <w:r>
              <w:rPr>
                <w:snapToGrid w:val="0"/>
                <w:color w:val="auto"/>
                <w:sz w:val="18"/>
                <w:szCs w:val="18"/>
                <w:highlight w:val="none"/>
                <w:vertAlign w:val="subscript"/>
              </w:rPr>
              <w:t>s</w:t>
            </w:r>
          </w:p>
          <w:p>
            <w:pPr>
              <w:adjustRightInd w:val="0"/>
              <w:snapToGrid w:val="0"/>
              <w:spacing w:line="240" w:lineRule="auto"/>
              <w:ind w:firstLine="0" w:firstLineChars="0"/>
              <w:jc w:val="center"/>
              <w:rPr>
                <w:rFonts w:hint="eastAsia" w:eastAsia="宋体"/>
                <w:snapToGrid w:val="0"/>
                <w:color w:val="auto"/>
                <w:sz w:val="21"/>
                <w:szCs w:val="21"/>
                <w:highlight w:val="none"/>
                <w:lang w:eastAsia="zh-CN"/>
              </w:rPr>
            </w:pPr>
            <w:r>
              <w:rPr>
                <w:snapToGrid w:val="0"/>
                <w:color w:val="auto"/>
                <w:sz w:val="18"/>
                <w:szCs w:val="18"/>
                <w:highlight w:val="none"/>
              </w:rPr>
              <w:t>（</w:t>
            </w:r>
            <w:r>
              <w:rPr>
                <w:rFonts w:hint="eastAsia"/>
                <w:snapToGrid w:val="0"/>
                <w:color w:val="auto"/>
                <w:sz w:val="18"/>
                <w:szCs w:val="18"/>
                <w:highlight w:val="none"/>
                <w:lang w:val="en-US" w:eastAsia="zh-CN"/>
              </w:rPr>
              <w:t>0.0012</w:t>
            </w:r>
            <w:r>
              <w:rPr>
                <w:snapToGrid w:val="0"/>
                <w:color w:val="auto"/>
                <w:sz w:val="18"/>
                <w:szCs w:val="18"/>
                <w:highlight w:val="none"/>
              </w:rPr>
              <w:t>）t/a</w:t>
            </w:r>
          </w:p>
        </w:tc>
        <w:tc>
          <w:tcPr>
            <w:tcW w:w="203" w:type="pct"/>
            <w:tcBorders>
              <w:left w:val="single" w:color="000000" w:sz="4" w:space="0"/>
            </w:tcBorders>
            <w:vAlign w:val="center"/>
          </w:tcPr>
          <w:p>
            <w:pPr>
              <w:adjustRightInd w:val="0"/>
              <w:snapToGrid w:val="0"/>
              <w:spacing w:line="240" w:lineRule="auto"/>
              <w:ind w:firstLine="0" w:firstLineChars="0"/>
              <w:jc w:val="center"/>
              <w:rPr>
                <w:rFonts w:hint="default" w:eastAsia="宋体"/>
                <w:snapToGrid w:val="0"/>
                <w:color w:val="auto"/>
                <w:sz w:val="18"/>
                <w:szCs w:val="18"/>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0"/>
            <w:vAlign w:val="center"/>
          </w:tcPr>
          <w:p>
            <w:pPr>
              <w:adjustRightInd w:val="0"/>
              <w:snapToGrid w:val="0"/>
              <w:spacing w:line="240" w:lineRule="auto"/>
              <w:ind w:firstLine="0" w:firstLineChars="0"/>
              <w:jc w:val="center"/>
              <w:rPr>
                <w:snapToGrid w:val="0"/>
                <w:color w:val="auto"/>
                <w:sz w:val="21"/>
                <w:szCs w:val="21"/>
                <w:highlight w:val="none"/>
              </w:rPr>
            </w:pPr>
            <w:r>
              <w:rPr>
                <w:snapToGrid w:val="0"/>
                <w:color w:val="auto"/>
                <w:sz w:val="21"/>
                <w:szCs w:val="21"/>
                <w:highlight w:val="none"/>
              </w:rPr>
              <w:t>注：“□”为勾选项，填“√”；“（  ）”为内容填写项</w:t>
            </w:r>
          </w:p>
        </w:tc>
      </w:tr>
      <w:bookmarkEnd w:id="335"/>
    </w:tbl>
    <w:p>
      <w:pPr>
        <w:pStyle w:val="117"/>
        <w:bidi w:val="0"/>
        <w:rPr>
          <w:rFonts w:hint="default"/>
          <w:color w:val="auto"/>
          <w:lang w:val="en-US" w:eastAsia="zh-CN"/>
        </w:rPr>
      </w:pPr>
    </w:p>
    <w:p>
      <w:pPr>
        <w:pStyle w:val="117"/>
        <w:bidi w:val="0"/>
        <w:rPr>
          <w:rFonts w:hint="default"/>
          <w:color w:val="auto"/>
          <w:lang w:val="en-US" w:eastAsia="zh-CN"/>
        </w:rPr>
      </w:pPr>
    </w:p>
    <w:sectPr>
      <w:pgSz w:w="11906" w:h="16838"/>
      <w:pgMar w:top="1440" w:right="1474" w:bottom="1440" w:left="147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8A04E1D-AB10-467D-96DC-80A1663EF9FE}"/>
  </w:font>
  <w:font w:name="黑体">
    <w:panose1 w:val="02010609060101010101"/>
    <w:charset w:val="86"/>
    <w:family w:val="auto"/>
    <w:pitch w:val="default"/>
    <w:sig w:usb0="800002BF" w:usb1="38CF7CFA" w:usb2="00000016" w:usb3="00000000" w:csb0="00040001" w:csb1="00000000"/>
    <w:embedRegular r:id="rId2" w:fontKey="{350CFCC8-C415-4016-BD2B-BD314EC8EBA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757049C-1077-4C14-A958-7A24B00C5D55}"/>
  </w:font>
  <w:font w:name="FangSong_GB2312">
    <w:altName w:val="仿宋_GB2312"/>
    <w:panose1 w:val="02010609060101010101"/>
    <w:charset w:val="00"/>
    <w:family w:val="roman"/>
    <w:pitch w:val="default"/>
    <w:sig w:usb0="00000000" w:usb1="00000000" w:usb2="00000000" w:usb3="00000000" w:csb0="00000000" w:csb1="00000000"/>
    <w:embedRegular r:id="rId4" w:fontKey="{A61B08AA-C867-4C0E-A613-D6C79D81E1E4}"/>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embedRegular r:id="rId5" w:fontKey="{6D309F3E-987B-4241-B3D3-375C6A300D54}"/>
  </w:font>
  <w:font w:name="仿宋体">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embedRegular r:id="rId6" w:fontKey="{0A9F8A54-1BF5-4E85-9E7E-206849BCA652}"/>
  </w:font>
  <w:font w:name="方正小标宋_GBK">
    <w:panose1 w:val="02000000000000000000"/>
    <w:charset w:val="86"/>
    <w:family w:val="script"/>
    <w:pitch w:val="default"/>
    <w:sig w:usb0="A00002BF" w:usb1="38CF7CFA" w:usb2="00082016" w:usb3="00000000" w:csb0="00040001" w:csb1="00000000"/>
    <w:embedRegular r:id="rId7" w:fontKey="{822517C7-BC04-4A0D-92E7-D6BF84803DB3}"/>
  </w:font>
  <w:font w:name="仿宋">
    <w:panose1 w:val="02010609060101010101"/>
    <w:charset w:val="86"/>
    <w:family w:val="modern"/>
    <w:pitch w:val="default"/>
    <w:sig w:usb0="800002BF" w:usb1="38CF7CFA" w:usb2="00000016" w:usb3="00000000" w:csb0="00040001" w:csb1="00000000"/>
    <w:embedRegular r:id="rId8" w:fontKey="{C76CD359-2D2D-4CB7-BD67-BF1BB1348CDB}"/>
  </w:font>
  <w:font w:name="华文中宋">
    <w:panose1 w:val="02010600040101010101"/>
    <w:charset w:val="86"/>
    <w:family w:val="auto"/>
    <w:pitch w:val="default"/>
    <w:sig w:usb0="00000287" w:usb1="080F0000" w:usb2="00000000" w:usb3="00000000" w:csb0="0004009F" w:csb1="DFD70000"/>
    <w:embedRegular r:id="rId9" w:fontKey="{09FF2CD8-9F70-4796-93BC-AE10130679E3}"/>
  </w:font>
  <w:font w:name="Wingdings 2">
    <w:panose1 w:val="05020102010507070707"/>
    <w:charset w:val="02"/>
    <w:family w:val="roman"/>
    <w:pitch w:val="default"/>
    <w:sig w:usb0="00000000" w:usb1="00000000" w:usb2="00000000" w:usb3="00000000" w:csb0="80000000" w:csb1="00000000"/>
    <w:embedRegular r:id="rId10" w:fontKey="{AF42D64A-BBAB-42CF-9EBE-4ECA1F9C112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8"/>
      </w:rPr>
    </w:pPr>
    <w:r>
      <w:fldChar w:fldCharType="begin"/>
    </w:r>
    <w:r>
      <w:rPr>
        <w:rStyle w:val="38"/>
      </w:rPr>
      <w:instrText xml:space="preserve">PAGE  </w:instrText>
    </w:r>
    <w:r>
      <w:fldChar w:fldCharType="separate"/>
    </w:r>
    <w:r>
      <w:rPr>
        <w:rStyle w:val="38"/>
      </w:rPr>
      <w:t>3</w: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30</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FBBF3F"/>
    <w:multiLevelType w:val="singleLevel"/>
    <w:tmpl w:val="EDFBBF3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mZjJjM2FhZTdkMzEyYmQ5OTA5ZmUwYTk4N2QwNzIifQ=="/>
  </w:docVars>
  <w:rsids>
    <w:rsidRoot w:val="000A7A5D"/>
    <w:rsid w:val="00007ACB"/>
    <w:rsid w:val="00012A8A"/>
    <w:rsid w:val="0001526D"/>
    <w:rsid w:val="00030022"/>
    <w:rsid w:val="00034A96"/>
    <w:rsid w:val="00036CEA"/>
    <w:rsid w:val="000406AE"/>
    <w:rsid w:val="000550D3"/>
    <w:rsid w:val="000675C4"/>
    <w:rsid w:val="00087C36"/>
    <w:rsid w:val="000A747F"/>
    <w:rsid w:val="000A7A5D"/>
    <w:rsid w:val="000D17D4"/>
    <w:rsid w:val="000F1A8A"/>
    <w:rsid w:val="000F4BA6"/>
    <w:rsid w:val="000F6185"/>
    <w:rsid w:val="001005AC"/>
    <w:rsid w:val="00110819"/>
    <w:rsid w:val="001113A1"/>
    <w:rsid w:val="00142D14"/>
    <w:rsid w:val="001570B4"/>
    <w:rsid w:val="00165FB7"/>
    <w:rsid w:val="00171A6F"/>
    <w:rsid w:val="001733FC"/>
    <w:rsid w:val="0017412F"/>
    <w:rsid w:val="00182732"/>
    <w:rsid w:val="001929FC"/>
    <w:rsid w:val="00194B7E"/>
    <w:rsid w:val="001A07B7"/>
    <w:rsid w:val="001B286F"/>
    <w:rsid w:val="001C5404"/>
    <w:rsid w:val="001D3262"/>
    <w:rsid w:val="001E5E73"/>
    <w:rsid w:val="001E74ED"/>
    <w:rsid w:val="001F0CB5"/>
    <w:rsid w:val="00227C34"/>
    <w:rsid w:val="00234BA6"/>
    <w:rsid w:val="00267AE5"/>
    <w:rsid w:val="002D5104"/>
    <w:rsid w:val="002E06BC"/>
    <w:rsid w:val="002E1CDE"/>
    <w:rsid w:val="002F59E8"/>
    <w:rsid w:val="002F674B"/>
    <w:rsid w:val="00305A4E"/>
    <w:rsid w:val="00315E26"/>
    <w:rsid w:val="00317C89"/>
    <w:rsid w:val="00333738"/>
    <w:rsid w:val="003540D3"/>
    <w:rsid w:val="00376A9D"/>
    <w:rsid w:val="003831AD"/>
    <w:rsid w:val="003D3A77"/>
    <w:rsid w:val="0044013F"/>
    <w:rsid w:val="004542FD"/>
    <w:rsid w:val="00456A8C"/>
    <w:rsid w:val="004605B8"/>
    <w:rsid w:val="00460CD4"/>
    <w:rsid w:val="00464055"/>
    <w:rsid w:val="004743B6"/>
    <w:rsid w:val="00484B29"/>
    <w:rsid w:val="00486C33"/>
    <w:rsid w:val="004C547F"/>
    <w:rsid w:val="004E070F"/>
    <w:rsid w:val="004E2CBC"/>
    <w:rsid w:val="005006F9"/>
    <w:rsid w:val="00511B04"/>
    <w:rsid w:val="005171D8"/>
    <w:rsid w:val="00526EEB"/>
    <w:rsid w:val="00527426"/>
    <w:rsid w:val="005437A9"/>
    <w:rsid w:val="005442BD"/>
    <w:rsid w:val="00556430"/>
    <w:rsid w:val="005877A1"/>
    <w:rsid w:val="005C746D"/>
    <w:rsid w:val="005D1C95"/>
    <w:rsid w:val="005E5CBF"/>
    <w:rsid w:val="006364E2"/>
    <w:rsid w:val="00636C79"/>
    <w:rsid w:val="00656795"/>
    <w:rsid w:val="00662DB0"/>
    <w:rsid w:val="00673E0F"/>
    <w:rsid w:val="006760A9"/>
    <w:rsid w:val="006B36C7"/>
    <w:rsid w:val="006B6528"/>
    <w:rsid w:val="00714C36"/>
    <w:rsid w:val="00720B86"/>
    <w:rsid w:val="007230FB"/>
    <w:rsid w:val="00771299"/>
    <w:rsid w:val="007B7267"/>
    <w:rsid w:val="007C02A6"/>
    <w:rsid w:val="007C59A5"/>
    <w:rsid w:val="007D543E"/>
    <w:rsid w:val="007E1CD1"/>
    <w:rsid w:val="007E360D"/>
    <w:rsid w:val="007E4A4F"/>
    <w:rsid w:val="007F509B"/>
    <w:rsid w:val="00817080"/>
    <w:rsid w:val="00821A04"/>
    <w:rsid w:val="00840EB5"/>
    <w:rsid w:val="00854B2C"/>
    <w:rsid w:val="00892F8C"/>
    <w:rsid w:val="00895A07"/>
    <w:rsid w:val="008B62CE"/>
    <w:rsid w:val="008C3F02"/>
    <w:rsid w:val="008D5C06"/>
    <w:rsid w:val="009015AC"/>
    <w:rsid w:val="009258CE"/>
    <w:rsid w:val="009320F7"/>
    <w:rsid w:val="00933AFD"/>
    <w:rsid w:val="00934793"/>
    <w:rsid w:val="00981F17"/>
    <w:rsid w:val="00983EB8"/>
    <w:rsid w:val="00996AB6"/>
    <w:rsid w:val="009B26E1"/>
    <w:rsid w:val="009B78C0"/>
    <w:rsid w:val="009C728C"/>
    <w:rsid w:val="009D0FB4"/>
    <w:rsid w:val="009E016D"/>
    <w:rsid w:val="009F7EEB"/>
    <w:rsid w:val="00A53704"/>
    <w:rsid w:val="00A73CD3"/>
    <w:rsid w:val="00A84089"/>
    <w:rsid w:val="00A911AC"/>
    <w:rsid w:val="00A91E23"/>
    <w:rsid w:val="00A97531"/>
    <w:rsid w:val="00AA1588"/>
    <w:rsid w:val="00AA1C41"/>
    <w:rsid w:val="00AC2719"/>
    <w:rsid w:val="00AC30DB"/>
    <w:rsid w:val="00AC4A6D"/>
    <w:rsid w:val="00AD2494"/>
    <w:rsid w:val="00AD349B"/>
    <w:rsid w:val="00AE06D6"/>
    <w:rsid w:val="00AE1F0E"/>
    <w:rsid w:val="00AE2D19"/>
    <w:rsid w:val="00AE3CE7"/>
    <w:rsid w:val="00B07885"/>
    <w:rsid w:val="00B115B0"/>
    <w:rsid w:val="00B12261"/>
    <w:rsid w:val="00B34C99"/>
    <w:rsid w:val="00B41D34"/>
    <w:rsid w:val="00B6572C"/>
    <w:rsid w:val="00B75A28"/>
    <w:rsid w:val="00B96C90"/>
    <w:rsid w:val="00BF550B"/>
    <w:rsid w:val="00C73021"/>
    <w:rsid w:val="00C85798"/>
    <w:rsid w:val="00C90DDB"/>
    <w:rsid w:val="00C93590"/>
    <w:rsid w:val="00CB7E7E"/>
    <w:rsid w:val="00CD268B"/>
    <w:rsid w:val="00CD2872"/>
    <w:rsid w:val="00CD5A9C"/>
    <w:rsid w:val="00CE60F4"/>
    <w:rsid w:val="00CF02E5"/>
    <w:rsid w:val="00D306AE"/>
    <w:rsid w:val="00D45984"/>
    <w:rsid w:val="00D63920"/>
    <w:rsid w:val="00D642BC"/>
    <w:rsid w:val="00D710F1"/>
    <w:rsid w:val="00D72907"/>
    <w:rsid w:val="00D81DE5"/>
    <w:rsid w:val="00D832B2"/>
    <w:rsid w:val="00D9527C"/>
    <w:rsid w:val="00DC0E1C"/>
    <w:rsid w:val="00DC695A"/>
    <w:rsid w:val="00DD056A"/>
    <w:rsid w:val="00DE1525"/>
    <w:rsid w:val="00E001F7"/>
    <w:rsid w:val="00E06979"/>
    <w:rsid w:val="00E23FDC"/>
    <w:rsid w:val="00E30517"/>
    <w:rsid w:val="00E43D49"/>
    <w:rsid w:val="00E4423D"/>
    <w:rsid w:val="00E51F18"/>
    <w:rsid w:val="00E55AB3"/>
    <w:rsid w:val="00E566B4"/>
    <w:rsid w:val="00E608AE"/>
    <w:rsid w:val="00E62084"/>
    <w:rsid w:val="00E66C94"/>
    <w:rsid w:val="00E67D36"/>
    <w:rsid w:val="00E90ECF"/>
    <w:rsid w:val="00EB652F"/>
    <w:rsid w:val="00EC40FC"/>
    <w:rsid w:val="00EF1A46"/>
    <w:rsid w:val="00F51CD2"/>
    <w:rsid w:val="00F573D1"/>
    <w:rsid w:val="00FA7DE0"/>
    <w:rsid w:val="00FC6516"/>
    <w:rsid w:val="00FD319D"/>
    <w:rsid w:val="00FF0370"/>
    <w:rsid w:val="00FF2468"/>
    <w:rsid w:val="00FF46E5"/>
    <w:rsid w:val="00FF5560"/>
    <w:rsid w:val="016132E9"/>
    <w:rsid w:val="01933794"/>
    <w:rsid w:val="01974ABF"/>
    <w:rsid w:val="01F561BC"/>
    <w:rsid w:val="01F82835"/>
    <w:rsid w:val="02247ACE"/>
    <w:rsid w:val="023B6BC5"/>
    <w:rsid w:val="0260223F"/>
    <w:rsid w:val="0302761A"/>
    <w:rsid w:val="034C2738"/>
    <w:rsid w:val="037153A5"/>
    <w:rsid w:val="03DD7F34"/>
    <w:rsid w:val="04191125"/>
    <w:rsid w:val="04700DA8"/>
    <w:rsid w:val="04C46E30"/>
    <w:rsid w:val="055E48FF"/>
    <w:rsid w:val="05D830A9"/>
    <w:rsid w:val="06353220"/>
    <w:rsid w:val="0661309E"/>
    <w:rsid w:val="069E609C"/>
    <w:rsid w:val="06A0349B"/>
    <w:rsid w:val="06C569FA"/>
    <w:rsid w:val="06C764CB"/>
    <w:rsid w:val="06D67D46"/>
    <w:rsid w:val="07D860C3"/>
    <w:rsid w:val="089B03BE"/>
    <w:rsid w:val="08B831AD"/>
    <w:rsid w:val="08BF22FE"/>
    <w:rsid w:val="08E729FB"/>
    <w:rsid w:val="08FD1E97"/>
    <w:rsid w:val="093C0C24"/>
    <w:rsid w:val="09CC25EC"/>
    <w:rsid w:val="09F22725"/>
    <w:rsid w:val="0A8F399C"/>
    <w:rsid w:val="0ABC321E"/>
    <w:rsid w:val="0B6A5FE3"/>
    <w:rsid w:val="0BBF36E8"/>
    <w:rsid w:val="0BD641F6"/>
    <w:rsid w:val="0C1E00BB"/>
    <w:rsid w:val="0C2C7CAB"/>
    <w:rsid w:val="0C8F3D96"/>
    <w:rsid w:val="0CBE297A"/>
    <w:rsid w:val="0CCB222E"/>
    <w:rsid w:val="0CDB347F"/>
    <w:rsid w:val="0CEF2A86"/>
    <w:rsid w:val="0D4154E5"/>
    <w:rsid w:val="0D447CF4"/>
    <w:rsid w:val="0E19425F"/>
    <w:rsid w:val="0E796AAB"/>
    <w:rsid w:val="0EB21EF7"/>
    <w:rsid w:val="0EDB1768"/>
    <w:rsid w:val="0F4E1CE6"/>
    <w:rsid w:val="0F823522"/>
    <w:rsid w:val="0F872677"/>
    <w:rsid w:val="0F8C435C"/>
    <w:rsid w:val="0F9718DF"/>
    <w:rsid w:val="103C6E2A"/>
    <w:rsid w:val="10FE2C78"/>
    <w:rsid w:val="113E5D8A"/>
    <w:rsid w:val="116457F1"/>
    <w:rsid w:val="11EC3A38"/>
    <w:rsid w:val="11EE155E"/>
    <w:rsid w:val="120A31DF"/>
    <w:rsid w:val="138959E3"/>
    <w:rsid w:val="138C1165"/>
    <w:rsid w:val="142E20E6"/>
    <w:rsid w:val="14382F65"/>
    <w:rsid w:val="146E5D7A"/>
    <w:rsid w:val="14CE7001"/>
    <w:rsid w:val="15204352"/>
    <w:rsid w:val="1525798D"/>
    <w:rsid w:val="154C6CC8"/>
    <w:rsid w:val="15785BB6"/>
    <w:rsid w:val="15981F0D"/>
    <w:rsid w:val="15C106A6"/>
    <w:rsid w:val="15DA2525"/>
    <w:rsid w:val="164400B1"/>
    <w:rsid w:val="167D7355"/>
    <w:rsid w:val="16C77EC8"/>
    <w:rsid w:val="1711641B"/>
    <w:rsid w:val="17DF2075"/>
    <w:rsid w:val="18652FC2"/>
    <w:rsid w:val="190C374D"/>
    <w:rsid w:val="1997614B"/>
    <w:rsid w:val="19E82D37"/>
    <w:rsid w:val="1AD5087B"/>
    <w:rsid w:val="1B2B4BC8"/>
    <w:rsid w:val="1B684130"/>
    <w:rsid w:val="1BAE3446"/>
    <w:rsid w:val="1C1E6EE4"/>
    <w:rsid w:val="1C22061E"/>
    <w:rsid w:val="1C6709D1"/>
    <w:rsid w:val="1CF46060"/>
    <w:rsid w:val="1D535E69"/>
    <w:rsid w:val="1D736B1A"/>
    <w:rsid w:val="1D7D279D"/>
    <w:rsid w:val="1DC51D0D"/>
    <w:rsid w:val="1DD64B1F"/>
    <w:rsid w:val="1DE9717E"/>
    <w:rsid w:val="1E390005"/>
    <w:rsid w:val="1E4C7D38"/>
    <w:rsid w:val="1EBF675C"/>
    <w:rsid w:val="1EC979AB"/>
    <w:rsid w:val="1FA63478"/>
    <w:rsid w:val="1FB00FD3"/>
    <w:rsid w:val="2005729C"/>
    <w:rsid w:val="202331F2"/>
    <w:rsid w:val="209F0638"/>
    <w:rsid w:val="20A43E5C"/>
    <w:rsid w:val="21997692"/>
    <w:rsid w:val="21F726B1"/>
    <w:rsid w:val="22317971"/>
    <w:rsid w:val="22376720"/>
    <w:rsid w:val="22592A24"/>
    <w:rsid w:val="22B11BD1"/>
    <w:rsid w:val="22DD3655"/>
    <w:rsid w:val="22F17100"/>
    <w:rsid w:val="22F547E2"/>
    <w:rsid w:val="230E6BB3"/>
    <w:rsid w:val="232B4D3A"/>
    <w:rsid w:val="238B30B1"/>
    <w:rsid w:val="24A77D63"/>
    <w:rsid w:val="24DE36B4"/>
    <w:rsid w:val="250E5D48"/>
    <w:rsid w:val="25432192"/>
    <w:rsid w:val="25A20B86"/>
    <w:rsid w:val="25A42208"/>
    <w:rsid w:val="25DE2164"/>
    <w:rsid w:val="265A5642"/>
    <w:rsid w:val="2695151C"/>
    <w:rsid w:val="26E2748C"/>
    <w:rsid w:val="272555CB"/>
    <w:rsid w:val="273852FE"/>
    <w:rsid w:val="274E2D73"/>
    <w:rsid w:val="2811796B"/>
    <w:rsid w:val="285D0AB8"/>
    <w:rsid w:val="28A47E0D"/>
    <w:rsid w:val="28F214DC"/>
    <w:rsid w:val="293F0351"/>
    <w:rsid w:val="294206B6"/>
    <w:rsid w:val="2944518B"/>
    <w:rsid w:val="29542197"/>
    <w:rsid w:val="29915199"/>
    <w:rsid w:val="29E96D83"/>
    <w:rsid w:val="2A050A91"/>
    <w:rsid w:val="2A355B25"/>
    <w:rsid w:val="2B120926"/>
    <w:rsid w:val="2B5041D5"/>
    <w:rsid w:val="2BAD49B2"/>
    <w:rsid w:val="2BC12F42"/>
    <w:rsid w:val="2CC57880"/>
    <w:rsid w:val="2CEF3993"/>
    <w:rsid w:val="2D486799"/>
    <w:rsid w:val="2D4F2943"/>
    <w:rsid w:val="2DB91AFF"/>
    <w:rsid w:val="2E0E500A"/>
    <w:rsid w:val="2E1A39AF"/>
    <w:rsid w:val="2EEB0EA8"/>
    <w:rsid w:val="2EFB1A79"/>
    <w:rsid w:val="2F056713"/>
    <w:rsid w:val="2F5C1DA5"/>
    <w:rsid w:val="2F633134"/>
    <w:rsid w:val="2F967065"/>
    <w:rsid w:val="2FE808CB"/>
    <w:rsid w:val="30843362"/>
    <w:rsid w:val="30BA4FD6"/>
    <w:rsid w:val="30C776F3"/>
    <w:rsid w:val="31191585"/>
    <w:rsid w:val="318C3417"/>
    <w:rsid w:val="31C0661C"/>
    <w:rsid w:val="31CC4FC0"/>
    <w:rsid w:val="320E1ED6"/>
    <w:rsid w:val="322D17D7"/>
    <w:rsid w:val="327C4B93"/>
    <w:rsid w:val="33995376"/>
    <w:rsid w:val="33C5616B"/>
    <w:rsid w:val="34180991"/>
    <w:rsid w:val="355E204D"/>
    <w:rsid w:val="361955AD"/>
    <w:rsid w:val="36537432"/>
    <w:rsid w:val="37704640"/>
    <w:rsid w:val="377132C4"/>
    <w:rsid w:val="38BC4CF6"/>
    <w:rsid w:val="39180BBD"/>
    <w:rsid w:val="39316051"/>
    <w:rsid w:val="393D49F6"/>
    <w:rsid w:val="39D55219"/>
    <w:rsid w:val="3A742699"/>
    <w:rsid w:val="3BC1546A"/>
    <w:rsid w:val="3BD64365"/>
    <w:rsid w:val="3BD86C58"/>
    <w:rsid w:val="3C443F96"/>
    <w:rsid w:val="3C552351"/>
    <w:rsid w:val="3D337994"/>
    <w:rsid w:val="3D3B2EB9"/>
    <w:rsid w:val="3DD12550"/>
    <w:rsid w:val="3EA130E8"/>
    <w:rsid w:val="3EF772C1"/>
    <w:rsid w:val="3F3E5024"/>
    <w:rsid w:val="40251D40"/>
    <w:rsid w:val="409969B6"/>
    <w:rsid w:val="41486D74"/>
    <w:rsid w:val="41A575DC"/>
    <w:rsid w:val="42CD6DEA"/>
    <w:rsid w:val="43085B72"/>
    <w:rsid w:val="432E715D"/>
    <w:rsid w:val="43943464"/>
    <w:rsid w:val="439F77F0"/>
    <w:rsid w:val="43B14016"/>
    <w:rsid w:val="441A0C25"/>
    <w:rsid w:val="44786A70"/>
    <w:rsid w:val="448B4867"/>
    <w:rsid w:val="44953BDE"/>
    <w:rsid w:val="451219DF"/>
    <w:rsid w:val="45717F01"/>
    <w:rsid w:val="461E495F"/>
    <w:rsid w:val="46686C31"/>
    <w:rsid w:val="46AA4F0A"/>
    <w:rsid w:val="475D7EB0"/>
    <w:rsid w:val="47A619B8"/>
    <w:rsid w:val="484E7890"/>
    <w:rsid w:val="488717E9"/>
    <w:rsid w:val="489C25DE"/>
    <w:rsid w:val="49155047"/>
    <w:rsid w:val="495A00DF"/>
    <w:rsid w:val="49E54A1A"/>
    <w:rsid w:val="4A77763C"/>
    <w:rsid w:val="4B094738"/>
    <w:rsid w:val="4B1B4B2B"/>
    <w:rsid w:val="4B4B6A4C"/>
    <w:rsid w:val="4B726781"/>
    <w:rsid w:val="4BAF1783"/>
    <w:rsid w:val="4BFE5621"/>
    <w:rsid w:val="4C021719"/>
    <w:rsid w:val="4C4D4AF8"/>
    <w:rsid w:val="4C52210E"/>
    <w:rsid w:val="4D2F0C73"/>
    <w:rsid w:val="4D636650"/>
    <w:rsid w:val="4DD03C33"/>
    <w:rsid w:val="4E294664"/>
    <w:rsid w:val="4E74636C"/>
    <w:rsid w:val="4EDF659D"/>
    <w:rsid w:val="4F0C47F7"/>
    <w:rsid w:val="4F5456F7"/>
    <w:rsid w:val="4FEC63D6"/>
    <w:rsid w:val="50574928"/>
    <w:rsid w:val="508B7505"/>
    <w:rsid w:val="50D44FE1"/>
    <w:rsid w:val="50DE2E0E"/>
    <w:rsid w:val="50EB3587"/>
    <w:rsid w:val="51AC005A"/>
    <w:rsid w:val="523E73BD"/>
    <w:rsid w:val="5252180B"/>
    <w:rsid w:val="528960E0"/>
    <w:rsid w:val="52A31916"/>
    <w:rsid w:val="52CA7648"/>
    <w:rsid w:val="53F005F3"/>
    <w:rsid w:val="53FA05E5"/>
    <w:rsid w:val="54B54DB2"/>
    <w:rsid w:val="54F613CB"/>
    <w:rsid w:val="551C0B8D"/>
    <w:rsid w:val="55910141"/>
    <w:rsid w:val="56133B1A"/>
    <w:rsid w:val="561A1EEF"/>
    <w:rsid w:val="564068C9"/>
    <w:rsid w:val="56777341"/>
    <w:rsid w:val="56C149B2"/>
    <w:rsid w:val="5708799A"/>
    <w:rsid w:val="5727290A"/>
    <w:rsid w:val="57923D07"/>
    <w:rsid w:val="581F20D1"/>
    <w:rsid w:val="588A1C09"/>
    <w:rsid w:val="58CD7EEF"/>
    <w:rsid w:val="59341153"/>
    <w:rsid w:val="597875FA"/>
    <w:rsid w:val="598F1CE4"/>
    <w:rsid w:val="5A201A9E"/>
    <w:rsid w:val="5A352E70"/>
    <w:rsid w:val="5A405C9C"/>
    <w:rsid w:val="5B705B38"/>
    <w:rsid w:val="5BF57A15"/>
    <w:rsid w:val="5CE04EC1"/>
    <w:rsid w:val="5D755FDB"/>
    <w:rsid w:val="5E14191A"/>
    <w:rsid w:val="5E273BD8"/>
    <w:rsid w:val="5E443FAD"/>
    <w:rsid w:val="5E7056F4"/>
    <w:rsid w:val="5F180F96"/>
    <w:rsid w:val="5F300033"/>
    <w:rsid w:val="602D6CC3"/>
    <w:rsid w:val="60BB42CE"/>
    <w:rsid w:val="615838CB"/>
    <w:rsid w:val="617701F5"/>
    <w:rsid w:val="619605C3"/>
    <w:rsid w:val="622B0FE0"/>
    <w:rsid w:val="622D7C9B"/>
    <w:rsid w:val="62652744"/>
    <w:rsid w:val="62830E1C"/>
    <w:rsid w:val="62FF0985"/>
    <w:rsid w:val="633F11E7"/>
    <w:rsid w:val="637864A7"/>
    <w:rsid w:val="637F38AA"/>
    <w:rsid w:val="63A97FAA"/>
    <w:rsid w:val="641A755E"/>
    <w:rsid w:val="65247369"/>
    <w:rsid w:val="654323A1"/>
    <w:rsid w:val="657F1D6E"/>
    <w:rsid w:val="658D008F"/>
    <w:rsid w:val="65AE7F5E"/>
    <w:rsid w:val="660D737A"/>
    <w:rsid w:val="661C009D"/>
    <w:rsid w:val="662A0BAB"/>
    <w:rsid w:val="663743F7"/>
    <w:rsid w:val="66384FBC"/>
    <w:rsid w:val="667831EA"/>
    <w:rsid w:val="67116FE8"/>
    <w:rsid w:val="68906593"/>
    <w:rsid w:val="68F22857"/>
    <w:rsid w:val="68FE11FC"/>
    <w:rsid w:val="693E30FD"/>
    <w:rsid w:val="6958125A"/>
    <w:rsid w:val="695928D6"/>
    <w:rsid w:val="695F1631"/>
    <w:rsid w:val="6AFC79BD"/>
    <w:rsid w:val="6B014FD4"/>
    <w:rsid w:val="6B282560"/>
    <w:rsid w:val="6BA7650F"/>
    <w:rsid w:val="6C8F052B"/>
    <w:rsid w:val="6CA81CC8"/>
    <w:rsid w:val="6CD91843"/>
    <w:rsid w:val="6CE836F6"/>
    <w:rsid w:val="6CEB5EC5"/>
    <w:rsid w:val="6D181632"/>
    <w:rsid w:val="6D454C6D"/>
    <w:rsid w:val="6E1C23EB"/>
    <w:rsid w:val="6F04416F"/>
    <w:rsid w:val="6F7B7179"/>
    <w:rsid w:val="6FD32B3E"/>
    <w:rsid w:val="70AB3A18"/>
    <w:rsid w:val="70EE17EC"/>
    <w:rsid w:val="70F31EEC"/>
    <w:rsid w:val="716B7192"/>
    <w:rsid w:val="71752277"/>
    <w:rsid w:val="71A62431"/>
    <w:rsid w:val="71F72C8D"/>
    <w:rsid w:val="72227D09"/>
    <w:rsid w:val="72AB6D5F"/>
    <w:rsid w:val="73106A42"/>
    <w:rsid w:val="731335EB"/>
    <w:rsid w:val="732B0626"/>
    <w:rsid w:val="73697BBA"/>
    <w:rsid w:val="73CF427B"/>
    <w:rsid w:val="73E83E9C"/>
    <w:rsid w:val="74011985"/>
    <w:rsid w:val="752C182C"/>
    <w:rsid w:val="754A0851"/>
    <w:rsid w:val="75C17839"/>
    <w:rsid w:val="75F53987"/>
    <w:rsid w:val="75FB593A"/>
    <w:rsid w:val="764C403B"/>
    <w:rsid w:val="76692017"/>
    <w:rsid w:val="77071BC4"/>
    <w:rsid w:val="77B8537C"/>
    <w:rsid w:val="77FA7033"/>
    <w:rsid w:val="782F3180"/>
    <w:rsid w:val="78430C15"/>
    <w:rsid w:val="78516F03"/>
    <w:rsid w:val="78ED7920"/>
    <w:rsid w:val="797A52CB"/>
    <w:rsid w:val="79B220BA"/>
    <w:rsid w:val="7A0966A3"/>
    <w:rsid w:val="7A5E63FB"/>
    <w:rsid w:val="7A990817"/>
    <w:rsid w:val="7A9C0DCE"/>
    <w:rsid w:val="7AE1082E"/>
    <w:rsid w:val="7B9A6B62"/>
    <w:rsid w:val="7BDD1C51"/>
    <w:rsid w:val="7C350FFF"/>
    <w:rsid w:val="7C9712F4"/>
    <w:rsid w:val="7D0C4ED0"/>
    <w:rsid w:val="7D100E3A"/>
    <w:rsid w:val="7D513693"/>
    <w:rsid w:val="7D545437"/>
    <w:rsid w:val="7D832C3E"/>
    <w:rsid w:val="7DC974CD"/>
    <w:rsid w:val="7E73570C"/>
    <w:rsid w:val="7F0C5FC9"/>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7"/>
    <w:qFormat/>
    <w:uiPriority w:val="0"/>
    <w:pPr>
      <w:keepNext/>
      <w:keepLines/>
      <w:spacing w:before="200" w:after="200"/>
      <w:jc w:val="left"/>
      <w:outlineLvl w:val="1"/>
    </w:pPr>
    <w:rPr>
      <w:b/>
      <w:bCs/>
      <w:sz w:val="32"/>
      <w:szCs w:val="32"/>
    </w:rPr>
  </w:style>
  <w:style w:type="paragraph" w:styleId="5">
    <w:name w:val="heading 3"/>
    <w:basedOn w:val="1"/>
    <w:next w:val="1"/>
    <w:link w:val="48"/>
    <w:qFormat/>
    <w:uiPriority w:val="0"/>
    <w:pPr>
      <w:keepNext/>
      <w:keepLines/>
      <w:spacing w:before="260" w:after="260" w:line="416" w:lineRule="auto"/>
      <w:outlineLvl w:val="2"/>
    </w:pPr>
    <w:rPr>
      <w:b/>
      <w:bCs/>
      <w:sz w:val="32"/>
      <w:szCs w:val="32"/>
    </w:rPr>
  </w:style>
  <w:style w:type="paragraph" w:styleId="6">
    <w:name w:val="heading 4"/>
    <w:basedOn w:val="1"/>
    <w:next w:val="1"/>
    <w:link w:val="49"/>
    <w:qFormat/>
    <w:uiPriority w:val="9"/>
    <w:pPr>
      <w:keepNext/>
      <w:keepLines/>
      <w:spacing w:after="120"/>
      <w:jc w:val="left"/>
      <w:outlineLvl w:val="3"/>
    </w:pPr>
    <w:rPr>
      <w:rFonts w:eastAsia="黑体"/>
      <w:b/>
      <w:sz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semiHidden/>
    <w:qFormat/>
    <w:uiPriority w:val="0"/>
    <w:pPr>
      <w:ind w:left="210"/>
      <w:jc w:val="left"/>
    </w:pPr>
    <w:rPr>
      <w:smallCaps/>
      <w:sz w:val="20"/>
      <w:szCs w:val="20"/>
    </w:rPr>
  </w:style>
  <w:style w:type="paragraph" w:styleId="7">
    <w:name w:val="Normal Indent"/>
    <w:basedOn w:val="1"/>
    <w:next w:val="8"/>
    <w:qFormat/>
    <w:uiPriority w:val="0"/>
    <w:pPr>
      <w:ind w:firstLine="420"/>
    </w:pPr>
    <w:rPr>
      <w:rFonts w:eastAsia="FangSong_GB2312"/>
    </w:rPr>
  </w:style>
  <w:style w:type="paragraph" w:styleId="8">
    <w:name w:val="toc 1"/>
    <w:basedOn w:val="1"/>
    <w:next w:val="1"/>
    <w:qFormat/>
    <w:uiPriority w:val="39"/>
  </w:style>
  <w:style w:type="paragraph" w:styleId="9">
    <w:name w:val="caption"/>
    <w:basedOn w:val="1"/>
    <w:next w:val="1"/>
    <w:qFormat/>
    <w:uiPriority w:val="0"/>
    <w:pPr>
      <w:keepNext/>
      <w:snapToGrid w:val="0"/>
      <w:jc w:val="center"/>
    </w:pPr>
    <w:rPr>
      <w:rFonts w:hAnsi="宋体" w:cs="Arial"/>
    </w:rPr>
  </w:style>
  <w:style w:type="paragraph" w:styleId="10">
    <w:name w:val="Document Map"/>
    <w:basedOn w:val="1"/>
    <w:next w:val="11"/>
    <w:link w:val="53"/>
    <w:semiHidden/>
    <w:qFormat/>
    <w:uiPriority w:val="0"/>
    <w:pPr>
      <w:spacing w:line="520" w:lineRule="exact"/>
      <w:ind w:firstLine="880" w:firstLineChars="200"/>
    </w:pPr>
    <w:rPr>
      <w:rFonts w:cs="FangSong_GB2312"/>
      <w:sz w:val="18"/>
      <w:szCs w:val="18"/>
    </w:rPr>
  </w:style>
  <w:style w:type="paragraph" w:styleId="11">
    <w:name w:val="Body Text 3"/>
    <w:basedOn w:val="1"/>
    <w:next w:val="12"/>
    <w:link w:val="54"/>
    <w:qFormat/>
    <w:uiPriority w:val="0"/>
    <w:pPr>
      <w:ind w:firstLine="3584"/>
    </w:pPr>
  </w:style>
  <w:style w:type="paragraph" w:styleId="12">
    <w:name w:val="Body Text Indent"/>
    <w:basedOn w:val="1"/>
    <w:next w:val="13"/>
    <w:link w:val="51"/>
    <w:unhideWhenUsed/>
    <w:qFormat/>
    <w:uiPriority w:val="0"/>
    <w:pPr>
      <w:spacing w:after="120"/>
      <w:ind w:left="420" w:leftChars="200"/>
    </w:pPr>
  </w:style>
  <w:style w:type="paragraph" w:styleId="13">
    <w:name w:val="header"/>
    <w:basedOn w:val="1"/>
    <w:next w:val="14"/>
    <w:link w:val="5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4">
    <w:name w:val="样式5"/>
    <w:basedOn w:val="7"/>
    <w:qFormat/>
    <w:uiPriority w:val="0"/>
    <w:pPr>
      <w:spacing w:line="380" w:lineRule="exact"/>
      <w:ind w:firstLine="566" w:firstLineChars="202"/>
    </w:pPr>
    <w:rPr>
      <w:rFonts w:eastAsia="华文行楷"/>
    </w:rPr>
  </w:style>
  <w:style w:type="paragraph" w:styleId="15">
    <w:name w:val="annotation text"/>
    <w:basedOn w:val="1"/>
    <w:link w:val="55"/>
    <w:semiHidden/>
    <w:qFormat/>
    <w:uiPriority w:val="0"/>
    <w:pPr>
      <w:jc w:val="left"/>
    </w:pPr>
    <w:rPr>
      <w:kern w:val="0"/>
      <w:sz w:val="24"/>
      <w:szCs w:val="20"/>
    </w:rPr>
  </w:style>
  <w:style w:type="paragraph" w:styleId="16">
    <w:name w:val="Salutation"/>
    <w:basedOn w:val="1"/>
    <w:next w:val="1"/>
    <w:link w:val="56"/>
    <w:qFormat/>
    <w:uiPriority w:val="0"/>
  </w:style>
  <w:style w:type="paragraph" w:styleId="17">
    <w:name w:val="Body Text"/>
    <w:basedOn w:val="1"/>
    <w:next w:val="1"/>
    <w:link w:val="59"/>
    <w:qFormat/>
    <w:uiPriority w:val="0"/>
    <w:pPr>
      <w:widowControl/>
      <w:snapToGrid w:val="0"/>
      <w:spacing w:before="60" w:after="160" w:line="259" w:lineRule="auto"/>
      <w:ind w:right="113"/>
    </w:pPr>
    <w:rPr>
      <w:kern w:val="0"/>
      <w:sz w:val="18"/>
      <w:szCs w:val="20"/>
    </w:rPr>
  </w:style>
  <w:style w:type="paragraph" w:styleId="18">
    <w:name w:val="toc 3"/>
    <w:basedOn w:val="1"/>
    <w:next w:val="1"/>
    <w:semiHidden/>
    <w:unhideWhenUsed/>
    <w:qFormat/>
    <w:uiPriority w:val="39"/>
    <w:pPr>
      <w:ind w:left="840" w:leftChars="400"/>
    </w:pPr>
  </w:style>
  <w:style w:type="paragraph" w:styleId="19">
    <w:name w:val="Plain Text"/>
    <w:basedOn w:val="1"/>
    <w:next w:val="16"/>
    <w:link w:val="60"/>
    <w:qFormat/>
    <w:uiPriority w:val="0"/>
    <w:pPr>
      <w:jc w:val="center"/>
    </w:pPr>
    <w:rPr>
      <w:color w:val="000000" w:themeColor="text1"/>
      <w:kern w:val="0"/>
      <w:szCs w:val="21"/>
      <w14:textFill>
        <w14:solidFill>
          <w14:schemeClr w14:val="tx1"/>
        </w14:solidFill>
      </w14:textFill>
    </w:rPr>
  </w:style>
  <w:style w:type="paragraph" w:styleId="20">
    <w:name w:val="Date"/>
    <w:basedOn w:val="1"/>
    <w:next w:val="1"/>
    <w:link w:val="61"/>
    <w:qFormat/>
    <w:uiPriority w:val="0"/>
    <w:pPr>
      <w:ind w:left="100" w:leftChars="2500"/>
    </w:pPr>
    <w:rPr>
      <w:kern w:val="0"/>
      <w:sz w:val="24"/>
      <w:szCs w:val="20"/>
    </w:rPr>
  </w:style>
  <w:style w:type="paragraph" w:styleId="21">
    <w:name w:val="Body Text Indent 2"/>
    <w:basedOn w:val="1"/>
    <w:link w:val="62"/>
    <w:qFormat/>
    <w:uiPriority w:val="0"/>
    <w:pPr>
      <w:spacing w:after="120" w:line="480" w:lineRule="auto"/>
      <w:ind w:left="420" w:leftChars="200"/>
    </w:pPr>
  </w:style>
  <w:style w:type="paragraph" w:styleId="22">
    <w:name w:val="Balloon Text"/>
    <w:basedOn w:val="1"/>
    <w:link w:val="63"/>
    <w:semiHidden/>
    <w:qFormat/>
    <w:uiPriority w:val="0"/>
    <w:rPr>
      <w:kern w:val="0"/>
      <w:sz w:val="18"/>
      <w:szCs w:val="20"/>
    </w:rPr>
  </w:style>
  <w:style w:type="paragraph" w:styleId="23">
    <w:name w:val="footer"/>
    <w:basedOn w:val="1"/>
    <w:next w:val="1"/>
    <w:link w:val="64"/>
    <w:qFormat/>
    <w:uiPriority w:val="0"/>
    <w:pPr>
      <w:tabs>
        <w:tab w:val="center" w:pos="4153"/>
        <w:tab w:val="right" w:pos="8306"/>
      </w:tabs>
      <w:snapToGrid w:val="0"/>
      <w:jc w:val="left"/>
    </w:pPr>
    <w:rPr>
      <w:kern w:val="0"/>
      <w:sz w:val="18"/>
      <w:szCs w:val="20"/>
    </w:rPr>
  </w:style>
  <w:style w:type="paragraph" w:styleId="24">
    <w:name w:val="List"/>
    <w:basedOn w:val="1"/>
    <w:next w:val="1"/>
    <w:qFormat/>
    <w:uiPriority w:val="0"/>
    <w:pPr>
      <w:jc w:val="center"/>
    </w:pPr>
  </w:style>
  <w:style w:type="paragraph" w:styleId="25">
    <w:name w:val="Body Text Indent 3"/>
    <w:basedOn w:val="1"/>
    <w:link w:val="65"/>
    <w:qFormat/>
    <w:uiPriority w:val="0"/>
    <w:pPr>
      <w:spacing w:line="360" w:lineRule="auto"/>
      <w:ind w:firstLine="567"/>
    </w:pPr>
    <w:rPr>
      <w:rFonts w:ascii="FangSong_GB2312" w:eastAsia="FangSong_GB2312"/>
      <w:sz w:val="30"/>
    </w:rPr>
  </w:style>
  <w:style w:type="paragraph" w:styleId="26">
    <w:name w:val="table of figures"/>
    <w:basedOn w:val="1"/>
    <w:next w:val="1"/>
    <w:qFormat/>
    <w:uiPriority w:val="0"/>
    <w:pPr>
      <w:autoSpaceDE w:val="0"/>
      <w:autoSpaceDN w:val="0"/>
      <w:spacing w:line="360" w:lineRule="auto"/>
      <w:ind w:left="200" w:leftChars="200" w:hanging="200" w:hangingChars="200"/>
    </w:pPr>
    <w:rPr>
      <w:sz w:val="28"/>
      <w:szCs w:val="20"/>
    </w:rPr>
  </w:style>
  <w:style w:type="paragraph" w:styleId="27">
    <w:name w:val="Body Text 2"/>
    <w:basedOn w:val="1"/>
    <w:link w:val="66"/>
    <w:qFormat/>
    <w:uiPriority w:val="0"/>
    <w:rPr>
      <w:sz w:val="28"/>
    </w:rPr>
  </w:style>
  <w:style w:type="paragraph" w:styleId="28">
    <w:name w:val="Message Header"/>
    <w:basedOn w:val="1"/>
    <w:link w:val="67"/>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cs="Arial"/>
      <w:bCs/>
      <w:kern w:val="0"/>
      <w:sz w:val="24"/>
    </w:rPr>
  </w:style>
  <w:style w:type="paragraph" w:styleId="29">
    <w:name w:val="Normal (Web)"/>
    <w:basedOn w:val="1"/>
    <w:link w:val="68"/>
    <w:qFormat/>
    <w:uiPriority w:val="0"/>
    <w:pPr>
      <w:widowControl/>
      <w:spacing w:before="100" w:beforeAutospacing="1" w:after="100" w:afterAutospacing="1"/>
      <w:jc w:val="left"/>
    </w:pPr>
    <w:rPr>
      <w:rFonts w:ascii="宋体" w:hAnsi="宋体"/>
      <w:kern w:val="0"/>
      <w:sz w:val="24"/>
      <w:szCs w:val="20"/>
    </w:rPr>
  </w:style>
  <w:style w:type="paragraph" w:styleId="30">
    <w:name w:val="Title"/>
    <w:basedOn w:val="1"/>
    <w:next w:val="1"/>
    <w:link w:val="69"/>
    <w:qFormat/>
    <w:uiPriority w:val="0"/>
    <w:pPr>
      <w:keepLines/>
      <w:pageBreakBefore/>
      <w:spacing w:before="240" w:after="120"/>
      <w:jc w:val="center"/>
      <w:outlineLvl w:val="0"/>
    </w:pPr>
    <w:rPr>
      <w:rFonts w:eastAsia="黑体"/>
      <w:b/>
      <w:sz w:val="36"/>
    </w:rPr>
  </w:style>
  <w:style w:type="paragraph" w:styleId="31">
    <w:name w:val="annotation subject"/>
    <w:basedOn w:val="15"/>
    <w:next w:val="15"/>
    <w:link w:val="70"/>
    <w:semiHidden/>
    <w:qFormat/>
    <w:uiPriority w:val="0"/>
    <w:rPr>
      <w:b/>
      <w:kern w:val="2"/>
    </w:rPr>
  </w:style>
  <w:style w:type="paragraph" w:styleId="32">
    <w:name w:val="Body Text First Indent"/>
    <w:basedOn w:val="1"/>
    <w:next w:val="1"/>
    <w:link w:val="71"/>
    <w:qFormat/>
    <w:uiPriority w:val="0"/>
    <w:pPr>
      <w:spacing w:after="120"/>
      <w:ind w:firstLine="420" w:firstLineChars="100"/>
    </w:pPr>
  </w:style>
  <w:style w:type="paragraph" w:styleId="33">
    <w:name w:val="Body Text First Indent 2"/>
    <w:basedOn w:val="12"/>
    <w:link w:val="50"/>
    <w:unhideWhenUsed/>
    <w:qFormat/>
    <w:uiPriority w:val="0"/>
    <w:pPr>
      <w:ind w:firstLine="420" w:firstLineChars="200"/>
    </w:pPr>
  </w:style>
  <w:style w:type="table" w:styleId="35">
    <w:name w:val="Table Grid"/>
    <w:basedOn w:val="34"/>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22"/>
    <w:rPr>
      <w:b/>
      <w:bCs/>
    </w:rPr>
  </w:style>
  <w:style w:type="character" w:styleId="38">
    <w:name w:val="page number"/>
    <w:qFormat/>
    <w:uiPriority w:val="0"/>
  </w:style>
  <w:style w:type="character" w:styleId="39">
    <w:name w:val="FollowedHyperlink"/>
    <w:basedOn w:val="36"/>
    <w:qFormat/>
    <w:uiPriority w:val="0"/>
    <w:rPr>
      <w:color w:val="000000"/>
      <w:u w:val="none"/>
    </w:rPr>
  </w:style>
  <w:style w:type="character" w:styleId="40">
    <w:name w:val="Emphasis"/>
    <w:basedOn w:val="36"/>
    <w:qFormat/>
    <w:uiPriority w:val="0"/>
  </w:style>
  <w:style w:type="character" w:styleId="41">
    <w:name w:val="Hyperlink"/>
    <w:basedOn w:val="36"/>
    <w:unhideWhenUsed/>
    <w:qFormat/>
    <w:uiPriority w:val="99"/>
    <w:rPr>
      <w:color w:val="000000"/>
      <w:u w:val="none"/>
    </w:rPr>
  </w:style>
  <w:style w:type="paragraph" w:customStyle="1" w:styleId="42">
    <w:name w:val="Default"/>
    <w:basedOn w:val="43"/>
    <w:next w:val="44"/>
    <w:qFormat/>
    <w:uiPriority w:val="0"/>
    <w:pPr>
      <w:autoSpaceDE w:val="0"/>
      <w:autoSpaceDN w:val="0"/>
      <w:adjustRightInd w:val="0"/>
    </w:pPr>
    <w:rPr>
      <w:rFonts w:ascii="宋体" w:hAnsi="Times New Roman" w:eastAsia="宋体" w:cs="宋体"/>
      <w:color w:val="000000"/>
      <w:sz w:val="24"/>
      <w:szCs w:val="24"/>
    </w:rPr>
  </w:style>
  <w:style w:type="paragraph" w:customStyle="1" w:styleId="43">
    <w:name w:val="标题 段落4级"/>
    <w:qFormat/>
    <w:uiPriority w:val="0"/>
    <w:pPr>
      <w:spacing w:line="500" w:lineRule="exact"/>
      <w:outlineLvl w:val="3"/>
    </w:pPr>
    <w:rPr>
      <w:rFonts w:ascii="Times New Roman" w:hAnsi="Times New Roman" w:eastAsia="FangSong_GB2312" w:cs="Calibri"/>
      <w:b/>
      <w:kern w:val="2"/>
      <w:sz w:val="28"/>
      <w:szCs w:val="24"/>
      <w:lang w:val="en-US" w:eastAsia="zh-CN" w:bidi="ar-SA"/>
    </w:rPr>
  </w:style>
  <w:style w:type="paragraph" w:customStyle="1" w:styleId="4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5">
    <w:name w:val="baby-正文"/>
    <w:basedOn w:val="17"/>
    <w:next w:val="22"/>
    <w:qFormat/>
    <w:uiPriority w:val="0"/>
    <w:rPr>
      <w:rFonts w:ascii="仿宋_GB2312" w:hAnsi="宋体"/>
      <w:bCs/>
      <w:sz w:val="30"/>
    </w:rPr>
  </w:style>
  <w:style w:type="character" w:customStyle="1" w:styleId="46">
    <w:name w:val="标题 1 Char"/>
    <w:basedOn w:val="36"/>
    <w:link w:val="3"/>
    <w:qFormat/>
    <w:uiPriority w:val="9"/>
    <w:rPr>
      <w:rFonts w:ascii="Times New Roman" w:hAnsi="Times New Roman" w:eastAsia="黑体" w:cs="Times New Roman"/>
      <w:b/>
      <w:bCs/>
      <w:color w:val="000000"/>
      <w:kern w:val="44"/>
      <w:sz w:val="30"/>
      <w:szCs w:val="30"/>
    </w:rPr>
  </w:style>
  <w:style w:type="character" w:customStyle="1" w:styleId="47">
    <w:name w:val="标题 2 Char"/>
    <w:basedOn w:val="36"/>
    <w:link w:val="4"/>
    <w:qFormat/>
    <w:uiPriority w:val="0"/>
    <w:rPr>
      <w:rFonts w:ascii="Times New Roman" w:hAnsi="Times New Roman" w:eastAsia="宋体" w:cs="Times New Roman"/>
      <w:b/>
      <w:bCs/>
      <w:sz w:val="32"/>
      <w:szCs w:val="32"/>
    </w:rPr>
  </w:style>
  <w:style w:type="character" w:customStyle="1" w:styleId="48">
    <w:name w:val="标题 3 Char"/>
    <w:basedOn w:val="36"/>
    <w:link w:val="5"/>
    <w:qFormat/>
    <w:uiPriority w:val="0"/>
    <w:rPr>
      <w:rFonts w:ascii="Times New Roman" w:hAnsi="Times New Roman" w:eastAsia="宋体" w:cs="Times New Roman"/>
      <w:b/>
      <w:bCs/>
      <w:sz w:val="32"/>
      <w:szCs w:val="32"/>
    </w:rPr>
  </w:style>
  <w:style w:type="character" w:customStyle="1" w:styleId="49">
    <w:name w:val="标题 4 Char"/>
    <w:basedOn w:val="36"/>
    <w:link w:val="6"/>
    <w:qFormat/>
    <w:uiPriority w:val="9"/>
    <w:rPr>
      <w:rFonts w:ascii="Times New Roman" w:hAnsi="Times New Roman" w:eastAsia="黑体" w:cs="Times New Roman"/>
      <w:b/>
      <w:sz w:val="28"/>
      <w:szCs w:val="24"/>
    </w:rPr>
  </w:style>
  <w:style w:type="character" w:customStyle="1" w:styleId="50">
    <w:name w:val="正文首行缩进 2 Char"/>
    <w:basedOn w:val="51"/>
    <w:link w:val="33"/>
    <w:qFormat/>
    <w:uiPriority w:val="0"/>
  </w:style>
  <w:style w:type="character" w:customStyle="1" w:styleId="51">
    <w:name w:val="正文文本缩进 Char"/>
    <w:basedOn w:val="36"/>
    <w:link w:val="12"/>
    <w:qFormat/>
    <w:uiPriority w:val="0"/>
    <w:rPr>
      <w:rFonts w:ascii="Times New Roman" w:hAnsi="Times New Roman" w:eastAsia="宋体" w:cs="Times New Roman"/>
      <w:szCs w:val="24"/>
    </w:rPr>
  </w:style>
  <w:style w:type="character" w:customStyle="1" w:styleId="52">
    <w:name w:val="页眉 Char"/>
    <w:basedOn w:val="36"/>
    <w:link w:val="13"/>
    <w:qFormat/>
    <w:uiPriority w:val="0"/>
    <w:rPr>
      <w:rFonts w:ascii="Times New Roman" w:hAnsi="Times New Roman" w:eastAsia="宋体" w:cs="Times New Roman"/>
      <w:kern w:val="0"/>
      <w:sz w:val="18"/>
      <w:szCs w:val="20"/>
    </w:rPr>
  </w:style>
  <w:style w:type="character" w:customStyle="1" w:styleId="53">
    <w:name w:val="文档结构图 Char"/>
    <w:basedOn w:val="36"/>
    <w:link w:val="10"/>
    <w:semiHidden/>
    <w:qFormat/>
    <w:uiPriority w:val="0"/>
    <w:rPr>
      <w:rFonts w:ascii="Times New Roman" w:hAnsi="Times New Roman" w:eastAsia="宋体" w:cs="FangSong_GB2312"/>
      <w:sz w:val="18"/>
      <w:szCs w:val="18"/>
    </w:rPr>
  </w:style>
  <w:style w:type="character" w:customStyle="1" w:styleId="54">
    <w:name w:val="正文文本 3 Char"/>
    <w:basedOn w:val="36"/>
    <w:link w:val="11"/>
    <w:qFormat/>
    <w:uiPriority w:val="0"/>
    <w:rPr>
      <w:rFonts w:ascii="Times New Roman" w:hAnsi="Times New Roman" w:eastAsia="宋体" w:cs="Times New Roman"/>
      <w:szCs w:val="24"/>
    </w:rPr>
  </w:style>
  <w:style w:type="character" w:customStyle="1" w:styleId="55">
    <w:name w:val="批注文字 Char"/>
    <w:basedOn w:val="36"/>
    <w:link w:val="15"/>
    <w:semiHidden/>
    <w:qFormat/>
    <w:uiPriority w:val="0"/>
    <w:rPr>
      <w:rFonts w:ascii="Times New Roman" w:hAnsi="Times New Roman" w:eastAsia="宋体" w:cs="Times New Roman"/>
      <w:kern w:val="0"/>
      <w:sz w:val="24"/>
      <w:szCs w:val="20"/>
    </w:rPr>
  </w:style>
  <w:style w:type="character" w:customStyle="1" w:styleId="56">
    <w:name w:val="称呼 Char"/>
    <w:basedOn w:val="36"/>
    <w:link w:val="16"/>
    <w:qFormat/>
    <w:uiPriority w:val="0"/>
    <w:rPr>
      <w:rFonts w:ascii="Times New Roman" w:hAnsi="Times New Roman" w:eastAsia="宋体" w:cs="Times New Roman"/>
      <w:szCs w:val="24"/>
    </w:rPr>
  </w:style>
  <w:style w:type="paragraph" w:customStyle="1" w:styleId="57">
    <w:name w:val="Normal (Web)1"/>
    <w:basedOn w:val="1"/>
    <w:next w:val="58"/>
    <w:qFormat/>
    <w:uiPriority w:val="0"/>
    <w:pPr>
      <w:widowControl/>
      <w:jc w:val="left"/>
    </w:pPr>
    <w:rPr>
      <w:rFonts w:ascii="宋体"/>
      <w:kern w:val="0"/>
      <w:sz w:val="24"/>
      <w:szCs w:val="21"/>
    </w:rPr>
  </w:style>
  <w:style w:type="paragraph" w:customStyle="1" w:styleId="58">
    <w:name w:val="Date1"/>
    <w:basedOn w:val="1"/>
    <w:next w:val="1"/>
    <w:qFormat/>
    <w:uiPriority w:val="0"/>
    <w:pPr>
      <w:ind w:left="2500" w:leftChars="2500"/>
    </w:pPr>
  </w:style>
  <w:style w:type="character" w:customStyle="1" w:styleId="59">
    <w:name w:val="正文文本 Char"/>
    <w:basedOn w:val="36"/>
    <w:link w:val="17"/>
    <w:qFormat/>
    <w:uiPriority w:val="0"/>
    <w:rPr>
      <w:rFonts w:ascii="Times New Roman" w:hAnsi="Times New Roman" w:eastAsia="宋体" w:cs="Times New Roman"/>
      <w:kern w:val="0"/>
      <w:sz w:val="18"/>
      <w:szCs w:val="20"/>
    </w:rPr>
  </w:style>
  <w:style w:type="character" w:customStyle="1" w:styleId="60">
    <w:name w:val="纯文本 Char"/>
    <w:basedOn w:val="36"/>
    <w:link w:val="19"/>
    <w:qFormat/>
    <w:uiPriority w:val="0"/>
    <w:rPr>
      <w:rFonts w:ascii="Times New Roman" w:hAnsi="Times New Roman" w:eastAsia="宋体" w:cs="Times New Roman"/>
      <w:color w:val="000000" w:themeColor="text1"/>
      <w:kern w:val="0"/>
      <w:szCs w:val="21"/>
      <w14:textFill>
        <w14:solidFill>
          <w14:schemeClr w14:val="tx1"/>
        </w14:solidFill>
      </w14:textFill>
    </w:rPr>
  </w:style>
  <w:style w:type="character" w:customStyle="1" w:styleId="61">
    <w:name w:val="日期 Char"/>
    <w:basedOn w:val="36"/>
    <w:link w:val="20"/>
    <w:qFormat/>
    <w:uiPriority w:val="0"/>
    <w:rPr>
      <w:rFonts w:ascii="Times New Roman" w:hAnsi="Times New Roman" w:eastAsia="宋体" w:cs="Times New Roman"/>
      <w:kern w:val="0"/>
      <w:sz w:val="24"/>
      <w:szCs w:val="20"/>
    </w:rPr>
  </w:style>
  <w:style w:type="character" w:customStyle="1" w:styleId="62">
    <w:name w:val="正文文本缩进 2 Char"/>
    <w:basedOn w:val="36"/>
    <w:link w:val="21"/>
    <w:qFormat/>
    <w:uiPriority w:val="0"/>
    <w:rPr>
      <w:rFonts w:ascii="Times New Roman" w:hAnsi="Times New Roman" w:eastAsia="宋体" w:cs="Times New Roman"/>
      <w:szCs w:val="24"/>
    </w:rPr>
  </w:style>
  <w:style w:type="character" w:customStyle="1" w:styleId="63">
    <w:name w:val="批注框文本 Char"/>
    <w:basedOn w:val="36"/>
    <w:link w:val="22"/>
    <w:semiHidden/>
    <w:qFormat/>
    <w:uiPriority w:val="0"/>
    <w:rPr>
      <w:rFonts w:ascii="Times New Roman" w:hAnsi="Times New Roman" w:eastAsia="宋体" w:cs="Times New Roman"/>
      <w:kern w:val="0"/>
      <w:sz w:val="18"/>
      <w:szCs w:val="20"/>
    </w:rPr>
  </w:style>
  <w:style w:type="character" w:customStyle="1" w:styleId="64">
    <w:name w:val="页脚 Char"/>
    <w:basedOn w:val="36"/>
    <w:link w:val="23"/>
    <w:qFormat/>
    <w:uiPriority w:val="0"/>
    <w:rPr>
      <w:rFonts w:ascii="Times New Roman" w:hAnsi="Times New Roman" w:eastAsia="宋体" w:cs="Times New Roman"/>
      <w:kern w:val="0"/>
      <w:sz w:val="18"/>
      <w:szCs w:val="20"/>
    </w:rPr>
  </w:style>
  <w:style w:type="character" w:customStyle="1" w:styleId="65">
    <w:name w:val="正文文本缩进 3 Char"/>
    <w:basedOn w:val="36"/>
    <w:link w:val="25"/>
    <w:qFormat/>
    <w:uiPriority w:val="0"/>
    <w:rPr>
      <w:rFonts w:ascii="FangSong_GB2312" w:hAnsi="Times New Roman" w:eastAsia="FangSong_GB2312" w:cs="Times New Roman"/>
      <w:sz w:val="30"/>
      <w:szCs w:val="24"/>
    </w:rPr>
  </w:style>
  <w:style w:type="character" w:customStyle="1" w:styleId="66">
    <w:name w:val="正文文本 2 Char"/>
    <w:basedOn w:val="36"/>
    <w:link w:val="27"/>
    <w:qFormat/>
    <w:uiPriority w:val="0"/>
    <w:rPr>
      <w:rFonts w:ascii="Times New Roman" w:hAnsi="Times New Roman" w:eastAsia="宋体" w:cs="Times New Roman"/>
      <w:sz w:val="28"/>
      <w:szCs w:val="24"/>
    </w:rPr>
  </w:style>
  <w:style w:type="character" w:customStyle="1" w:styleId="67">
    <w:name w:val="信息标题 Char"/>
    <w:basedOn w:val="36"/>
    <w:link w:val="28"/>
    <w:qFormat/>
    <w:uiPriority w:val="0"/>
    <w:rPr>
      <w:rFonts w:ascii="Arial" w:hAnsi="Arial" w:eastAsia="宋体" w:cs="Arial"/>
      <w:bCs/>
      <w:kern w:val="0"/>
      <w:sz w:val="24"/>
      <w:szCs w:val="24"/>
      <w:shd w:val="pct20" w:color="auto" w:fill="auto"/>
    </w:rPr>
  </w:style>
  <w:style w:type="character" w:customStyle="1" w:styleId="68">
    <w:name w:val="普通(网站) Char"/>
    <w:link w:val="29"/>
    <w:qFormat/>
    <w:locked/>
    <w:uiPriority w:val="0"/>
    <w:rPr>
      <w:rFonts w:ascii="宋体" w:hAnsi="宋体" w:eastAsia="宋体" w:cs="Times New Roman"/>
      <w:kern w:val="0"/>
      <w:sz w:val="24"/>
      <w:szCs w:val="20"/>
    </w:rPr>
  </w:style>
  <w:style w:type="character" w:customStyle="1" w:styleId="69">
    <w:name w:val="标题 Char"/>
    <w:basedOn w:val="36"/>
    <w:link w:val="30"/>
    <w:qFormat/>
    <w:uiPriority w:val="0"/>
    <w:rPr>
      <w:rFonts w:ascii="Times New Roman" w:hAnsi="Times New Roman" w:eastAsia="黑体" w:cs="Times New Roman"/>
      <w:b/>
      <w:sz w:val="36"/>
      <w:szCs w:val="24"/>
    </w:rPr>
  </w:style>
  <w:style w:type="character" w:customStyle="1" w:styleId="70">
    <w:name w:val="批注主题 Char"/>
    <w:basedOn w:val="55"/>
    <w:link w:val="31"/>
    <w:semiHidden/>
    <w:qFormat/>
    <w:uiPriority w:val="0"/>
    <w:rPr>
      <w:b/>
    </w:rPr>
  </w:style>
  <w:style w:type="character" w:customStyle="1" w:styleId="71">
    <w:name w:val="正文首行缩进 Char"/>
    <w:basedOn w:val="59"/>
    <w:link w:val="32"/>
    <w:qFormat/>
    <w:uiPriority w:val="0"/>
    <w:rPr>
      <w:szCs w:val="24"/>
    </w:rPr>
  </w:style>
  <w:style w:type="paragraph" w:customStyle="1" w:styleId="72">
    <w:name w:val="表头"/>
    <w:basedOn w:val="24"/>
    <w:next w:val="73"/>
    <w:qFormat/>
    <w:uiPriority w:val="0"/>
    <w:pPr>
      <w:spacing w:line="360" w:lineRule="auto"/>
    </w:pPr>
    <w:rPr>
      <w:rFonts w:ascii="黑体" w:hAnsi="黑体" w:eastAsia="黑体" w:cs="Arial"/>
      <w:bCs/>
      <w:szCs w:val="21"/>
    </w:rPr>
  </w:style>
  <w:style w:type="paragraph" w:customStyle="1" w:styleId="73">
    <w:name w:val="表1"/>
    <w:next w:val="1"/>
    <w:qFormat/>
    <w:uiPriority w:val="0"/>
    <w:pPr>
      <w:adjustRightInd w:val="0"/>
      <w:snapToGrid w:val="0"/>
      <w:jc w:val="center"/>
    </w:pPr>
    <w:rPr>
      <w:rFonts w:ascii="宋体" w:hAnsi="Times New Roman" w:eastAsia="宋体" w:cs="Times New Roman"/>
      <w:kern w:val="0"/>
      <w:sz w:val="21"/>
      <w:szCs w:val="22"/>
      <w:lang w:val="en-US" w:eastAsia="zh-CN" w:bidi="ar-SA"/>
    </w:rPr>
  </w:style>
  <w:style w:type="paragraph" w:customStyle="1" w:styleId="74">
    <w:name w:val="纯文本1"/>
    <w:basedOn w:val="1"/>
    <w:qFormat/>
    <w:uiPriority w:val="0"/>
    <w:pPr>
      <w:adjustRightInd w:val="0"/>
    </w:pPr>
    <w:rPr>
      <w:rFonts w:ascii="宋体" w:hAnsi="Courier New"/>
      <w:szCs w:val="20"/>
    </w:rPr>
  </w:style>
  <w:style w:type="paragraph" w:customStyle="1" w:styleId="75">
    <w:name w:val="xl27"/>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76">
    <w:name w:val="正文 首行缩进:  2 字符"/>
    <w:basedOn w:val="1"/>
    <w:qFormat/>
    <w:uiPriority w:val="0"/>
    <w:pPr>
      <w:adjustRightInd w:val="0"/>
      <w:snapToGrid w:val="0"/>
      <w:spacing w:line="500" w:lineRule="exact"/>
      <w:ind w:firstLine="200" w:firstLineChars="200"/>
      <w:jc w:val="left"/>
    </w:pPr>
    <w:rPr>
      <w:rFonts w:cs="宋体"/>
    </w:rPr>
  </w:style>
  <w:style w:type="paragraph" w:customStyle="1" w:styleId="77">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8">
    <w:name w:val="Intense Quote"/>
    <w:basedOn w:val="1"/>
    <w:next w:val="1"/>
    <w:link w:val="79"/>
    <w:qFormat/>
    <w:uiPriority w:val="0"/>
    <w:pPr>
      <w:wordWrap w:val="0"/>
      <w:spacing w:before="360" w:after="360"/>
      <w:ind w:left="950" w:right="950"/>
      <w:jc w:val="center"/>
    </w:pPr>
    <w:rPr>
      <w:i/>
    </w:rPr>
  </w:style>
  <w:style w:type="character" w:customStyle="1" w:styleId="79">
    <w:name w:val="明显引用 Char"/>
    <w:basedOn w:val="36"/>
    <w:link w:val="78"/>
    <w:qFormat/>
    <w:uiPriority w:val="0"/>
    <w:rPr>
      <w:rFonts w:ascii="Times New Roman" w:hAnsi="Times New Roman" w:eastAsia="宋体" w:cs="Times New Roman"/>
      <w:i/>
      <w:szCs w:val="24"/>
    </w:rPr>
  </w:style>
  <w:style w:type="paragraph" w:customStyle="1" w:styleId="80">
    <w:name w:val="样式 正文首行缩进 + 首行缩进:  2 字符1"/>
    <w:basedOn w:val="1"/>
    <w:next w:val="8"/>
    <w:qFormat/>
    <w:uiPriority w:val="0"/>
    <w:pPr>
      <w:spacing w:line="360" w:lineRule="auto"/>
      <w:ind w:firstLine="480" w:firstLineChars="200"/>
    </w:pPr>
    <w:rPr>
      <w:sz w:val="24"/>
      <w:szCs w:val="20"/>
    </w:rPr>
  </w:style>
  <w:style w:type="character" w:customStyle="1" w:styleId="81">
    <w:name w:val="正文文本 2 Char1"/>
    <w:qFormat/>
    <w:uiPriority w:val="0"/>
    <w:rPr>
      <w:kern w:val="2"/>
      <w:sz w:val="21"/>
      <w:szCs w:val="24"/>
    </w:rPr>
  </w:style>
  <w:style w:type="character" w:customStyle="1" w:styleId="82">
    <w:name w:val="【表中文字】 Char"/>
    <w:link w:val="83"/>
    <w:qFormat/>
    <w:uiPriority w:val="0"/>
  </w:style>
  <w:style w:type="paragraph" w:customStyle="1" w:styleId="83">
    <w:name w:val="【表中文字】"/>
    <w:basedOn w:val="84"/>
    <w:link w:val="82"/>
    <w:qFormat/>
    <w:uiPriority w:val="0"/>
    <w:pPr>
      <w:jc w:val="center"/>
    </w:pPr>
    <w:rPr>
      <w:rFonts w:asciiTheme="minorHAnsi" w:hAnsiTheme="minorHAnsi" w:eastAsiaTheme="minorEastAsia" w:cstheme="minorBidi"/>
      <w:szCs w:val="22"/>
    </w:rPr>
  </w:style>
  <w:style w:type="paragraph" w:customStyle="1" w:styleId="84">
    <w:name w:val=".表1-1-1内容"/>
    <w:basedOn w:val="1"/>
    <w:qFormat/>
    <w:uiPriority w:val="0"/>
    <w:pPr>
      <w:spacing w:line="300" w:lineRule="exact"/>
      <w:jc w:val="center"/>
    </w:pPr>
    <w:rPr>
      <w:kern w:val="0"/>
      <w:szCs w:val="21"/>
    </w:rPr>
  </w:style>
  <w:style w:type="character" w:customStyle="1" w:styleId="85">
    <w:name w:val="【正文】 Char"/>
    <w:link w:val="86"/>
    <w:qFormat/>
    <w:uiPriority w:val="0"/>
    <w:rPr>
      <w:sz w:val="24"/>
      <w:szCs w:val="24"/>
    </w:rPr>
  </w:style>
  <w:style w:type="paragraph" w:customStyle="1" w:styleId="86">
    <w:name w:val="【正文】"/>
    <w:basedOn w:val="1"/>
    <w:next w:val="28"/>
    <w:link w:val="85"/>
    <w:qFormat/>
    <w:uiPriority w:val="0"/>
    <w:pPr>
      <w:spacing w:line="360" w:lineRule="auto"/>
      <w:ind w:firstLine="480" w:firstLineChars="200"/>
    </w:pPr>
    <w:rPr>
      <w:rFonts w:asciiTheme="minorHAnsi" w:hAnsiTheme="minorHAnsi" w:eastAsiaTheme="minorEastAsia" w:cstheme="minorBidi"/>
      <w:sz w:val="24"/>
    </w:rPr>
  </w:style>
  <w:style w:type="character" w:customStyle="1" w:styleId="87">
    <w:name w:val="表文00 Char"/>
    <w:link w:val="88"/>
    <w:qFormat/>
    <w:uiPriority w:val="0"/>
    <w:rPr>
      <w:rFonts w:hAnsi="宋体"/>
      <w:szCs w:val="18"/>
    </w:rPr>
  </w:style>
  <w:style w:type="paragraph" w:customStyle="1" w:styleId="88">
    <w:name w:val="表文00"/>
    <w:basedOn w:val="1"/>
    <w:next w:val="1"/>
    <w:link w:val="87"/>
    <w:qFormat/>
    <w:uiPriority w:val="0"/>
    <w:pPr>
      <w:autoSpaceDE w:val="0"/>
      <w:autoSpaceDN w:val="0"/>
      <w:ind w:firstLine="3584"/>
      <w:contextualSpacing/>
      <w:jc w:val="center"/>
    </w:pPr>
    <w:rPr>
      <w:rFonts w:hAnsi="宋体" w:asciiTheme="minorHAnsi" w:eastAsiaTheme="minorEastAsia" w:cstheme="minorBidi"/>
      <w:szCs w:val="18"/>
    </w:rPr>
  </w:style>
  <w:style w:type="character" w:customStyle="1" w:styleId="89">
    <w:name w:val="样式 Times New Roman 五号 居中 Char"/>
    <w:link w:val="90"/>
    <w:qFormat/>
    <w:uiPriority w:val="0"/>
    <w:rPr>
      <w:rFonts w:ascii="Times New Roman" w:hAnsi="Times New Roman" w:eastAsia="宋体" w:cs="Times New Roman"/>
      <w:kern w:val="0"/>
      <w:sz w:val="20"/>
      <w:szCs w:val="20"/>
    </w:rPr>
  </w:style>
  <w:style w:type="paragraph" w:customStyle="1" w:styleId="90">
    <w:name w:val="样式 Times New Roman 五号 居中"/>
    <w:basedOn w:val="1"/>
    <w:link w:val="89"/>
    <w:qFormat/>
    <w:uiPriority w:val="0"/>
    <w:pPr>
      <w:ind w:firstLine="3584"/>
      <w:jc w:val="center"/>
    </w:pPr>
    <w:rPr>
      <w:kern w:val="0"/>
      <w:sz w:val="20"/>
      <w:szCs w:val="20"/>
    </w:rPr>
  </w:style>
  <w:style w:type="character" w:customStyle="1" w:styleId="91">
    <w:name w:val="表格内容 Char"/>
    <w:link w:val="92"/>
    <w:qFormat/>
    <w:locked/>
    <w:uiPriority w:val="0"/>
    <w:rPr>
      <w:rFonts w:ascii="宋体" w:hAnsi="宋体"/>
      <w:szCs w:val="21"/>
    </w:rPr>
  </w:style>
  <w:style w:type="paragraph" w:customStyle="1" w:styleId="92">
    <w:name w:val="表格内容"/>
    <w:basedOn w:val="93"/>
    <w:link w:val="91"/>
    <w:qFormat/>
    <w:uiPriority w:val="0"/>
    <w:pPr>
      <w:spacing w:line="340" w:lineRule="exact"/>
    </w:pPr>
    <w:rPr>
      <w:rFonts w:ascii="宋体" w:hAnsi="宋体" w:eastAsiaTheme="minorEastAsia" w:cstheme="minorBidi"/>
      <w:sz w:val="21"/>
      <w:szCs w:val="21"/>
    </w:rPr>
  </w:style>
  <w:style w:type="paragraph" w:customStyle="1" w:styleId="93">
    <w:name w:val="图形文字"/>
    <w:basedOn w:val="17"/>
    <w:qFormat/>
    <w:uiPriority w:val="0"/>
    <w:pPr>
      <w:adjustRightInd w:val="0"/>
      <w:snapToGrid w:val="0"/>
      <w:spacing w:line="240" w:lineRule="auto"/>
      <w:ind w:firstLine="0" w:firstLineChars="0"/>
      <w:jc w:val="center"/>
    </w:pPr>
    <w:rPr>
      <w:rFonts w:ascii="Times New Roman" w:hAnsi="Times New Roman" w:eastAsia="宋体"/>
      <w:b/>
      <w:sz w:val="24"/>
    </w:rPr>
  </w:style>
  <w:style w:type="paragraph" w:customStyle="1" w:styleId="94">
    <w:name w:val="封皮-证书编号"/>
    <w:basedOn w:val="1"/>
    <w:qFormat/>
    <w:uiPriority w:val="0"/>
    <w:pPr>
      <w:jc w:val="center"/>
    </w:pPr>
    <w:rPr>
      <w:rFonts w:eastAsia="黑体"/>
      <w:sz w:val="28"/>
    </w:rPr>
  </w:style>
  <w:style w:type="character" w:customStyle="1" w:styleId="95">
    <w:name w:val="表格 Char"/>
    <w:link w:val="96"/>
    <w:qFormat/>
    <w:locked/>
    <w:uiPriority w:val="0"/>
    <w:rPr>
      <w:rFonts w:ascii="宋体"/>
    </w:rPr>
  </w:style>
  <w:style w:type="paragraph" w:customStyle="1" w:styleId="96">
    <w:name w:val="表格"/>
    <w:basedOn w:val="1"/>
    <w:next w:val="1"/>
    <w:link w:val="95"/>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97">
    <w:name w:val="页脚 字符"/>
    <w:qFormat/>
    <w:uiPriority w:val="99"/>
  </w:style>
  <w:style w:type="character" w:customStyle="1" w:styleId="98">
    <w:name w:val="内容 Char"/>
    <w:link w:val="99"/>
    <w:qFormat/>
    <w:uiPriority w:val="0"/>
    <w:rPr>
      <w:color w:val="000000"/>
      <w:sz w:val="24"/>
      <w:szCs w:val="24"/>
    </w:rPr>
  </w:style>
  <w:style w:type="paragraph" w:customStyle="1" w:styleId="99">
    <w:name w:val="内容"/>
    <w:basedOn w:val="1"/>
    <w:link w:val="98"/>
    <w:qFormat/>
    <w:uiPriority w:val="0"/>
    <w:pPr>
      <w:spacing w:beforeLines="50" w:afterLines="50"/>
      <w:ind w:firstLine="200" w:firstLineChars="200"/>
    </w:pPr>
    <w:rPr>
      <w:rFonts w:asciiTheme="minorHAnsi" w:hAnsiTheme="minorHAnsi" w:eastAsiaTheme="minorEastAsia" w:cstheme="minorBidi"/>
      <w:color w:val="000000"/>
      <w:sz w:val="24"/>
    </w:rPr>
  </w:style>
  <w:style w:type="character" w:customStyle="1" w:styleId="100">
    <w:name w:val="NormalCharacter"/>
    <w:qFormat/>
    <w:uiPriority w:val="0"/>
    <w:rPr>
      <w:rFonts w:ascii="宋体"/>
      <w:sz w:val="24"/>
      <w:lang w:val="en-US" w:eastAsia="zh-CN" w:bidi="ar-SA"/>
    </w:rPr>
  </w:style>
  <w:style w:type="paragraph" w:customStyle="1" w:styleId="101">
    <w:name w:val="环评表中文字"/>
    <w:basedOn w:val="1"/>
    <w:qFormat/>
    <w:uiPriority w:val="0"/>
    <w:pPr>
      <w:jc w:val="center"/>
    </w:pPr>
    <w:rPr>
      <w:sz w:val="24"/>
      <w:szCs w:val="22"/>
    </w:rPr>
  </w:style>
  <w:style w:type="paragraph" w:customStyle="1" w:styleId="102">
    <w:name w:val="[表中文字]"/>
    <w:basedOn w:val="1"/>
    <w:qFormat/>
    <w:uiPriority w:val="0"/>
    <w:pPr>
      <w:spacing w:before="60" w:after="60"/>
      <w:jc w:val="center"/>
    </w:pPr>
    <w:rPr>
      <w:rFonts w:eastAsia="FangSong_GB2312"/>
      <w:szCs w:val="20"/>
    </w:rPr>
  </w:style>
  <w:style w:type="paragraph" w:customStyle="1" w:styleId="103">
    <w:name w:val="表内字"/>
    <w:qFormat/>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104">
    <w:name w:val="正文（首行缩进）"/>
    <w:basedOn w:val="1"/>
    <w:next w:val="105"/>
    <w:qFormat/>
    <w:uiPriority w:val="0"/>
    <w:pPr>
      <w:spacing w:line="360" w:lineRule="auto"/>
      <w:ind w:left="560" w:firstLine="3632"/>
    </w:pPr>
    <w:rPr>
      <w:kern w:val="0"/>
      <w:sz w:val="20"/>
      <w:szCs w:val="20"/>
    </w:rPr>
  </w:style>
  <w:style w:type="paragraph" w:customStyle="1" w:styleId="105">
    <w:name w:val="正文00"/>
    <w:basedOn w:val="1"/>
    <w:qFormat/>
    <w:uiPriority w:val="0"/>
    <w:pPr>
      <w:spacing w:line="360" w:lineRule="auto"/>
      <w:ind w:left="480" w:firstLine="3808"/>
    </w:pPr>
    <w:rPr>
      <w:kern w:val="0"/>
      <w:sz w:val="20"/>
      <w:szCs w:val="20"/>
    </w:rPr>
  </w:style>
  <w:style w:type="paragraph" w:customStyle="1" w:styleId="106">
    <w:name w:val="样式 Times New Roman 五号 居中1"/>
    <w:basedOn w:val="1"/>
    <w:next w:val="72"/>
    <w:qFormat/>
    <w:uiPriority w:val="0"/>
    <w:pPr>
      <w:ind w:firstLine="3584"/>
      <w:jc w:val="center"/>
    </w:pPr>
    <w:rPr>
      <w:kern w:val="0"/>
      <w:sz w:val="20"/>
      <w:szCs w:val="20"/>
    </w:rPr>
  </w:style>
  <w:style w:type="paragraph" w:customStyle="1" w:styleId="107">
    <w:name w:val="表头00"/>
    <w:basedOn w:val="1"/>
    <w:qFormat/>
    <w:uiPriority w:val="0"/>
    <w:pPr>
      <w:ind w:firstLine="3584"/>
      <w:jc w:val="center"/>
    </w:pPr>
    <w:rPr>
      <w:rFonts w:eastAsia="黑体"/>
      <w:sz w:val="24"/>
      <w:szCs w:val="18"/>
    </w:rPr>
  </w:style>
  <w:style w:type="paragraph" w:customStyle="1" w:styleId="108">
    <w:name w:val="段落正文"/>
    <w:basedOn w:val="1"/>
    <w:qFormat/>
    <w:uiPriority w:val="0"/>
    <w:pPr>
      <w:spacing w:line="500" w:lineRule="atLeast"/>
      <w:ind w:firstLine="200" w:firstLineChars="200"/>
    </w:pPr>
    <w:rPr>
      <w:rFonts w:eastAsia="FangSong_GB2312"/>
      <w:sz w:val="28"/>
      <w:szCs w:val="28"/>
    </w:rPr>
  </w:style>
  <w:style w:type="paragraph" w:customStyle="1" w:styleId="109">
    <w:name w:val="帆表头"/>
    <w:basedOn w:val="1"/>
    <w:qFormat/>
    <w:uiPriority w:val="0"/>
    <w:pPr>
      <w:widowControl/>
      <w:spacing w:line="360" w:lineRule="auto"/>
      <w:jc w:val="center"/>
    </w:pPr>
    <w:rPr>
      <w:rFonts w:ascii="黑体" w:hAnsi="黑体" w:eastAsia="黑体"/>
      <w:bCs/>
      <w:szCs w:val="21"/>
    </w:rPr>
  </w:style>
  <w:style w:type="paragraph" w:customStyle="1" w:styleId="110">
    <w:name w:val="表格填充项"/>
    <w:basedOn w:val="1"/>
    <w:qFormat/>
    <w:uiPriority w:val="0"/>
    <w:pPr>
      <w:spacing w:line="240" w:lineRule="atLeast"/>
      <w:jc w:val="center"/>
    </w:pPr>
    <w:rPr>
      <w:rFonts w:ascii="宋体" w:hAnsi="宋体"/>
      <w:b/>
    </w:rPr>
  </w:style>
  <w:style w:type="paragraph" w:customStyle="1" w:styleId="111">
    <w:name w:val="表格题目"/>
    <w:basedOn w:val="1"/>
    <w:qFormat/>
    <w:uiPriority w:val="99"/>
    <w:pPr>
      <w:spacing w:line="240" w:lineRule="atLeast"/>
      <w:jc w:val="center"/>
    </w:pPr>
    <w:rPr>
      <w:rFonts w:ascii="黑体" w:hAnsi="宋体" w:eastAsia="黑体"/>
      <w:sz w:val="24"/>
    </w:rPr>
  </w:style>
  <w:style w:type="paragraph" w:customStyle="1" w:styleId="112">
    <w:name w:val="表文"/>
    <w:next w:val="1"/>
    <w:qFormat/>
    <w:uiPriority w:val="0"/>
    <w:pPr>
      <w:jc w:val="both"/>
    </w:pPr>
    <w:rPr>
      <w:rFonts w:ascii="Times New Roman" w:hAnsi="Times New Roman" w:eastAsia="宋体" w:cs="Times New Roman"/>
      <w:color w:val="FF0000"/>
      <w:kern w:val="2"/>
      <w:sz w:val="21"/>
      <w:szCs w:val="24"/>
      <w:lang w:val="en-US" w:eastAsia="zh-CN" w:bidi="ar-SA"/>
    </w:rPr>
  </w:style>
  <w:style w:type="paragraph" w:customStyle="1" w:styleId="113">
    <w:name w:val="正文4"/>
    <w:qFormat/>
    <w:uiPriority w:val="0"/>
    <w:pPr>
      <w:widowControl w:val="0"/>
      <w:spacing w:line="360" w:lineRule="atLeast"/>
    </w:pPr>
    <w:rPr>
      <w:rFonts w:ascii="宋体" w:hAnsi="宋体" w:eastAsia="宋体" w:cs="Times New Roman"/>
      <w:color w:val="000000"/>
      <w:kern w:val="0"/>
      <w:sz w:val="24"/>
      <w:szCs w:val="22"/>
      <w:lang w:val="en-US" w:eastAsia="zh-CN" w:bidi="ar-SA"/>
    </w:rPr>
  </w:style>
  <w:style w:type="paragraph" w:customStyle="1" w:styleId="11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
    <w:name w:val="设计表格"/>
    <w:basedOn w:val="1"/>
    <w:qFormat/>
    <w:uiPriority w:val="0"/>
    <w:pPr>
      <w:adjustRightInd w:val="0"/>
      <w:jc w:val="center"/>
    </w:pPr>
    <w:rPr>
      <w:kern w:val="0"/>
      <w:sz w:val="24"/>
    </w:rPr>
  </w:style>
  <w:style w:type="paragraph" w:customStyle="1" w:styleId="116">
    <w:name w:val="图头00"/>
    <w:basedOn w:val="1"/>
    <w:qFormat/>
    <w:uiPriority w:val="0"/>
    <w:pPr>
      <w:adjustRightInd w:val="0"/>
      <w:spacing w:line="360" w:lineRule="auto"/>
      <w:jc w:val="center"/>
      <w:textAlignment w:val="baseline"/>
    </w:pPr>
    <w:rPr>
      <w:rFonts w:ascii="宋体" w:eastAsia="黑体"/>
      <w:kern w:val="0"/>
      <w:sz w:val="24"/>
      <w:szCs w:val="20"/>
    </w:rPr>
  </w:style>
  <w:style w:type="paragraph" w:customStyle="1" w:styleId="117">
    <w:name w:val="报告表正文"/>
    <w:basedOn w:val="1"/>
    <w:qFormat/>
    <w:uiPriority w:val="0"/>
    <w:pPr>
      <w:adjustRightInd w:val="0"/>
      <w:spacing w:line="312" w:lineRule="auto"/>
      <w:ind w:left="113" w:right="113" w:firstLine="482"/>
      <w:jc w:val="left"/>
      <w:textAlignment w:val="baseline"/>
    </w:pPr>
    <w:rPr>
      <w:kern w:val="0"/>
      <w:sz w:val="24"/>
      <w:szCs w:val="22"/>
    </w:rPr>
  </w:style>
  <w:style w:type="paragraph" w:customStyle="1" w:styleId="118">
    <w:name w:val="WW-纯文本"/>
    <w:basedOn w:val="1"/>
    <w:qFormat/>
    <w:uiPriority w:val="0"/>
    <w:pPr>
      <w:suppressAutoHyphens/>
      <w:spacing w:line="312" w:lineRule="atLeast"/>
      <w:textAlignment w:val="baseline"/>
    </w:pPr>
    <w:rPr>
      <w:rFonts w:hAnsi="宋体" w:eastAsia="楷体_GB2312"/>
      <w:szCs w:val="21"/>
    </w:rPr>
  </w:style>
  <w:style w:type="paragraph" w:customStyle="1" w:styleId="11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0">
    <w:name w:val="Table Paragraph"/>
    <w:basedOn w:val="1"/>
    <w:qFormat/>
    <w:uiPriority w:val="0"/>
    <w:pPr>
      <w:jc w:val="left"/>
    </w:pPr>
    <w:rPr>
      <w:rFonts w:ascii="Calibri" w:hAnsi="Calibri"/>
      <w:kern w:val="0"/>
      <w:sz w:val="22"/>
      <w:szCs w:val="22"/>
      <w:lang w:eastAsia="en-US"/>
    </w:rPr>
  </w:style>
  <w:style w:type="paragraph" w:customStyle="1" w:styleId="121">
    <w:name w:val="表体"/>
    <w:basedOn w:val="17"/>
    <w:qFormat/>
    <w:uiPriority w:val="0"/>
    <w:pPr>
      <w:widowControl w:val="0"/>
      <w:overflowPunct w:val="0"/>
      <w:adjustRightInd w:val="0"/>
      <w:snapToGrid/>
      <w:spacing w:before="0" w:after="120" w:line="300" w:lineRule="atLeast"/>
      <w:ind w:right="0"/>
      <w:jc w:val="center"/>
      <w:textAlignment w:val="baseline"/>
    </w:pPr>
    <w:rPr>
      <w:color w:val="000000"/>
      <w:kern w:val="24"/>
    </w:rPr>
  </w:style>
  <w:style w:type="paragraph" w:customStyle="1" w:styleId="122">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123">
    <w:name w:val="报告表内正文"/>
    <w:qFormat/>
    <w:uiPriority w:val="0"/>
    <w:pPr>
      <w:spacing w:line="360" w:lineRule="auto"/>
      <w:ind w:firstLine="1040" w:firstLineChars="200"/>
    </w:pPr>
    <w:rPr>
      <w:rFonts w:ascii="Calibri" w:hAnsi="Calibri" w:eastAsia="宋体" w:cs="Times New Roman"/>
      <w:kern w:val="0"/>
      <w:sz w:val="24"/>
      <w:szCs w:val="22"/>
      <w:lang w:val="en-US" w:eastAsia="zh-CN" w:bidi="ar-SA"/>
    </w:rPr>
  </w:style>
  <w:style w:type="paragraph" w:customStyle="1" w:styleId="124">
    <w:name w:val="正文1"/>
    <w:basedOn w:val="125"/>
    <w:qFormat/>
    <w:uiPriority w:val="0"/>
    <w:pPr>
      <w:widowControl w:val="0"/>
      <w:tabs>
        <w:tab w:val="left" w:pos="567"/>
      </w:tabs>
      <w:adjustRightInd w:val="0"/>
      <w:spacing w:line="315" w:lineRule="atLeast"/>
      <w:textAlignment w:val="baseline"/>
    </w:pPr>
    <w:rPr>
      <w:rFonts w:ascii="宋体" w:hAnsi="Times New Roman" w:eastAsia="宋体" w:cs="Times New Roman"/>
      <w:kern w:val="0"/>
      <w:sz w:val="24"/>
      <w:szCs w:val="20"/>
      <w:lang w:val="en-US" w:eastAsia="zh-CN" w:bidi="ar-SA"/>
    </w:rPr>
  </w:style>
  <w:style w:type="paragraph" w:customStyle="1" w:styleId="125">
    <w:name w:val="正文1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paragraph" w:customStyle="1" w:styleId="126">
    <w:name w:val="..正文格式"/>
    <w:basedOn w:val="1"/>
    <w:qFormat/>
    <w:uiPriority w:val="0"/>
    <w:pPr>
      <w:spacing w:line="500" w:lineRule="exact"/>
      <w:ind w:firstLine="480" w:firstLineChars="200"/>
    </w:pPr>
    <w:rPr>
      <w:snapToGrid w:val="0"/>
      <w:kern w:val="0"/>
    </w:rPr>
  </w:style>
  <w:style w:type="character" w:customStyle="1" w:styleId="127">
    <w:name w:val="lable"/>
    <w:basedOn w:val="36"/>
    <w:qFormat/>
    <w:uiPriority w:val="0"/>
    <w:rPr>
      <w:sz w:val="19"/>
      <w:szCs w:val="19"/>
    </w:rPr>
  </w:style>
  <w:style w:type="character" w:customStyle="1" w:styleId="128">
    <w:name w:val="radio-btn"/>
    <w:basedOn w:val="36"/>
    <w:qFormat/>
    <w:uiPriority w:val="0"/>
    <w:rPr>
      <w:sz w:val="16"/>
      <w:szCs w:val="16"/>
    </w:rPr>
  </w:style>
  <w:style w:type="character" w:customStyle="1" w:styleId="129">
    <w:name w:val="radio-btn1"/>
    <w:basedOn w:val="36"/>
    <w:qFormat/>
    <w:uiPriority w:val="0"/>
    <w:rPr>
      <w:sz w:val="19"/>
      <w:szCs w:val="19"/>
    </w:rPr>
  </w:style>
  <w:style w:type="character" w:customStyle="1" w:styleId="130">
    <w:name w:val="radio-btn2"/>
    <w:basedOn w:val="36"/>
    <w:qFormat/>
    <w:uiPriority w:val="0"/>
    <w:rPr>
      <w:sz w:val="19"/>
      <w:szCs w:val="19"/>
    </w:rPr>
  </w:style>
  <w:style w:type="character" w:customStyle="1" w:styleId="131">
    <w:name w:val="lishishuju"/>
    <w:basedOn w:val="36"/>
    <w:qFormat/>
    <w:uiPriority w:val="0"/>
    <w:rPr>
      <w:b/>
      <w:bCs/>
      <w:color w:val="000052"/>
      <w:sz w:val="19"/>
      <w:szCs w:val="19"/>
      <w:bdr w:val="single" w:color="E3E3E3" w:sz="4" w:space="0"/>
    </w:rPr>
  </w:style>
  <w:style w:type="character" w:customStyle="1" w:styleId="132">
    <w:name w:val="cur1"/>
    <w:basedOn w:val="36"/>
    <w:qFormat/>
    <w:uiPriority w:val="0"/>
    <w:rPr>
      <w:color w:val="FFFFFF"/>
      <w:shd w:val="clear" w:color="auto" w:fill="2F6B98"/>
    </w:rPr>
  </w:style>
  <w:style w:type="character" w:customStyle="1" w:styleId="133">
    <w:name w:val="znspantitle"/>
    <w:basedOn w:val="36"/>
    <w:qFormat/>
    <w:uiPriority w:val="0"/>
    <w:rPr>
      <w:b/>
      <w:bCs/>
      <w:color w:val="333333"/>
    </w:rPr>
  </w:style>
  <w:style w:type="paragraph" w:customStyle="1" w:styleId="134">
    <w:name w:val="表格正文"/>
    <w:next w:val="7"/>
    <w:qFormat/>
    <w:uiPriority w:val="0"/>
    <w:pPr>
      <w:adjustRightInd w:val="0"/>
      <w:snapToGrid w:val="0"/>
      <w:spacing w:line="440" w:lineRule="exact"/>
      <w:jc w:val="center"/>
    </w:pPr>
    <w:rPr>
      <w:rFonts w:ascii="Times New Roman" w:hAnsi="Times New Roman" w:eastAsia="宋体" w:cs="Times New Roman"/>
      <w:color w:val="FF0000"/>
      <w:kern w:val="0"/>
      <w:sz w:val="20"/>
      <w:szCs w:val="21"/>
      <w:lang w:val="en-US" w:eastAsia="zh-CN" w:bidi="ar-SA"/>
    </w:rPr>
  </w:style>
  <w:style w:type="paragraph" w:customStyle="1" w:styleId="135">
    <w:name w:val="表格标题"/>
    <w:basedOn w:val="124"/>
    <w:next w:val="124"/>
    <w:qFormat/>
    <w:uiPriority w:val="0"/>
    <w:pPr>
      <w:tabs>
        <w:tab w:val="left" w:pos="5400"/>
      </w:tabs>
      <w:spacing w:beforeLines="50" w:afterLines="50" w:line="400" w:lineRule="exact"/>
      <w:jc w:val="center"/>
    </w:pPr>
    <w:rPr>
      <w:rFonts w:ascii="黑体" w:hAnsi="宋体" w:eastAsia="黑体"/>
      <w:color w:val="000000"/>
      <w:spacing w:val="4"/>
    </w:rPr>
  </w:style>
  <w:style w:type="paragraph" w:customStyle="1" w:styleId="136">
    <w:name w:val="11111"/>
    <w:basedOn w:val="1"/>
    <w:next w:val="1"/>
    <w:qFormat/>
    <w:uiPriority w:val="0"/>
    <w:pPr>
      <w:spacing w:line="360" w:lineRule="auto"/>
      <w:ind w:firstLine="200" w:firstLineChars="200"/>
    </w:pPr>
    <w:rPr>
      <w:rFonts w:hAnsi="宋体" w:cs="宋体"/>
    </w:rPr>
  </w:style>
  <w:style w:type="paragraph" w:customStyle="1" w:styleId="137">
    <w:name w:val="【表头】"/>
    <w:basedOn w:val="138"/>
    <w:link w:val="189"/>
    <w:qFormat/>
    <w:uiPriority w:val="0"/>
    <w:pPr>
      <w:spacing w:line="460" w:lineRule="exact"/>
      <w:jc w:val="center"/>
    </w:pPr>
    <w:rPr>
      <w:rFonts w:eastAsia="黑体"/>
      <w:sz w:val="24"/>
    </w:rPr>
  </w:style>
  <w:style w:type="paragraph" w:customStyle="1" w:styleId="138">
    <w:name w:val="0"/>
    <w:basedOn w:val="1"/>
    <w:qFormat/>
    <w:uiPriority w:val="99"/>
    <w:pPr>
      <w:widowControl/>
      <w:snapToGrid w:val="0"/>
      <w:jc w:val="left"/>
    </w:pPr>
    <w:rPr>
      <w:rFonts w:ascii="宋体"/>
      <w:kern w:val="0"/>
      <w:sz w:val="20"/>
      <w:szCs w:val="20"/>
    </w:rPr>
  </w:style>
  <w:style w:type="paragraph" w:customStyle="1" w:styleId="139">
    <w:name w:val="表格题头"/>
    <w:basedOn w:val="1"/>
    <w:next w:val="1"/>
    <w:qFormat/>
    <w:uiPriority w:val="0"/>
    <w:pPr>
      <w:widowControl/>
      <w:autoSpaceDE w:val="0"/>
      <w:autoSpaceDN w:val="0"/>
      <w:spacing w:line="260" w:lineRule="exact"/>
      <w:jc w:val="center"/>
    </w:pPr>
    <w:rPr>
      <w:rFonts w:eastAsia="黑体"/>
      <w:color w:val="000000"/>
      <w:szCs w:val="20"/>
    </w:rPr>
  </w:style>
  <w:style w:type="paragraph" w:customStyle="1" w:styleId="140">
    <w:name w:val="【标题2】"/>
    <w:basedOn w:val="4"/>
    <w:qFormat/>
    <w:uiPriority w:val="0"/>
    <w:pPr>
      <w:keepNext w:val="0"/>
      <w:spacing w:before="120" w:after="120"/>
      <w:jc w:val="both"/>
    </w:pPr>
    <w:rPr>
      <w:szCs w:val="20"/>
    </w:rPr>
  </w:style>
  <w:style w:type="paragraph" w:customStyle="1" w:styleId="141">
    <w:name w:val="【标题3】"/>
    <w:basedOn w:val="5"/>
    <w:qFormat/>
    <w:uiPriority w:val="0"/>
    <w:pPr>
      <w:keepNext w:val="0"/>
      <w:spacing w:before="240" w:after="240" w:line="380" w:lineRule="exact"/>
    </w:pPr>
    <w:rPr>
      <w:sz w:val="30"/>
      <w:szCs w:val="20"/>
    </w:rPr>
  </w:style>
  <w:style w:type="paragraph" w:customStyle="1" w:styleId="142">
    <w:name w:val="Char Char Char Char1"/>
    <w:basedOn w:val="1"/>
    <w:qFormat/>
    <w:uiPriority w:val="0"/>
    <w:pPr>
      <w:tabs>
        <w:tab w:val="left" w:pos="1080"/>
      </w:tabs>
      <w:jc w:val="left"/>
    </w:pPr>
    <w:rPr>
      <w:rFonts w:ascii="Calibri" w:hAnsi="Calibri"/>
      <w:szCs w:val="21"/>
    </w:rPr>
  </w:style>
  <w:style w:type="paragraph" w:customStyle="1" w:styleId="143">
    <w:name w:val="正文缩进1"/>
    <w:basedOn w:val="1"/>
    <w:qFormat/>
    <w:uiPriority w:val="0"/>
    <w:pPr>
      <w:spacing w:line="520" w:lineRule="exact"/>
      <w:ind w:firstLine="624"/>
    </w:pPr>
    <w:rPr>
      <w:sz w:val="28"/>
    </w:rPr>
  </w:style>
  <w:style w:type="paragraph" w:customStyle="1" w:styleId="144">
    <w:name w:val="内容11"/>
    <w:basedOn w:val="19"/>
    <w:qFormat/>
    <w:uiPriority w:val="0"/>
    <w:pPr>
      <w:ind w:right="-92" w:rightChars="-44" w:firstLine="415" w:firstLineChars="179"/>
    </w:pPr>
    <w:rPr>
      <w:rFonts w:hAnsi="宋体"/>
      <w:spacing w:val="-4"/>
      <w:position w:val="6"/>
      <w:sz w:val="24"/>
      <w:szCs w:val="24"/>
    </w:rPr>
  </w:style>
  <w:style w:type="paragraph" w:customStyle="1" w:styleId="145">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146">
    <w:name w:val="四级标题"/>
    <w:basedOn w:val="6"/>
    <w:next w:val="1"/>
    <w:qFormat/>
    <w:uiPriority w:val="0"/>
    <w:pPr>
      <w:spacing w:after="0" w:line="480" w:lineRule="exact"/>
      <w:jc w:val="both"/>
    </w:pPr>
    <w:rPr>
      <w:rFonts w:asciiTheme="minorHAnsi" w:hAnsiTheme="minorHAnsi" w:cstheme="minorBidi"/>
      <w:bCs/>
      <w:color w:val="0070C0"/>
      <w:sz w:val="24"/>
      <w:szCs w:val="28"/>
    </w:rPr>
  </w:style>
  <w:style w:type="paragraph" w:customStyle="1" w:styleId="147">
    <w:name w:val="正文 + 首行缩进:  2 字符"/>
    <w:basedOn w:val="1"/>
    <w:qFormat/>
    <w:uiPriority w:val="99"/>
    <w:pPr>
      <w:spacing w:line="480" w:lineRule="exact"/>
      <w:ind w:firstLine="200" w:firstLineChars="200"/>
      <w:jc w:val="left"/>
    </w:pPr>
    <w:rPr>
      <w:snapToGrid w:val="0"/>
      <w:kern w:val="0"/>
      <w:sz w:val="24"/>
    </w:rPr>
  </w:style>
  <w:style w:type="paragraph" w:customStyle="1" w:styleId="148">
    <w:name w:val="正文111"/>
    <w:basedOn w:val="1"/>
    <w:qFormat/>
    <w:uiPriority w:val="0"/>
    <w:pPr>
      <w:spacing w:line="520" w:lineRule="exact"/>
      <w:ind w:firstLine="480" w:firstLineChars="200"/>
    </w:pPr>
  </w:style>
  <w:style w:type="paragraph" w:customStyle="1" w:styleId="149">
    <w:name w:val="正文（首行缩进两字） Char"/>
    <w:basedOn w:val="1"/>
    <w:qFormat/>
    <w:uiPriority w:val="0"/>
    <w:pPr>
      <w:widowControl/>
      <w:spacing w:line="360" w:lineRule="auto"/>
      <w:ind w:firstLine="420"/>
    </w:pPr>
    <w:rPr>
      <w:kern w:val="0"/>
      <w:sz w:val="24"/>
      <w:szCs w:val="20"/>
    </w:rPr>
  </w:style>
  <w:style w:type="paragraph" w:customStyle="1" w:styleId="150">
    <w:name w:val="我的正文"/>
    <w:basedOn w:val="1"/>
    <w:qFormat/>
    <w:uiPriority w:val="0"/>
    <w:pPr>
      <w:adjustRightInd w:val="0"/>
      <w:snapToGrid w:val="0"/>
      <w:spacing w:line="480" w:lineRule="exact"/>
      <w:ind w:firstLine="720" w:firstLineChars="200"/>
      <w:jc w:val="left"/>
    </w:pPr>
    <w:rPr>
      <w:bCs/>
      <w:kern w:val="0"/>
      <w:sz w:val="20"/>
      <w:szCs w:val="21"/>
    </w:rPr>
  </w:style>
  <w:style w:type="paragraph" w:customStyle="1" w:styleId="151">
    <w:name w:val="表头和图片"/>
    <w:basedOn w:val="19"/>
    <w:next w:val="1"/>
    <w:qFormat/>
    <w:uiPriority w:val="0"/>
    <w:pPr>
      <w:spacing w:line="480" w:lineRule="exact"/>
    </w:pPr>
    <w:rPr>
      <w:rFonts w:eastAsia="黑体"/>
      <w:b/>
    </w:rPr>
  </w:style>
  <w:style w:type="paragraph" w:styleId="152">
    <w:name w:val="List Paragraph"/>
    <w:basedOn w:val="1"/>
    <w:qFormat/>
    <w:uiPriority w:val="0"/>
    <w:pPr>
      <w:ind w:firstLine="420" w:firstLineChars="200"/>
    </w:pPr>
  </w:style>
  <w:style w:type="paragraph" w:customStyle="1" w:styleId="153">
    <w:name w:val="我的表格"/>
    <w:basedOn w:val="1"/>
    <w:next w:val="1"/>
    <w:qFormat/>
    <w:uiPriority w:val="0"/>
    <w:pPr>
      <w:adjustRightInd w:val="0"/>
      <w:snapToGrid w:val="0"/>
      <w:spacing w:beforeLines="10" w:afterLines="10" w:line="240" w:lineRule="atLeast"/>
      <w:jc w:val="center"/>
    </w:pPr>
    <w:rPr>
      <w:kern w:val="0"/>
      <w:szCs w:val="20"/>
    </w:rPr>
  </w:style>
  <w:style w:type="paragraph" w:customStyle="1" w:styleId="154">
    <w:name w:val="正文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Calibri" w:cs="Times New Roman"/>
      <w:kern w:val="2"/>
      <w:sz w:val="21"/>
      <w:szCs w:val="24"/>
      <w:lang w:val="en-US" w:eastAsia="zh-CN" w:bidi="ar-SA"/>
    </w:rPr>
  </w:style>
  <w:style w:type="table" w:customStyle="1" w:styleId="155">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56">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customStyle="1" w:styleId="157">
    <w:name w:val="表格中文字"/>
    <w:basedOn w:val="1"/>
    <w:qFormat/>
    <w:uiPriority w:val="0"/>
    <w:pPr>
      <w:adjustRightInd w:val="0"/>
      <w:snapToGrid w:val="0"/>
      <w:jc w:val="center"/>
    </w:pPr>
    <w:rPr>
      <w:kern w:val="18"/>
      <w:sz w:val="20"/>
      <w:szCs w:val="21"/>
    </w:rPr>
  </w:style>
  <w:style w:type="paragraph" w:customStyle="1" w:styleId="158">
    <w:name w:val="环评正文"/>
    <w:basedOn w:val="159"/>
    <w:qFormat/>
    <w:uiPriority w:val="0"/>
    <w:pPr>
      <w:ind w:firstLine="425" w:firstLineChars="177"/>
    </w:pPr>
    <w:rPr>
      <w:kern w:val="0"/>
    </w:rPr>
  </w:style>
  <w:style w:type="paragraph" w:customStyle="1" w:styleId="159">
    <w:name w:val="Char Char Char"/>
    <w:basedOn w:val="1"/>
    <w:next w:val="1"/>
    <w:qFormat/>
    <w:uiPriority w:val="0"/>
    <w:pPr>
      <w:spacing w:line="360" w:lineRule="auto"/>
      <w:ind w:firstLine="200" w:firstLineChars="200"/>
    </w:pPr>
    <w:rPr>
      <w:rFonts w:ascii="宋体" w:hAnsi="宋体" w:cs="宋体"/>
      <w:sz w:val="24"/>
    </w:rPr>
  </w:style>
  <w:style w:type="paragraph" w:customStyle="1" w:styleId="160">
    <w:name w:val="巴彦3"/>
    <w:basedOn w:val="5"/>
    <w:next w:val="161"/>
    <w:qFormat/>
    <w:uiPriority w:val="0"/>
    <w:rPr>
      <w:color w:val="0070C0"/>
    </w:rPr>
  </w:style>
  <w:style w:type="paragraph" w:customStyle="1" w:styleId="161">
    <w:name w:val="巴彦正文"/>
    <w:basedOn w:val="1"/>
    <w:qFormat/>
    <w:uiPriority w:val="0"/>
    <w:pPr>
      <w:spacing w:line="360" w:lineRule="auto"/>
      <w:ind w:firstLine="200" w:firstLineChars="200"/>
    </w:pPr>
    <w:rPr>
      <w:sz w:val="28"/>
    </w:rPr>
  </w:style>
  <w:style w:type="paragraph" w:customStyle="1" w:styleId="162">
    <w:name w:val="正文01"/>
    <w:basedOn w:val="1"/>
    <w:qFormat/>
    <w:uiPriority w:val="0"/>
    <w:pPr>
      <w:spacing w:before="60" w:line="460" w:lineRule="exact"/>
      <w:ind w:firstLine="200" w:firstLineChars="200"/>
    </w:pPr>
    <w:rPr>
      <w:snapToGrid w:val="0"/>
      <w:kern w:val="0"/>
    </w:rPr>
  </w:style>
  <w:style w:type="paragraph" w:customStyle="1" w:styleId="163">
    <w:name w:val="图表内容"/>
    <w:next w:val="17"/>
    <w:qFormat/>
    <w:uiPriority w:val="0"/>
    <w:pPr>
      <w:jc w:val="center"/>
    </w:pPr>
    <w:rPr>
      <w:rFonts w:ascii="Calibri" w:hAnsi="Calibri" w:eastAsia="宋体" w:cs="Times New Roman"/>
      <w:kern w:val="2"/>
      <w:sz w:val="21"/>
      <w:szCs w:val="21"/>
      <w:lang w:val="en-US" w:eastAsia="zh-CN" w:bidi="ar-SA"/>
    </w:rPr>
  </w:style>
  <w:style w:type="paragraph" w:customStyle="1" w:styleId="164">
    <w:name w:val="表、图名"/>
    <w:basedOn w:val="1"/>
    <w:qFormat/>
    <w:uiPriority w:val="0"/>
    <w:pPr>
      <w:adjustRightInd w:val="0"/>
      <w:snapToGrid w:val="0"/>
      <w:jc w:val="center"/>
    </w:pPr>
    <w:rPr>
      <w:rFonts w:ascii="黑体" w:hAnsi="黑体" w:eastAsia="黑体" w:cstheme="minorBidi"/>
      <w:szCs w:val="21"/>
    </w:rPr>
  </w:style>
  <w:style w:type="paragraph" w:customStyle="1" w:styleId="165">
    <w:name w:val="报告书正文"/>
    <w:basedOn w:val="1"/>
    <w:qFormat/>
    <w:uiPriority w:val="0"/>
    <w:pPr>
      <w:adjustRightInd w:val="0"/>
      <w:snapToGrid w:val="0"/>
      <w:spacing w:line="360" w:lineRule="auto"/>
      <w:ind w:firstLine="425"/>
      <w:textAlignment w:val="baseline"/>
    </w:pPr>
    <w:rPr>
      <w:rFonts w:ascii="Arial" w:hAnsi="Arial"/>
      <w:kern w:val="0"/>
      <w:sz w:val="24"/>
    </w:rPr>
  </w:style>
  <w:style w:type="paragraph" w:customStyle="1" w:styleId="166">
    <w:name w:val="九晟表格"/>
    <w:basedOn w:val="1"/>
    <w:qFormat/>
    <w:uiPriority w:val="0"/>
    <w:pPr>
      <w:jc w:val="center"/>
    </w:pPr>
    <w:rPr>
      <w:rFonts w:hAnsi="宋体"/>
      <w:szCs w:val="21"/>
    </w:rPr>
  </w:style>
  <w:style w:type="paragraph" w:customStyle="1" w:styleId="167">
    <w:name w:val="p0"/>
    <w:basedOn w:val="1"/>
    <w:qFormat/>
    <w:uiPriority w:val="0"/>
    <w:pPr>
      <w:widowControl/>
    </w:pPr>
    <w:rPr>
      <w:kern w:val="0"/>
      <w:szCs w:val="21"/>
    </w:rPr>
  </w:style>
  <w:style w:type="paragraph" w:customStyle="1" w:styleId="168">
    <w:name w:val="00"/>
    <w:basedOn w:val="1"/>
    <w:qFormat/>
    <w:uiPriority w:val="0"/>
    <w:pPr>
      <w:spacing w:line="520" w:lineRule="exact"/>
      <w:ind w:firstLine="200" w:firstLineChars="200"/>
    </w:pPr>
    <w:rPr>
      <w:rFonts w:ascii="宋体" w:hAnsi="宋体" w:cs="宋体"/>
      <w:sz w:val="24"/>
      <w:szCs w:val="20"/>
    </w:rPr>
  </w:style>
  <w:style w:type="paragraph" w:customStyle="1" w:styleId="169">
    <w:name w:val="C首行缩进正文"/>
    <w:basedOn w:val="86"/>
    <w:qFormat/>
    <w:uiPriority w:val="0"/>
    <w:pPr>
      <w:ind w:firstLine="200"/>
    </w:pPr>
    <w:rPr>
      <w:rFonts w:cs="宋体"/>
      <w:color w:val="000000"/>
      <w:sz w:val="21"/>
    </w:rPr>
  </w:style>
  <w:style w:type="paragraph" w:customStyle="1" w:styleId="170">
    <w:name w:val="表中文字"/>
    <w:basedOn w:val="1"/>
    <w:qFormat/>
    <w:uiPriority w:val="0"/>
    <w:pPr>
      <w:jc w:val="center"/>
    </w:pPr>
  </w:style>
  <w:style w:type="paragraph" w:customStyle="1" w:styleId="171">
    <w:name w:val="Char Char Char Char Char Char Char2"/>
    <w:basedOn w:val="1"/>
    <w:qFormat/>
    <w:uiPriority w:val="0"/>
    <w:pPr>
      <w:snapToGrid w:val="0"/>
      <w:spacing w:line="360" w:lineRule="auto"/>
      <w:ind w:firstLine="529" w:firstLineChars="200"/>
    </w:pPr>
  </w:style>
  <w:style w:type="paragraph" w:customStyle="1" w:styleId="172">
    <w:name w:val="【正文四号】"/>
    <w:basedOn w:val="1"/>
    <w:qFormat/>
    <w:uiPriority w:val="0"/>
    <w:pPr>
      <w:spacing w:line="360" w:lineRule="auto"/>
      <w:ind w:firstLine="200" w:firstLineChars="200"/>
    </w:pPr>
    <w:rPr>
      <w:kern w:val="0"/>
      <w:sz w:val="28"/>
    </w:rPr>
  </w:style>
  <w:style w:type="paragraph" w:customStyle="1" w:styleId="173">
    <w:name w:val="样式3"/>
    <w:basedOn w:val="1"/>
    <w:qFormat/>
    <w:uiPriority w:val="0"/>
    <w:pPr>
      <w:spacing w:line="288" w:lineRule="auto"/>
      <w:jc w:val="center"/>
    </w:pPr>
    <w:rPr>
      <w:rFonts w:ascii="宋体" w:hAnsi="宋体"/>
      <w:bCs/>
      <w:sz w:val="24"/>
    </w:rPr>
  </w:style>
  <w:style w:type="paragraph" w:customStyle="1" w:styleId="174">
    <w:name w:val=".表1-1-1"/>
    <w:basedOn w:val="1"/>
    <w:qFormat/>
    <w:uiPriority w:val="0"/>
    <w:pPr>
      <w:spacing w:line="500" w:lineRule="exact"/>
      <w:jc w:val="center"/>
    </w:pPr>
    <w:rPr>
      <w:rFonts w:eastAsia="黑体"/>
      <w:kern w:val="0"/>
    </w:rPr>
  </w:style>
  <w:style w:type="paragraph" w:customStyle="1" w:styleId="175">
    <w:name w:val="表内"/>
    <w:basedOn w:val="1"/>
    <w:qFormat/>
    <w:uiPriority w:val="0"/>
    <w:pPr>
      <w:jc w:val="center"/>
    </w:pPr>
    <w:rPr>
      <w:kern w:val="0"/>
      <w:szCs w:val="20"/>
    </w:rPr>
  </w:style>
  <w:style w:type="paragraph" w:customStyle="1" w:styleId="176">
    <w:name w:val="_Style 4"/>
    <w:qFormat/>
    <w:uiPriority w:val="1"/>
    <w:pPr>
      <w:widowControl w:val="0"/>
      <w:spacing w:line="440" w:lineRule="exact"/>
      <w:jc w:val="both"/>
    </w:pPr>
    <w:rPr>
      <w:rFonts w:ascii="Times New Roman" w:hAnsi="Times New Roman" w:eastAsia="FangSong_GB2312" w:cs="Times New Roman"/>
      <w:kern w:val="2"/>
      <w:sz w:val="24"/>
      <w:szCs w:val="24"/>
      <w:lang w:val="en-US" w:eastAsia="zh-CN" w:bidi="ar-SA"/>
    </w:rPr>
  </w:style>
  <w:style w:type="paragraph" w:customStyle="1" w:styleId="177">
    <w:name w:val="正文内容"/>
    <w:basedOn w:val="1"/>
    <w:qFormat/>
    <w:uiPriority w:val="0"/>
    <w:pPr>
      <w:ind w:firstLine="200" w:firstLineChars="200"/>
    </w:pPr>
    <w:rPr>
      <w:sz w:val="28"/>
    </w:rPr>
  </w:style>
  <w:style w:type="paragraph" w:customStyle="1" w:styleId="178">
    <w:name w:val="首行缩进正文"/>
    <w:basedOn w:val="86"/>
    <w:qFormat/>
    <w:uiPriority w:val="0"/>
    <w:rPr>
      <w:sz w:val="21"/>
    </w:rPr>
  </w:style>
  <w:style w:type="paragraph" w:customStyle="1" w:styleId="179">
    <w:name w:val="表中文字（工大）"/>
    <w:basedOn w:val="1"/>
    <w:qFormat/>
    <w:uiPriority w:val="0"/>
    <w:pPr>
      <w:spacing w:line="400" w:lineRule="exact"/>
      <w:jc w:val="center"/>
    </w:pPr>
    <w:rPr>
      <w:szCs w:val="21"/>
    </w:rPr>
  </w:style>
  <w:style w:type="paragraph" w:customStyle="1" w:styleId="180">
    <w:name w:val="样式 黑体 居中 行距: 1.5 倍行距"/>
    <w:basedOn w:val="1"/>
    <w:qFormat/>
    <w:uiPriority w:val="0"/>
    <w:pPr>
      <w:spacing w:line="360" w:lineRule="auto"/>
      <w:jc w:val="center"/>
    </w:pPr>
    <w:rPr>
      <w:rFonts w:ascii="黑体" w:hAnsi="黑体" w:eastAsia="黑体" w:cs="宋体"/>
    </w:rPr>
  </w:style>
  <w:style w:type="paragraph" w:customStyle="1" w:styleId="181">
    <w:name w:val="正文文字进缩"/>
    <w:basedOn w:val="1"/>
    <w:qFormat/>
    <w:uiPriority w:val="0"/>
    <w:pPr>
      <w:spacing w:line="360" w:lineRule="auto"/>
      <w:ind w:firstLine="200" w:firstLineChars="200"/>
    </w:pPr>
    <w:rPr>
      <w:rFonts w:ascii="FangSong_GB2312" w:eastAsia="FangSong_GB2312"/>
      <w:sz w:val="30"/>
      <w:szCs w:val="20"/>
    </w:rPr>
  </w:style>
  <w:style w:type="paragraph" w:customStyle="1" w:styleId="182">
    <w:name w:val="Body Text 21"/>
    <w:qFormat/>
    <w:uiPriority w:val="0"/>
    <w:pPr>
      <w:widowControl w:val="0"/>
      <w:adjustRightInd w:val="0"/>
      <w:spacing w:line="320" w:lineRule="exact"/>
      <w:jc w:val="both"/>
      <w:textAlignment w:val="baseline"/>
    </w:pPr>
    <w:rPr>
      <w:rFonts w:ascii="FangSong_GB2312" w:hAnsi="Times New Roman" w:eastAsia="仿宋体" w:cs="Times New Roman"/>
      <w:kern w:val="2"/>
      <w:sz w:val="24"/>
      <w:szCs w:val="20"/>
      <w:lang w:val="en-US" w:eastAsia="zh-CN" w:bidi="ar-SA"/>
    </w:rPr>
  </w:style>
  <w:style w:type="paragraph" w:customStyle="1" w:styleId="183">
    <w:name w:val="表格字体1"/>
    <w:basedOn w:val="1"/>
    <w:qFormat/>
    <w:uiPriority w:val="0"/>
    <w:pPr>
      <w:adjustRightInd w:val="0"/>
      <w:snapToGrid w:val="0"/>
      <w:spacing w:beforeLines="20" w:afterLines="20"/>
      <w:jc w:val="center"/>
    </w:pPr>
    <w:rPr>
      <w:kern w:val="0"/>
      <w:szCs w:val="21"/>
    </w:rPr>
  </w:style>
  <w:style w:type="paragraph" w:customStyle="1" w:styleId="184">
    <w:name w:val="表蕊"/>
    <w:basedOn w:val="1"/>
    <w:qFormat/>
    <w:uiPriority w:val="0"/>
    <w:pPr>
      <w:adjustRightInd w:val="0"/>
      <w:spacing w:line="320" w:lineRule="atLeast"/>
      <w:textAlignment w:val="baseline"/>
    </w:pPr>
    <w:rPr>
      <w:rFonts w:eastAsia="楷体_GB2312"/>
      <w:spacing w:val="-10"/>
      <w:kern w:val="0"/>
      <w:szCs w:val="20"/>
    </w:rPr>
  </w:style>
  <w:style w:type="paragraph" w:customStyle="1" w:styleId="185">
    <w:name w:val="盂县"/>
    <w:basedOn w:val="1"/>
    <w:qFormat/>
    <w:uiPriority w:val="0"/>
    <w:pPr>
      <w:adjustRightInd w:val="0"/>
      <w:snapToGrid w:val="0"/>
      <w:spacing w:line="312" w:lineRule="auto"/>
      <w:ind w:firstLine="560" w:firstLineChars="200"/>
    </w:pPr>
    <w:rPr>
      <w:sz w:val="28"/>
    </w:rPr>
  </w:style>
  <w:style w:type="paragraph" w:customStyle="1" w:styleId="186">
    <w:name w:val="表内文"/>
    <w:basedOn w:val="1"/>
    <w:qFormat/>
    <w:uiPriority w:val="0"/>
    <w:pPr>
      <w:adjustRightInd w:val="0"/>
      <w:snapToGrid w:val="0"/>
      <w:jc w:val="center"/>
    </w:pPr>
  </w:style>
  <w:style w:type="paragraph" w:customStyle="1" w:styleId="187">
    <w:name w:val="!报告表表格"/>
    <w:next w:val="188"/>
    <w:qFormat/>
    <w:uiPriority w:val="0"/>
    <w:pPr>
      <w:jc w:val="center"/>
    </w:pPr>
    <w:rPr>
      <w:rFonts w:ascii="Times New Roman" w:hAnsi="Times New Roman" w:eastAsia="宋体" w:cs="Times New Roman"/>
      <w:kern w:val="0"/>
      <w:sz w:val="21"/>
      <w:szCs w:val="20"/>
      <w:lang w:val="en-US" w:eastAsia="zh-CN" w:bidi="ar-SA"/>
    </w:rPr>
  </w:style>
  <w:style w:type="paragraph" w:customStyle="1" w:styleId="188">
    <w:name w:val="！报告表正文"/>
    <w:basedOn w:val="86"/>
    <w:qFormat/>
    <w:uiPriority w:val="0"/>
    <w:pPr>
      <w:ind w:firstLine="200"/>
    </w:pPr>
    <w:rPr>
      <w:kern w:val="0"/>
      <w:szCs w:val="20"/>
    </w:rPr>
  </w:style>
  <w:style w:type="character" w:customStyle="1" w:styleId="189">
    <w:name w:val="【表头】 Char"/>
    <w:link w:val="137"/>
    <w:qFormat/>
    <w:uiPriority w:val="0"/>
    <w:rPr>
      <w:rFonts w:ascii="Times New Roman" w:hAnsi="Times New Roman" w:eastAsia="黑体" w:cs="Times New Roman"/>
      <w:sz w:val="24"/>
      <w:szCs w:val="24"/>
    </w:rPr>
  </w:style>
  <w:style w:type="paragraph" w:customStyle="1" w:styleId="190">
    <w:name w:val="居中表格内容"/>
    <w:basedOn w:val="1"/>
    <w:qFormat/>
    <w:uiPriority w:val="0"/>
    <w:pPr>
      <w:jc w:val="center"/>
    </w:pPr>
    <w:rPr>
      <w:rFonts w:hint="eastAsia"/>
      <w:szCs w:val="20"/>
    </w:rPr>
  </w:style>
  <w:style w:type="paragraph" w:customStyle="1" w:styleId="19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2">
    <w:name w:val="fontstyle11"/>
    <w:basedOn w:val="36"/>
    <w:qFormat/>
    <w:uiPriority w:val="0"/>
    <w:rPr>
      <w:rFonts w:hint="default" w:ascii="Cambria Math" w:hAnsi="Cambria Math"/>
      <w:color w:val="000000"/>
      <w:sz w:val="24"/>
      <w:szCs w:val="24"/>
    </w:rPr>
  </w:style>
  <w:style w:type="character" w:customStyle="1" w:styleId="193">
    <w:name w:val="fontstyle41"/>
    <w:basedOn w:val="36"/>
    <w:qFormat/>
    <w:uiPriority w:val="0"/>
    <w:rPr>
      <w:rFonts w:hint="eastAsia" w:ascii="宋体" w:hAnsi="宋体" w:eastAsia="宋体" w:cs="宋体"/>
      <w:color w:val="000000"/>
      <w:sz w:val="24"/>
      <w:szCs w:val="24"/>
    </w:rPr>
  </w:style>
  <w:style w:type="character" w:customStyle="1" w:styleId="194">
    <w:name w:val="fontstyle31"/>
    <w:basedOn w:val="36"/>
    <w:qFormat/>
    <w:uiPriority w:val="0"/>
    <w:rPr>
      <w:rFonts w:hint="default" w:ascii="Cambria Math" w:hAnsi="Cambria Math"/>
      <w:color w:val="000000"/>
      <w:sz w:val="24"/>
      <w:szCs w:val="24"/>
    </w:rPr>
  </w:style>
  <w:style w:type="paragraph" w:customStyle="1" w:styleId="195">
    <w:name w:val="表格里"/>
    <w:basedOn w:val="124"/>
    <w:next w:val="124"/>
    <w:qFormat/>
    <w:uiPriority w:val="0"/>
    <w:pPr>
      <w:spacing w:line="240" w:lineRule="auto"/>
      <w:ind w:left="0" w:firstLine="0" w:firstLineChars="0"/>
      <w:jc w:val="center"/>
    </w:pPr>
    <w:rPr>
      <w:rFonts w:ascii="Times New Roman" w:hAnsi="Times New Roman" w:eastAsia="宋体" w:cs="Times New Roman"/>
      <w:snapToGrid w:val="0"/>
      <w:sz w:val="18"/>
      <w:szCs w:val="18"/>
    </w:rPr>
  </w:style>
  <w:style w:type="paragraph" w:customStyle="1" w:styleId="196">
    <w:name w:val="a正文"/>
    <w:basedOn w:val="1"/>
    <w:qFormat/>
    <w:uiPriority w:val="0"/>
    <w:pPr>
      <w:spacing w:line="520" w:lineRule="exact"/>
      <w:ind w:firstLine="561"/>
    </w:pPr>
    <w:rPr>
      <w:sz w:val="28"/>
      <w:szCs w:val="22"/>
    </w:rPr>
  </w:style>
  <w:style w:type="paragraph" w:customStyle="1" w:styleId="197">
    <w:name w:val="A本文表格"/>
    <w:basedOn w:val="1"/>
    <w:qFormat/>
    <w:uiPriority w:val="0"/>
    <w:pPr>
      <w:autoSpaceDE w:val="0"/>
      <w:autoSpaceDN w:val="0"/>
      <w:jc w:val="center"/>
    </w:pPr>
    <w:rPr>
      <w:color w:val="000000"/>
      <w:kern w:val="0"/>
      <w:szCs w:val="21"/>
    </w:rPr>
  </w:style>
  <w:style w:type="paragraph" w:customStyle="1" w:styleId="198">
    <w:name w:val="表格名字"/>
    <w:basedOn w:val="199"/>
    <w:qFormat/>
    <w:uiPriority w:val="0"/>
    <w:pPr>
      <w:spacing w:before="50" w:beforeLines="50" w:line="360" w:lineRule="auto"/>
    </w:pPr>
    <w:rPr>
      <w:b/>
    </w:rPr>
  </w:style>
  <w:style w:type="paragraph" w:customStyle="1" w:styleId="199">
    <w:name w:val="本文表格"/>
    <w:basedOn w:val="200"/>
    <w:qFormat/>
    <w:uiPriority w:val="0"/>
    <w:rPr>
      <w:szCs w:val="21"/>
    </w:rPr>
  </w:style>
  <w:style w:type="paragraph" w:customStyle="1" w:styleId="200">
    <w:name w:val="表文字"/>
    <w:basedOn w:val="1"/>
    <w:qFormat/>
    <w:uiPriority w:val="0"/>
    <w:pPr>
      <w:overflowPunct w:val="0"/>
      <w:autoSpaceDE w:val="0"/>
      <w:autoSpaceDN w:val="0"/>
      <w:jc w:val="center"/>
    </w:pPr>
    <w:rPr>
      <w:kern w:val="0"/>
      <w:szCs w:val="20"/>
    </w:rPr>
  </w:style>
  <w:style w:type="character" w:customStyle="1" w:styleId="201">
    <w:name w:val="fontstyle01"/>
    <w:basedOn w:val="36"/>
    <w:qFormat/>
    <w:uiPriority w:val="0"/>
    <w:rPr>
      <w:rFonts w:hint="eastAsia" w:ascii="宋体" w:hAnsi="宋体" w:eastAsia="宋体"/>
      <w:color w:val="000000"/>
      <w:sz w:val="24"/>
      <w:szCs w:val="24"/>
    </w:rPr>
  </w:style>
  <w:style w:type="character" w:customStyle="1" w:styleId="202">
    <w:name w:val="font31"/>
    <w:basedOn w:val="36"/>
    <w:qFormat/>
    <w:uiPriority w:val="0"/>
    <w:rPr>
      <w:rFonts w:hint="eastAsia" w:ascii="宋体" w:hAnsi="宋体" w:eastAsia="宋体" w:cs="宋体"/>
      <w:color w:val="0000FF"/>
      <w:sz w:val="24"/>
      <w:szCs w:val="24"/>
      <w:u w:val="none"/>
    </w:rPr>
  </w:style>
  <w:style w:type="character" w:customStyle="1" w:styleId="203">
    <w:name w:val="font11"/>
    <w:basedOn w:val="36"/>
    <w:qFormat/>
    <w:uiPriority w:val="0"/>
    <w:rPr>
      <w:rFonts w:hint="default" w:ascii="Times New Roman" w:hAnsi="Times New Roman" w:cs="Times New Roman"/>
      <w:color w:val="0000FF"/>
      <w:sz w:val="24"/>
      <w:szCs w:val="24"/>
      <w:u w:val="none"/>
    </w:rPr>
  </w:style>
  <w:style w:type="character" w:customStyle="1" w:styleId="204">
    <w:name w:val="font41"/>
    <w:basedOn w:val="36"/>
    <w:qFormat/>
    <w:uiPriority w:val="0"/>
    <w:rPr>
      <w:rFonts w:hint="default" w:ascii="Times New Roman" w:hAnsi="Times New Roman" w:cs="Times New Roman"/>
      <w:color w:val="0000FF"/>
      <w:sz w:val="24"/>
      <w:szCs w:val="24"/>
      <w:u w:val="none"/>
      <w:vertAlign w:val="superscript"/>
    </w:rPr>
  </w:style>
  <w:style w:type="paragraph" w:customStyle="1" w:styleId="205">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206">
    <w:name w:val="附件标题"/>
    <w:basedOn w:val="1"/>
    <w:next w:val="124"/>
    <w:qFormat/>
    <w:uiPriority w:val="0"/>
    <w:pPr>
      <w:spacing w:line="360" w:lineRule="auto"/>
      <w:ind w:firstLine="425"/>
      <w:textAlignment w:val="baseline"/>
    </w:pPr>
    <w:rPr>
      <w:rFonts w:ascii="Arial" w:hAnsi="Arial"/>
      <w:kern w:val="0"/>
      <w:sz w:val="24"/>
    </w:rPr>
  </w:style>
  <w:style w:type="paragraph" w:customStyle="1" w:styleId="207">
    <w:name w:val="M表中字体"/>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208">
    <w:name w:val="font21"/>
    <w:basedOn w:val="36"/>
    <w:qFormat/>
    <w:uiPriority w:val="0"/>
    <w:rPr>
      <w:rFonts w:hint="eastAsia" w:ascii="宋体" w:hAnsi="宋体" w:eastAsia="宋体" w:cs="宋体"/>
      <w:color w:val="0000FF"/>
      <w:sz w:val="18"/>
      <w:szCs w:val="18"/>
      <w:u w:val="none"/>
    </w:rPr>
  </w:style>
  <w:style w:type="paragraph" w:customStyle="1" w:styleId="209">
    <w:name w:val="..正文"/>
    <w:basedOn w:val="1"/>
    <w:qFormat/>
    <w:uiPriority w:val="0"/>
    <w:pPr>
      <w:spacing w:line="500" w:lineRule="exact"/>
      <w:ind w:firstLine="200"/>
    </w:pPr>
    <w:rPr>
      <w:kern w:val="0"/>
      <w:szCs w:val="24"/>
    </w:rPr>
  </w:style>
  <w:style w:type="paragraph" w:customStyle="1" w:styleId="210">
    <w:name w:val="【表头。。】"/>
    <w:basedOn w:val="211"/>
    <w:qFormat/>
    <w:uiPriority w:val="0"/>
    <w:rPr>
      <w:rFonts w:ascii="Times New Roman" w:hAnsi="Times New Roman"/>
    </w:rPr>
  </w:style>
  <w:style w:type="paragraph" w:customStyle="1" w:styleId="211">
    <w:name w:val="表头、图号格式"/>
    <w:basedOn w:val="1"/>
    <w:next w:val="1"/>
    <w:qFormat/>
    <w:uiPriority w:val="0"/>
    <w:pPr>
      <w:adjustRightInd w:val="0"/>
      <w:snapToGrid w:val="0"/>
      <w:spacing w:line="500" w:lineRule="exact"/>
      <w:ind w:firstLine="0" w:firstLineChars="0"/>
      <w:jc w:val="center"/>
    </w:pPr>
    <w:rPr>
      <w:rFonts w:ascii="黑体" w:hAnsi="黑体" w:eastAsia="黑体"/>
      <w:kern w:val="0"/>
    </w:rPr>
  </w:style>
  <w:style w:type="character" w:customStyle="1" w:styleId="212">
    <w:name w:val="孙忠园正文"/>
    <w:qFormat/>
    <w:uiPriority w:val="0"/>
    <w:rPr>
      <w:rFonts w:ascii="Times New Roman" w:hAnsi="Times New Roman" w:eastAsia="宋体"/>
      <w:color w:val="auto"/>
      <w:sz w:val="24"/>
      <w:vertAlign w:val="baseli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8.png"/><Relationship Id="rId45" Type="http://schemas.openxmlformats.org/officeDocument/2006/relationships/image" Target="media/image27.wmf"/><Relationship Id="rId44" Type="http://schemas.openxmlformats.org/officeDocument/2006/relationships/oleObject" Target="embeddings/oleObject12.bin"/><Relationship Id="rId43" Type="http://schemas.openxmlformats.org/officeDocument/2006/relationships/image" Target="media/image26.wmf"/><Relationship Id="rId42" Type="http://schemas.openxmlformats.org/officeDocument/2006/relationships/oleObject" Target="embeddings/oleObject11.bin"/><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2.xml"/><Relationship Id="rId39" Type="http://schemas.openxmlformats.org/officeDocument/2006/relationships/oleObject" Target="embeddings/oleObject10.bin"/><Relationship Id="rId38" Type="http://schemas.openxmlformats.org/officeDocument/2006/relationships/image" Target="media/image23.wmf"/><Relationship Id="rId37" Type="http://schemas.openxmlformats.org/officeDocument/2006/relationships/oleObject" Target="embeddings/oleObject9.bin"/><Relationship Id="rId36" Type="http://schemas.openxmlformats.org/officeDocument/2006/relationships/image" Target="media/image22.wmf"/><Relationship Id="rId35" Type="http://schemas.openxmlformats.org/officeDocument/2006/relationships/oleObject" Target="embeddings/oleObject8.bin"/><Relationship Id="rId34" Type="http://schemas.openxmlformats.org/officeDocument/2006/relationships/image" Target="media/image21.wmf"/><Relationship Id="rId33" Type="http://schemas.openxmlformats.org/officeDocument/2006/relationships/oleObject" Target="embeddings/oleObject7.bin"/><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43716</Words>
  <Characters>52873</Characters>
  <Lines>229</Lines>
  <Paragraphs>64</Paragraphs>
  <TotalTime>2</TotalTime>
  <ScaleCrop>false</ScaleCrop>
  <LinksUpToDate>false</LinksUpToDate>
  <CharactersWithSpaces>54022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2024-10-23T08:04:00Z</dcterms:created>
  <dc:creator>Administrator</dc:creator>
  <cp:lastModifiedBy>WPS_499239451</cp:lastModifiedBy>
  <dcterms:modified xsi:type="dcterms:W3CDTF">2026-04-29T01:18:01Z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2979F43526C643E68559AD8636C8291D_13</vt:lpwstr>
  </property>
  <property fmtid="{D5CDD505-2E9C-101B-9397-08002B2CF9AE}" pid="4" name="KSOTemplateDocerSaveRecord">
    <vt:lpwstr>eyJoZGlkIjoiZmM3Mjc1MDkzYzc5ZmQzM2IzMTFmZGQ1MjA5OTZkYWIiLCJ1c2VySWQiOiI2MjU2OTIzNDIifQ==</vt:lpwstr>
  </property>
</Properties>
</file>