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i w:val="0"/>
          <w:iCs w:val="0"/>
          <w:caps w:val="0"/>
          <w:color w:val="1F2329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伊美环建审【2026】001号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  <w:t>关于</w:t>
      </w:r>
      <w:r>
        <w:rPr>
          <w:rFonts w:hint="default" w:asciiTheme="majorEastAsia" w:hAnsiTheme="majorEastAsia" w:eastAsiaTheme="majorEastAsia" w:cstheme="majorEastAsia"/>
          <w:b/>
          <w:bCs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  <w:t>黑龙江省小兴安岭野生动物救护繁育研究中心基础设施改扩建项目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  <w:t>环境影响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  <w:t>报告表的批复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</w:rPr>
        <w:t>黑龙江省小兴安岭野生动物救护繁育研究中心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你单位报送的《</w:t>
      </w:r>
      <w:r>
        <w:rPr>
          <w:rFonts w:hint="default" w:ascii="仿宋" w:hAnsi="仿宋" w:eastAsia="仿宋" w:cs="仿宋"/>
          <w:sz w:val="32"/>
          <w:szCs w:val="32"/>
        </w:rPr>
        <w:t>黑龙江省小兴安岭野生动物救护繁育研究中心基础设施改扩建项目</w:t>
      </w:r>
      <w:r>
        <w:rPr>
          <w:rFonts w:hint="eastAsia" w:ascii="仿宋" w:hAnsi="仿宋" w:eastAsia="仿宋" w:cs="仿宋"/>
          <w:sz w:val="32"/>
          <w:szCs w:val="32"/>
        </w:rPr>
        <w:t xml:space="preserve">环境影响报告表》（以下简称《报告表》）已收悉。经审查研究，现批复如下：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项目基本情况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</w:rPr>
        <w:t>建设地点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default" w:ascii="仿宋" w:hAnsi="仿宋" w:eastAsia="仿宋" w:cs="仿宋"/>
          <w:sz w:val="32"/>
          <w:szCs w:val="32"/>
        </w:rPr>
        <w:t>黑龙江省伊春市伊美区望塔路东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地理坐标为（</w:t>
      </w:r>
      <w:r>
        <w:rPr>
          <w:rFonts w:hint="default" w:ascii="仿宋" w:hAnsi="仿宋" w:eastAsia="仿宋" w:cs="仿宋"/>
          <w:sz w:val="32"/>
          <w:szCs w:val="32"/>
        </w:rPr>
        <w:t>东经128度54分37.473秒，北纬47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度43分14.589秒）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；建设性质：</w:t>
      </w:r>
      <w:r>
        <w:rPr>
          <w:rFonts w:hint="eastAsia" w:ascii="仿宋" w:hAnsi="仿宋" w:eastAsia="仿宋" w:cs="仿宋"/>
          <w:sz w:val="32"/>
          <w:szCs w:val="32"/>
        </w:rPr>
        <w:t>新建（迁建）项目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可研报告及其批复文件名称为改扩建，因此环评报告名称与其一致，但是实际为新建项目，实际未开工建设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)；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总投资额为2157万元</w:t>
      </w:r>
      <w:r>
        <w:rPr>
          <w:rFonts w:hint="default" w:ascii="仿宋" w:hAnsi="仿宋" w:eastAsia="仿宋" w:cs="仿宋"/>
          <w:sz w:val="32"/>
          <w:szCs w:val="32"/>
          <w:lang w:val="zh-CN" w:eastAsia="zh-CN"/>
        </w:rPr>
        <w:t>，环保投资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为265万元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项目总占地面积12542.43平方米，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拟建设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隔离检疫圈舍、收容饲养圈舍、动物医院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等主体工程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配套建设污水处理站、危险废物贮存库等环保设施，购置动物诊疗、检验检测等设备，建成后具备野生动物救护、繁育、野化放归及病死动物无害化处理能力。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二、批复意见</w:t>
      </w:r>
    </w:p>
    <w:p>
      <w:pPr>
        <w:keepNext w:val="0"/>
        <w:keepLines w:val="0"/>
        <w:pageBreakBefore w:val="0"/>
        <w:widowControl/>
        <w:tabs>
          <w:tab w:val="left" w:pos="2660"/>
        </w:tabs>
        <w:kinsoku/>
        <w:wordWrap/>
        <w:overflowPunct/>
        <w:topLinePunct w:val="0"/>
        <w:bidi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 xml:space="preserve"> 原则同意《报告表》的环境影响评价结论。项目建设符合国家产业政策、“三线一单”生态环境分区管控要求及相关法律法规规定，在严格落实《报告表》提出的各项环境保护措施后，污染物可实现达标排放，对周边环境影响较小，能够维持区域环境质量现状。从生态环境保护角度，项目建设可行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三、主要环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保要求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（一）施工期污染防治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1、废气：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施工单位必须对工程物料及土方运输车辆作出限制性规定，施工场地内运输通道应及时清扫、清洗，以减少汽车运输扬尘。运输车辆进入施工场地应限速行驶，以减少产尘量。施工场地应定时洒水，以防止浮沉颗粒，在大风日应适当增加洒水次数避免物料堆存起尘；多尘物料的露天堆放应使用帆布覆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2、噪声：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建设单位与施工单位签订合同时，要求其使用的主要机械设备为低噪声机械设备。同时在施工过程中施工单位应设专人对设备进行定期保养维护，并负责对现场工作人员进行培训，严格按操作规范操作机械，保证车辆和施工机械处于良好的运行状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合理安排施工时间，严禁在12：00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-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14：00和22：00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-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6：00施工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使用商品混凝土，避免混凝土搅拌机等噪声影响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加强对施工车辆的进出管理，缩短汽车的停留时间，禁止车辆鸣笛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建设管理部门应加强对施工现场的噪声管理，施工企业也应对施工噪声进行自律，文明施工，避免因噪声产生纠纷。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3、废水：施工期产生的生活废水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，施工人员生活污水排放依托周边市政公厕。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施工期产生的施工废水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，施工需设置沉淀池将收集的施工废水处理回用于车辆冲洗、场地降尘洒水等。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4、固体废物：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施工单位对于施工中产生的钢结构废角料收集后出售给废品收购站，不可利用建筑垃圾送垃圾填埋场进行填埋处理，生活垃圾和装修材料集中收集，收集后委托环卫部门进行处理。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生态环境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保护：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施工期严格控制施工范围，施工活动严格控制在项目占地范围内，不占用场区以外用地；施工完成后及时进行绿化、硬化，通过人工绿化措施使其生态环境得到恢复，减缓项目建设对周围生态环境的影响。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（二）运营期污染防治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1、废气：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动物尸体火化废气采用“3T+E+急冷+喷入石灰粉+喷入活性炭+布袋除尘”工艺处理，通过15米高排气筒（DA001）排放，污染物排放需满足《火葬场大气污染物排放标准》（GB13801-2015）表2标准。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污水处理站采用密闭式一体化处理设备，周边进行绿化并定期喷洒除臭剂，恶臭气体无组织排放需满足《医疗机构水污染物排放标准》（GB18466-2005）表3及《恶臭污染物排放标准》（GB14554-93）相关要求。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柴油发电机尾气经三元催化器处理后通过设备自带排烟管排放，满足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《大气污染物综合排放标准》（GB16297-1996）表2无组织监控限值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野生动物饲养及治疗区域加强通风，粪便尿液日产日清，定期喷洒消毒杀菌剂及植物除臭剂，厂界恶臭污染物符合《恶臭污染物排放标准》（GB14554-93）标准。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、废水：废水经厂内污水处理站“预处理（固液分离+超细格栅）+一体化MBR反应器+消毒”工艺处理后，满足《医疗机构水污染物排放标准》（GB18466-2005）预处理标准、《污水排入城镇下水道水质标准》（GB/T31962-2015）A级标准及《污水综合排放标准》（GB8978-1996）三级标准（取严执行），排入市政污水管网，最终进入伊春市伊美区中心城污水处理厂深度处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 噪声：选用低噪声设备，设备底部加装减震垫，优化厂区平面布置，利用建筑物阻隔噪声传播；加强设备维护保养，确保厂界噪声符合《工业企业厂界环境噪声排放标准》（GB12348-2008）标准。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 固体废物：生活垃圾集中收集后交由环卫部门处置；动物粪便、火化灰渣、饲料残渣外售制作有机肥综合利用。除尘灰、废活性炭、污水处理站栅渣及污泥、废弃MBR膜元件等危险废物，分类收集后暂存于符合标准的危险废物贮存库，医疗废物暂存于专用医疗废物暂存间，均定期委托有资质单位处置，严格执行危险废物转移联单制度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 地下水及土壤保护：按照“分区防渗”原则，污水处理站、危废贮存库等重点防渗区采用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聚脲防水涂料、抗渗钢纤维混凝土、HDPE抗渗膜等材料进行组合防渗处理，地面及裙脚防腐防渗处理，渗透系数≤1×10-10cm/s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；一般防渗区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采用聚脲防水涂料、抗渗钢纤维混凝土、HDPE抗渗膜、环氧树脂漆等材料防渗处理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确保防渗层等效黏土防渗层Mb≥1.5m,渗透系数≤10-7cm/s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；简单防渗区进行地面硬化，防止地下水及土壤污染。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6. 环境风险防范：建设70m³事故水池，收纳火灾等事故产生的消防废水；柴油储罐区设置围堰及报警装置，配备消防灭火器材及人员防护器材；编制突发环境事件应急预案并备案，定期开展应急演练。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四、其他要求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 项目建设必须严格执行环境保护“三同时”制度，将各项环保措施及投资纳入项目设计、施工和运营管理，项目竣工后及时开展环境保护验收，验收合格后方可正式投入运营。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 强化环境管理，建立健全环保管理制度和监测计划，定期对废气、废水、噪声等进行监测，做好监测数据记录与归档，自觉接受生态环境部门的监督检查。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 在项目排污许可证申报、竣工环保验收、正常运行等各阶段，通过网站或其他便于公众知悉的方式，依法公开相关环境信息，接受社会监督。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 若项目性质、规模、地点、采用的生产工艺或防治污染措施发生重大变动，须重新报批环境影响评价文件。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伊春市伊美生态环境局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5460" w:leftChars="2600"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2026年1月19日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此页空白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主题词：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野生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动物  废水  废气  噪声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报告表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批复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19050</wp:posOffset>
                </wp:positionV>
                <wp:extent cx="58293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pt;margin-top:1.5pt;height:0pt;width:459pt;z-index:251661312;mso-width-relative:page;mso-height-relative:page;" filled="f" stroked="t" coordsize="21600,21600" o:gfxdata="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fnt9LTAAAABgEAAA8AAAAAAAAAAQAgAAAAIgAAAGRycy9kb3ducmV2LnhtbFBLAQIUABQA&#10;AAAIAIdO4kBWKMnI9QEAAOQDAAAOAAAAAAAAAAEAIAAAACI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  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伊春市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生态环境局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5080</wp:posOffset>
                </wp:positionV>
                <wp:extent cx="58293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7pt;margin-top:0.4pt;height:0pt;width:459pt;z-index:251660288;mso-width-relative:page;mso-height-relative:page;" filled="f" stroked="t" coordsize="21600,21600" o:gfxdata="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496Gp0AAAAAMBAAAPAAAAAAAAAAEAIAAAACIAAABkcnMvZG93bnJldi54bWxQSwECFAAUAAAA&#10;CACHTuJAcVThfPYBAADkAwAADgAAAAAAAAABACAAAAAf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日发出</w:t>
      </w:r>
    </w:p>
    <w:p>
      <w:pPr>
        <w:keepNext w:val="0"/>
        <w:keepLines w:val="0"/>
        <w:pageBreakBefore w:val="0"/>
        <w:widowControl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17780</wp:posOffset>
                </wp:positionV>
                <wp:extent cx="58293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5pt;margin-top:1.4pt;height:0pt;width:459pt;z-index:251662336;mso-width-relative:page;mso-height-relative:page;" filled="f" stroked="t" coordsize="21600,21600" o:gfxdata="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j5rnp0wAAAAYBAAAPAAAAAAAAAAEAIAAAACIAAABkcnMvZG93bnJldi54bWxQSwECFAAU&#10;AAAACACHTuJAR0OtpfYBAADkAwAADgAAAAAAAAABACAAAAAi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      共印5份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ZjJjM2FhZTdkMzEyYmQ5OTA5ZmUwYTk4N2QwNzIifQ=="/>
  </w:docVars>
  <w:rsids>
    <w:rsidRoot w:val="00000000"/>
    <w:rsid w:val="001F1D2C"/>
    <w:rsid w:val="010D6029"/>
    <w:rsid w:val="02686C0F"/>
    <w:rsid w:val="029C58B6"/>
    <w:rsid w:val="03577A2F"/>
    <w:rsid w:val="05D15877"/>
    <w:rsid w:val="071F6AB6"/>
    <w:rsid w:val="074D53D1"/>
    <w:rsid w:val="0A6C70A7"/>
    <w:rsid w:val="0D5A4E4B"/>
    <w:rsid w:val="0E881173"/>
    <w:rsid w:val="104A6951"/>
    <w:rsid w:val="12283E31"/>
    <w:rsid w:val="15724254"/>
    <w:rsid w:val="184B7DAD"/>
    <w:rsid w:val="18910E95"/>
    <w:rsid w:val="195C5947"/>
    <w:rsid w:val="1A617502"/>
    <w:rsid w:val="1CE912A0"/>
    <w:rsid w:val="1D4F1A4B"/>
    <w:rsid w:val="1DF779ED"/>
    <w:rsid w:val="1FA31BDA"/>
    <w:rsid w:val="204B3D4A"/>
    <w:rsid w:val="21867A08"/>
    <w:rsid w:val="22C44F9F"/>
    <w:rsid w:val="22EA5540"/>
    <w:rsid w:val="23827D58"/>
    <w:rsid w:val="248D64E1"/>
    <w:rsid w:val="251B2213"/>
    <w:rsid w:val="25D32AED"/>
    <w:rsid w:val="27CE4FEA"/>
    <w:rsid w:val="285048C9"/>
    <w:rsid w:val="28822A13"/>
    <w:rsid w:val="292226DC"/>
    <w:rsid w:val="29791BFE"/>
    <w:rsid w:val="2C9355D3"/>
    <w:rsid w:val="2E020414"/>
    <w:rsid w:val="2F4A2072"/>
    <w:rsid w:val="3240150B"/>
    <w:rsid w:val="33D31231"/>
    <w:rsid w:val="33E13A0E"/>
    <w:rsid w:val="34BD6E42"/>
    <w:rsid w:val="353A2FDE"/>
    <w:rsid w:val="36625EF3"/>
    <w:rsid w:val="370451FC"/>
    <w:rsid w:val="37533A8E"/>
    <w:rsid w:val="39DB2CA4"/>
    <w:rsid w:val="3A377697"/>
    <w:rsid w:val="3C2B179C"/>
    <w:rsid w:val="3E6D18D9"/>
    <w:rsid w:val="40776A3F"/>
    <w:rsid w:val="428C5461"/>
    <w:rsid w:val="42EF55AE"/>
    <w:rsid w:val="433952D9"/>
    <w:rsid w:val="43D62F93"/>
    <w:rsid w:val="44A05268"/>
    <w:rsid w:val="463C012E"/>
    <w:rsid w:val="47486A40"/>
    <w:rsid w:val="479E48B1"/>
    <w:rsid w:val="48174664"/>
    <w:rsid w:val="49E656E9"/>
    <w:rsid w:val="4B0D3ABB"/>
    <w:rsid w:val="4C7327B1"/>
    <w:rsid w:val="4C9F13C1"/>
    <w:rsid w:val="4DA7089B"/>
    <w:rsid w:val="4DEF40B9"/>
    <w:rsid w:val="4EE0090A"/>
    <w:rsid w:val="4F764780"/>
    <w:rsid w:val="51D81308"/>
    <w:rsid w:val="542D593B"/>
    <w:rsid w:val="54836ED4"/>
    <w:rsid w:val="54D9161F"/>
    <w:rsid w:val="54F54D1B"/>
    <w:rsid w:val="56912332"/>
    <w:rsid w:val="56F02C50"/>
    <w:rsid w:val="575431DF"/>
    <w:rsid w:val="57D4589F"/>
    <w:rsid w:val="58365E72"/>
    <w:rsid w:val="5AA05E5F"/>
    <w:rsid w:val="5E9D190F"/>
    <w:rsid w:val="60996106"/>
    <w:rsid w:val="627C1158"/>
    <w:rsid w:val="63716EC6"/>
    <w:rsid w:val="641F4B74"/>
    <w:rsid w:val="65556AA0"/>
    <w:rsid w:val="65E41BD1"/>
    <w:rsid w:val="67080B97"/>
    <w:rsid w:val="67874F0A"/>
    <w:rsid w:val="67B53825"/>
    <w:rsid w:val="695F0D01"/>
    <w:rsid w:val="69DA57C5"/>
    <w:rsid w:val="6B362ECF"/>
    <w:rsid w:val="6F7006E0"/>
    <w:rsid w:val="701A2DBF"/>
    <w:rsid w:val="701A67A7"/>
    <w:rsid w:val="71E05943"/>
    <w:rsid w:val="731F249B"/>
    <w:rsid w:val="743264F4"/>
    <w:rsid w:val="75824C1D"/>
    <w:rsid w:val="75910012"/>
    <w:rsid w:val="75986535"/>
    <w:rsid w:val="76AC04E9"/>
    <w:rsid w:val="77A411C1"/>
    <w:rsid w:val="77EB3293"/>
    <w:rsid w:val="791E4FA3"/>
    <w:rsid w:val="7A6730A5"/>
    <w:rsid w:val="7BBD4F47"/>
    <w:rsid w:val="7C045C95"/>
    <w:rsid w:val="7CBB38D3"/>
    <w:rsid w:val="7E244E09"/>
    <w:rsid w:val="7F3D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qFormat/>
    <w:uiPriority w:val="0"/>
    <w:pPr>
      <w:autoSpaceDE w:val="0"/>
      <w:autoSpaceDN w:val="0"/>
      <w:adjustRightInd w:val="0"/>
    </w:pPr>
    <w:rPr>
      <w:rFonts w:ascii="宋体" w:hAnsi="Calibri" w:cs="宋体"/>
      <w:sz w:val="24"/>
    </w:rPr>
  </w:style>
  <w:style w:type="paragraph" w:customStyle="1" w:styleId="3">
    <w:name w:val="纯文本1"/>
    <w:basedOn w:val="1"/>
    <w:qFormat/>
    <w:uiPriority w:val="0"/>
    <w:rPr>
      <w:rFonts w:hAnsi="Courier New" w:cs="Courier New"/>
      <w:bCs/>
      <w:iCs/>
      <w:szCs w:val="21"/>
    </w:rPr>
  </w:style>
  <w:style w:type="paragraph" w:styleId="4">
    <w:name w:val="Body Text Indent"/>
    <w:basedOn w:val="1"/>
    <w:next w:val="5"/>
    <w:qFormat/>
    <w:uiPriority w:val="0"/>
    <w:pPr>
      <w:spacing w:line="500" w:lineRule="atLeast"/>
      <w:ind w:firstLine="560" w:firstLineChars="200"/>
    </w:pPr>
    <w:rPr>
      <w:rFonts w:ascii="仿宋_GB2312" w:hAnsi="Times New Roman" w:eastAsia="仿宋_GB2312"/>
      <w:color w:val="FF0000"/>
      <w:kern w:val="0"/>
      <w:sz w:val="28"/>
      <w:szCs w:val="20"/>
    </w:rPr>
  </w:style>
  <w:style w:type="paragraph" w:styleId="5">
    <w:name w:val="Body Text Indent 2"/>
    <w:basedOn w:val="1"/>
    <w:next w:val="6"/>
    <w:qFormat/>
    <w:uiPriority w:val="0"/>
    <w:pPr>
      <w:spacing w:after="120" w:line="480" w:lineRule="auto"/>
      <w:ind w:left="420" w:leftChars="200"/>
    </w:pPr>
    <w:rPr>
      <w:rFonts w:ascii="Times New Roman" w:hAnsi="Times New Roman"/>
      <w:szCs w:val="24"/>
    </w:rPr>
  </w:style>
  <w:style w:type="paragraph" w:styleId="6">
    <w:name w:val="Body Text First Indent 2"/>
    <w:basedOn w:val="4"/>
    <w:next w:val="1"/>
    <w:qFormat/>
    <w:uiPriority w:val="0"/>
    <w:pPr>
      <w:spacing w:after="120" w:line="240" w:lineRule="auto"/>
      <w:ind w:left="420" w:leftChars="200" w:firstLine="420"/>
    </w:pPr>
    <w:rPr>
      <w:rFonts w:ascii="Times New Roman"/>
      <w:kern w:val="2"/>
      <w:szCs w:val="22"/>
    </w:rPr>
  </w:style>
  <w:style w:type="paragraph" w:styleId="7">
    <w:name w:val="Plain Text"/>
    <w:basedOn w:val="1"/>
    <w:next w:val="1"/>
    <w:qFormat/>
    <w:uiPriority w:val="0"/>
    <w:pPr>
      <w:jc w:val="center"/>
    </w:pPr>
    <w:rPr>
      <w:szCs w:val="2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2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ascii="Times New Roman" w:cs="宋体"/>
      <w:sz w:val="21"/>
      <w:szCs w:val="24"/>
    </w:rPr>
  </w:style>
  <w:style w:type="paragraph" w:customStyle="1" w:styleId="13">
    <w:name w:val="Style2"/>
    <w:basedOn w:val="1"/>
    <w:unhideWhenUsed/>
    <w:qFormat/>
    <w:uiPriority w:val="99"/>
    <w:pPr>
      <w:spacing w:line="405" w:lineRule="exact"/>
      <w:ind w:firstLine="420"/>
    </w:pPr>
    <w:rPr>
      <w:sz w:val="24"/>
    </w:rPr>
  </w:style>
  <w:style w:type="paragraph" w:styleId="14">
    <w:name w:val="List Paragraph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2465</Words>
  <Characters>2662</Characters>
  <Lines>0</Lines>
  <Paragraphs>0</Paragraphs>
  <TotalTime>11</TotalTime>
  <ScaleCrop>false</ScaleCrop>
  <LinksUpToDate>false</LinksUpToDate>
  <CharactersWithSpaces>2770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2023-09-11T00:37:00Z</dcterms:created>
  <dc:creator>zjz</dc:creator>
  <cp:lastModifiedBy>WPS_499239451</cp:lastModifiedBy>
  <cp:lastPrinted>2026-01-19T06:35:23Z</cp:lastPrinted>
  <dcterms:modified xsi:type="dcterms:W3CDTF">2026-01-19T06:38:05Z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EB1D7CEBCCAC40E5A6449B0052D50898_12</vt:lpwstr>
  </property>
</Properties>
</file>